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741274.08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120757103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10/26/2012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10/26/2012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9,000 shares sold were acquired from 2012 to 2022.</w:t>
      </w:r>
    </w:p>
    <w:p>
      <w:pPr>
        <w:spacing w:after="0" w:line="56" w:lineRule="exact"/>
        <w:rPr>
          <w:sz w:val="20"/>
          <w:szCs w:val="20"/>
          <w:color w:val="auto"/>
        </w:rPr>
      </w:pPr>
    </w:p>
    <w:p>
      <w:pPr>
        <w:sectPr>
          <w:pgSz w:w="11900" w:h="16838" w:orient="portrait"/>
          <w:cols w:equalWidth="0" w:num="2">
            <w:col w:w="1680" w:space="720"/>
            <w:col w:w="88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06/05/2024</w:t>
      </w:r>
    </w:p>
    <w:p>
      <w:pPr>
        <w:spacing w:after="0" w:line="50" w:lineRule="exact"/>
        <w:rPr>
          <w:sz w:val="20"/>
          <w:szCs w:val="20"/>
          <w:color w:val="auto"/>
        </w:rPr>
      </w:pPr>
    </w:p>
    <w:p>
      <w:pPr>
        <w:sectPr>
          <w:pgSz w:w="11900" w:h="16838" w:orient="portrait"/>
          <w:cols w:equalWidth="0" w:num="2">
            <w:col w:w="1680" w:space="720"/>
            <w:col w:w="88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2024-06-05T12:16:39Z</dcterms:created>
  <dcterms:modified xsi:type="dcterms:W3CDTF">2024-06-05T12:16:39Z</dcterms:modified>
</cp:coreProperties>
</file>