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593,678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09/08/2023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June 30, 2024, the Reporting Person owned 766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2024-07-23T13:31:01Z</dcterms:created>
  <dcterms:modified xsi:type="dcterms:W3CDTF">2024-07-23T13:31:01Z</dcterms:modified>
</cp:coreProperties>
</file>