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60" w:right="28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31, 2021</w:t>
      </w:r>
    </w:p>
    <w:p>
      <w:pPr>
        <w:spacing w:after="0" w:line="220"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44"/>
        </w:trPr>
        <w:tc>
          <w:tcPr>
            <w:tcW w:w="3020" w:type="dxa"/>
            <w:vAlign w:val="bottom"/>
          </w:tcPr>
          <w:p>
            <w:pPr>
              <w:jc w:val="center"/>
              <w:ind w:left="11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980" w:type="dxa"/>
            <w:vAlign w:val="bottom"/>
          </w:tcPr>
          <w:p>
            <w:pPr>
              <w:jc w:val="center"/>
              <w:ind w:right="2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Identification No.)</w:t>
            </w:r>
          </w:p>
        </w:tc>
      </w:tr>
      <w:tr>
        <w:trPr>
          <w:trHeight w:val="493"/>
        </w:trPr>
        <w:tc>
          <w:tcPr>
            <w:tcW w:w="4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770 Township Line Road</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w w:val="98"/>
              </w:rPr>
              <w:t>Yardley</w:t>
            </w:r>
          </w:p>
        </w:tc>
        <w:tc>
          <w:tcPr>
            <w:tcW w:w="2720" w:type="dxa"/>
            <w:vAlign w:val="bottom"/>
          </w:tcPr>
          <w:p>
            <w:pPr>
              <w:ind w:left="640"/>
              <w:spacing w:after="0"/>
              <w:rPr>
                <w:sz w:val="20"/>
                <w:szCs w:val="20"/>
                <w:color w:val="auto"/>
              </w:rPr>
            </w:pPr>
            <w:r>
              <w:rPr>
                <w:rFonts w:ascii="Arial" w:cs="Arial" w:eastAsia="Arial" w:hAnsi="Arial"/>
                <w:sz w:val="18"/>
                <w:szCs w:val="18"/>
                <w:b w:val="1"/>
                <w:bCs w:val="1"/>
                <w:color w:val="auto"/>
              </w:rPr>
              <w:t>PA</w:t>
            </w:r>
          </w:p>
        </w:tc>
        <w:tc>
          <w:tcPr>
            <w:tcW w:w="1980" w:type="dxa"/>
            <w:vAlign w:val="bottom"/>
          </w:tcPr>
          <w:p>
            <w:pPr>
              <w:jc w:val="right"/>
              <w:ind w:right="741"/>
              <w:spacing w:after="0"/>
              <w:rPr>
                <w:sz w:val="20"/>
                <w:szCs w:val="20"/>
                <w:color w:val="auto"/>
              </w:rPr>
            </w:pPr>
            <w:r>
              <w:rPr>
                <w:rFonts w:ascii="Arial" w:cs="Arial" w:eastAsia="Arial" w:hAnsi="Arial"/>
                <w:sz w:val="18"/>
                <w:szCs w:val="18"/>
                <w:b w:val="1"/>
                <w:bCs w:val="1"/>
                <w:color w:val="auto"/>
              </w:rPr>
              <w:t>19067</w:t>
            </w:r>
          </w:p>
        </w:tc>
      </w:tr>
      <w:tr>
        <w:trPr>
          <w:trHeight w:val="186"/>
        </w:trPr>
        <w:tc>
          <w:tcPr>
            <w:tcW w:w="4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8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3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720" w:type="dxa"/>
            <w:vAlign w:val="bottom"/>
          </w:tcPr>
          <w:p>
            <w:pPr>
              <w:jc w:val="right"/>
              <w:ind w:right="1550"/>
              <w:spacing w:after="0"/>
              <w:rPr>
                <w:sz w:val="20"/>
                <w:szCs w:val="20"/>
                <w:color w:val="auto"/>
              </w:rPr>
            </w:pPr>
            <w:r>
              <w:rPr>
                <w:rFonts w:ascii="Arial" w:cs="Arial" w:eastAsia="Arial" w:hAnsi="Arial"/>
                <w:sz w:val="18"/>
                <w:szCs w:val="18"/>
                <w:b w:val="1"/>
                <w:bCs w:val="1"/>
                <w:color w:val="auto"/>
                <w:w w:val="94"/>
              </w:rPr>
              <w:t>215-698-5100</w:t>
            </w:r>
          </w:p>
        </w:tc>
        <w:tc>
          <w:tcPr>
            <w:tcW w:w="198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4760" w:type="dxa"/>
            <w:vAlign w:val="bottom"/>
            <w:gridSpan w:val="3"/>
          </w:tcPr>
          <w:p>
            <w:pPr>
              <w:ind w:left="10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520" w:type="dxa"/>
            <w:vAlign w:val="bottom"/>
            <w:gridSpan w:val="2"/>
          </w:tcPr>
          <w:p>
            <w:pPr>
              <w:jc w:val="right"/>
              <w:ind w:right="135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276"/>
        </w:trPr>
        <w:tc>
          <w:tcPr>
            <w:tcW w:w="77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2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Trading Symbols</w:t>
            </w:r>
          </w:p>
        </w:tc>
        <w:tc>
          <w:tcPr>
            <w:tcW w:w="352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Borders>
              <w:bottom w:val="single" w:sz="8" w:color="auto"/>
            </w:tcBorders>
          </w:tcPr>
          <w:p>
            <w:pPr>
              <w:spacing w:after="0"/>
              <w:rPr>
                <w:sz w:val="24"/>
                <w:szCs w:val="24"/>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40" w:type="dxa"/>
            <w:vAlign w:val="bottom"/>
          </w:tcPr>
          <w:p>
            <w:pPr>
              <w:spacing w:after="0"/>
              <w:rPr>
                <w:sz w:val="20"/>
                <w:szCs w:val="20"/>
                <w:color w:val="auto"/>
              </w:rPr>
            </w:pPr>
            <w:r>
              <w:rPr>
                <w:rFonts w:ascii="Arial" w:cs="Arial" w:eastAsia="Arial" w:hAnsi="Arial"/>
                <w:sz w:val="16"/>
                <w:szCs w:val="16"/>
                <w:color w:val="auto"/>
              </w:rPr>
              <w:t>CCK</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7"/>
                <w:szCs w:val="17"/>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40" w:type="dxa"/>
            <w:vAlign w:val="bottom"/>
          </w:tcPr>
          <w:p>
            <w:pPr>
              <w:spacing w:after="0"/>
              <w:rPr>
                <w:sz w:val="20"/>
                <w:szCs w:val="20"/>
                <w:color w:val="auto"/>
              </w:rPr>
            </w:pPr>
            <w:r>
              <w:rPr>
                <w:rFonts w:ascii="Arial" w:cs="Arial" w:eastAsia="Arial" w:hAnsi="Arial"/>
                <w:sz w:val="16"/>
                <w:szCs w:val="16"/>
                <w:color w:val="auto"/>
              </w:rPr>
              <w:t>CCK26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40" w:type="dxa"/>
            <w:vAlign w:val="bottom"/>
          </w:tcPr>
          <w:p>
            <w:pPr>
              <w:spacing w:after="0"/>
              <w:rPr>
                <w:sz w:val="20"/>
                <w:szCs w:val="20"/>
                <w:color w:val="auto"/>
              </w:rPr>
            </w:pPr>
            <w:r>
              <w:rPr>
                <w:rFonts w:ascii="Arial" w:cs="Arial" w:eastAsia="Arial" w:hAnsi="Arial"/>
                <w:sz w:val="16"/>
                <w:szCs w:val="16"/>
                <w:color w:val="auto"/>
              </w:rPr>
              <w:t>CCK96</w:t>
            </w:r>
          </w:p>
        </w:tc>
        <w:tc>
          <w:tcPr>
            <w:tcW w:w="3520" w:type="dxa"/>
            <w:vAlign w:val="bottom"/>
            <w:gridSpan w:val="2"/>
          </w:tcPr>
          <w:p>
            <w:pPr>
              <w:ind w:left="26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bl>
    <w:p>
      <w:pPr>
        <w:spacing w:after="0" w:line="104"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sectPr>
      </w:pPr>
    </w:p>
    <w:p>
      <w:pPr>
        <w:spacing w:after="0" w:line="23"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4">
            <w:col w:w="1560" w:space="620"/>
            <w:col w:w="4660" w:space="720"/>
            <w:col w:w="2500" w:space="720"/>
            <w:col w:w="460"/>
          </w:cols>
          <w:pgMar w:left="320" w:top="1003" w:right="339" w:bottom="1440" w:gutter="0" w:footer="0" w:header="0"/>
          <w:type w:val="continuous"/>
        </w:sectPr>
      </w:pPr>
    </w:p>
    <w:p>
      <w:pPr>
        <w:spacing w:after="0" w:line="30"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4">
            <w:col w:w="1460" w:space="720"/>
            <w:col w:w="4660" w:space="720"/>
            <w:col w:w="2500" w:space="720"/>
            <w:col w:w="46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08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134,898,957 shares of Common Stock outstanding as of April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tbl>
      <w:tblPr>
        <w:tblLayout w:type="fixed"/>
        <w:tblInd w:w="1480" w:type="dxa"/>
        <w:tblCellMar>
          <w:top w:w="0" w:type="dxa"/>
          <w:left w:w="0" w:type="dxa"/>
          <w:bottom w:w="0" w:type="dxa"/>
          <w:right w:w="0" w:type="dxa"/>
        </w:tblCellMar>
      </w:tblPr>
      <w:tr>
        <w:trPr>
          <w:trHeight w:val="234"/>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Crown Holdings, Inc.</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8"/>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6280" w:type="dxa"/>
            <w:vAlign w:val="bottom"/>
            <w:gridSpan w:val="2"/>
          </w:tcPr>
          <w:p>
            <w:pPr>
              <w:jc w:val="center"/>
              <w:ind w:left="191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w w:val="90"/>
              </w:rPr>
              <w:t>(In millions except per share data)</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jc w:val="center"/>
              <w:ind w:left="219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3"/>
              </w:rPr>
              <w:t>Three Months Ended</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23"/>
        </w:trPr>
        <w:tc>
          <w:tcPr>
            <w:tcW w:w="6000" w:type="dxa"/>
            <w:vAlign w:val="bottom"/>
          </w:tcPr>
          <w:p>
            <w:pPr>
              <w:ind w:left="340"/>
              <w:spacing w:after="0"/>
              <w:rPr>
                <w:sz w:val="20"/>
                <w:szCs w:val="20"/>
                <w:color w:val="auto"/>
              </w:rPr>
            </w:pPr>
            <w:r>
              <w:rPr>
                <w:rFonts w:ascii="Arial" w:cs="Arial" w:eastAsia="Arial" w:hAnsi="Arial"/>
                <w:sz w:val="18"/>
                <w:szCs w:val="18"/>
                <w:color w:val="auto"/>
              </w:rPr>
              <w:t>Cost of products sold, excluding depreciation and amortization</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600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pension and postretirement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Foreign exchange</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taxes</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60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earnings in affiliates</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000" w:type="dxa"/>
            <w:vAlign w:val="bottom"/>
            <w:tcBorders>
              <w:bottom w:val="single" w:sz="8" w:color="CCEEFF"/>
            </w:tcBorders>
            <w:shd w:val="clear" w:color="auto" w:fill="CCEEFF"/>
          </w:tcPr>
          <w:p>
            <w:pPr>
              <w:ind w:left="340"/>
              <w:spacing w:after="0" w:line="202" w:lineRule="exact"/>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6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w w:val="97"/>
              </w:rPr>
              <w:t>Three Months Ended</w:t>
            </w:r>
          </w:p>
        </w:tc>
      </w:tr>
      <w:tr>
        <w:trPr>
          <w:trHeight w:val="234"/>
        </w:trPr>
        <w:tc>
          <w:tcPr>
            <w:tcW w:w="60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Borders>
              <w:bottom w:val="single" w:sz="8" w:color="auto"/>
            </w:tcBorders>
          </w:tcPr>
          <w:p>
            <w:pPr>
              <w:spacing w:after="0"/>
              <w:rPr>
                <w:sz w:val="20"/>
                <w:szCs w:val="20"/>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50"/>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 income, net of tax:</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30"/>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60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50"/>
        </w:trPr>
        <w:tc>
          <w:tcPr>
            <w:tcW w:w="6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 (loss) attributable to Crown Holdings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29"/>
        </w:trPr>
        <w:tc>
          <w:tcPr>
            <w:tcW w:w="29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37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1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1,783</w:t>
            </w: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r>
      <w:tr>
        <w:trPr>
          <w:trHeight w:val="229"/>
        </w:trPr>
        <w:tc>
          <w:tcPr>
            <w:tcW w:w="71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r>
      <w:tr>
        <w:trPr>
          <w:trHeight w:val="223"/>
        </w:trPr>
        <w:tc>
          <w:tcPr>
            <w:tcW w:w="7140" w:type="dxa"/>
            <w:vAlign w:val="bottom"/>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1,880</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r>
      <w:tr>
        <w:trPr>
          <w:trHeight w:val="223"/>
        </w:trPr>
        <w:tc>
          <w:tcPr>
            <w:tcW w:w="7140" w:type="dxa"/>
            <w:vAlign w:val="bottom"/>
            <w:gridSpan w:val="3"/>
          </w:tcPr>
          <w:p>
            <w:pPr>
              <w:ind w:left="68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16,180</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16,670</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2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Short-term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80</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r>
      <w:tr>
        <w:trPr>
          <w:trHeight w:val="230"/>
        </w:trPr>
        <w:tc>
          <w:tcPr>
            <w:tcW w:w="71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r>
      <w:tr>
        <w:trPr>
          <w:trHeight w:val="223"/>
        </w:trPr>
        <w:tc>
          <w:tcPr>
            <w:tcW w:w="7140" w:type="dxa"/>
            <w:vAlign w:val="bottom"/>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r>
      <w:tr>
        <w:trPr>
          <w:trHeight w:val="250"/>
        </w:trPr>
        <w:tc>
          <w:tcPr>
            <w:tcW w:w="2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8,023</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153</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845</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09"/>
        </w:trPr>
        <w:tc>
          <w:tcPr>
            <w:tcW w:w="7140" w:type="dxa"/>
            <w:vAlign w:val="bottom"/>
            <w:gridSpan w:val="3"/>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w:t>
            </w:r>
            <w:hyperlink w:anchor="page11">
              <w:r>
                <w:rPr>
                  <w:rFonts w:ascii="Arial" w:cs="Arial" w:eastAsia="Arial" w:hAnsi="Arial"/>
                  <w:sz w:val="18"/>
                  <w:szCs w:val="18"/>
                  <w:i w:val="1"/>
                  <w:iCs w:val="1"/>
                  <w:color w:val="0000FF"/>
                </w:rPr>
                <w:t>Note J</w:t>
              </w:r>
            </w:hyperlink>
            <w:r>
              <w:rPr>
                <w:rFonts w:ascii="Arial" w:cs="Arial" w:eastAsia="Arial" w:hAnsi="Arial"/>
                <w:sz w:val="18"/>
                <w:szCs w:val="18"/>
                <w:i w:val="1"/>
                <w:iCs w:val="1"/>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9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Noncontrolling interests</w:t>
            </w:r>
          </w:p>
        </w:tc>
        <w:tc>
          <w:tcPr>
            <w:tcW w:w="460" w:type="dxa"/>
            <w:vAlign w:val="bottom"/>
            <w:tcBorders>
              <w:top w:val="single" w:sz="8" w:color="0000FF"/>
            </w:tcBorders>
          </w:tcPr>
          <w:p>
            <w:pPr>
              <w:spacing w:after="0"/>
              <w:rPr>
                <w:sz w:val="19"/>
                <w:szCs w:val="19"/>
                <w:color w:val="auto"/>
              </w:rPr>
            </w:pPr>
          </w:p>
        </w:tc>
        <w:tc>
          <w:tcPr>
            <w:tcW w:w="37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431</w:t>
            </w:r>
          </w:p>
        </w:tc>
        <w:tc>
          <w:tcPr>
            <w:tcW w:w="4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3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406</w:t>
            </w: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Crown Holdings shareholders’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r>
      <w:tr>
        <w:trPr>
          <w:trHeight w:val="223"/>
        </w:trPr>
        <w:tc>
          <w:tcPr>
            <w:tcW w:w="7140" w:type="dxa"/>
            <w:vAlign w:val="bottom"/>
            <w:tcBorders>
              <w:bottom w:val="single" w:sz="8" w:color="CCEEFF"/>
            </w:tcBorders>
            <w:gridSpan w:val="3"/>
          </w:tcPr>
          <w:p>
            <w:pPr>
              <w:ind w:left="680"/>
              <w:spacing w:after="0"/>
              <w:rPr>
                <w:sz w:val="20"/>
                <w:szCs w:val="20"/>
                <w:color w:val="auto"/>
              </w:rPr>
            </w:pPr>
            <w:r>
              <w:rPr>
                <w:rFonts w:ascii="Arial" w:cs="Arial" w:eastAsia="Arial" w:hAnsi="Arial"/>
                <w:sz w:val="18"/>
                <w:szCs w:val="18"/>
                <w:b w:val="1"/>
                <w:bCs w:val="1"/>
                <w:color w:val="auto"/>
              </w:rPr>
              <w:t>Total equity</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w:t>
            </w:r>
          </w:p>
        </w:tc>
      </w:tr>
      <w:tr>
        <w:trPr>
          <w:trHeight w:val="248"/>
        </w:trPr>
        <w:tc>
          <w:tcPr>
            <w:tcW w:w="7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16,180</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16,670</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8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8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245</w:t>
            </w:r>
          </w:p>
        </w:tc>
        <w:tc>
          <w:tcPr>
            <w:tcW w:w="44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Restructuring and other</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Pension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Pension contributions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Working capital changes and 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used for operating activities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investment hedge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for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09"/>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Proceeds from long-term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Payments of long-term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Payments of finance leases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Dividends paid to shareholders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issued</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Common stock repurchased</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for) /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r>
      <w:tr>
        <w:trPr>
          <w:trHeight w:val="22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4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March 31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4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jc w:val="center"/>
              <w:ind w:right="140"/>
              <w:spacing w:after="0" w:line="129" w:lineRule="exact"/>
              <w:rPr>
                <w:sz w:val="20"/>
                <w:szCs w:val="20"/>
                <w:color w:val="auto"/>
              </w:rPr>
            </w:pPr>
            <w:r>
              <w:rPr>
                <w:rFonts w:ascii="Arial" w:cs="Arial" w:eastAsia="Arial" w:hAnsi="Arial"/>
                <w:sz w:val="14"/>
                <w:szCs w:val="14"/>
                <w:b w:val="1"/>
                <w:bCs w:val="1"/>
                <w:color w:val="auto"/>
                <w:w w:val="90"/>
              </w:rPr>
              <w:t>Accumulated</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center"/>
              <w:ind w:right="72"/>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gridSpan w:val="2"/>
            <w:vMerge w:val="restart"/>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Paid-in</w:t>
            </w:r>
          </w:p>
        </w:tc>
        <w:tc>
          <w:tcPr>
            <w:tcW w:w="96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11"/>
                <w:szCs w:val="11"/>
                <w:color w:val="auto"/>
              </w:rPr>
            </w:pPr>
          </w:p>
        </w:tc>
        <w:tc>
          <w:tcPr>
            <w:tcW w:w="7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0" w:type="dxa"/>
            <w:vAlign w:val="bottom"/>
            <w:gridSpan w:val="2"/>
            <w:vMerge w:val="continue"/>
          </w:tcPr>
          <w:p>
            <w:pPr>
              <w:spacing w:after="0"/>
              <w:rPr>
                <w:sz w:val="11"/>
                <w:szCs w:val="11"/>
                <w:color w:val="auto"/>
              </w:rPr>
            </w:pPr>
          </w:p>
        </w:tc>
        <w:tc>
          <w:tcPr>
            <w:tcW w:w="10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96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4"/>
          </w:tcPr>
          <w:p>
            <w:pPr>
              <w:jc w:val="center"/>
              <w:ind w:right="1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1"/>
                <w:szCs w:val="11"/>
                <w:color w:val="auto"/>
              </w:rPr>
            </w:pPr>
          </w:p>
        </w:tc>
        <w:tc>
          <w:tcPr>
            <w:tcW w:w="76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Crown</w:t>
            </w:r>
          </w:p>
        </w:tc>
        <w:tc>
          <w:tcPr>
            <w:tcW w:w="1040" w:type="dxa"/>
            <w:vAlign w:val="bottom"/>
            <w:gridSpan w:val="5"/>
            <w:vMerge w:val="continue"/>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2"/>
              </w:rPr>
              <w:t>Shareholders'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Stock</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2021</w:t>
            </w:r>
          </w:p>
        </w:tc>
        <w:tc>
          <w:tcPr>
            <w:tcW w:w="20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Dividends paid to shareholders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 to noncontrolling interests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Restricted stock awarded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Common stock issued</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(3,131)</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4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Dividends paid to noncontrolling interests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awarded</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issued</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Common stock repurchased</w:t>
            </w: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4,047</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March 31, 2021 and the results of its operations for the three months ended March 31, 2021 and 2020 and of its cash flows for the three months ended March 31, 2021 and 2020.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05"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2020.</w:t>
      </w:r>
    </w:p>
    <w:p>
      <w:pPr>
        <w:spacing w:after="0" w:line="200" w:lineRule="exact"/>
        <w:rPr>
          <w:rFonts w:ascii="Arial" w:cs="Arial" w:eastAsia="Arial" w:hAnsi="Arial"/>
          <w:sz w:val="18"/>
          <w:szCs w:val="18"/>
          <w:b w:val="1"/>
          <w:bCs w:val="1"/>
          <w:color w:val="auto"/>
        </w:rPr>
      </w:pPr>
    </w:p>
    <w:p>
      <w:pPr>
        <w:spacing w:after="0" w:line="237" w:lineRule="exact"/>
        <w:rPr>
          <w:rFonts w:ascii="Arial" w:cs="Arial" w:eastAsia="Arial" w:hAnsi="Arial"/>
          <w:sz w:val="18"/>
          <w:szCs w:val="18"/>
          <w:b w:val="1"/>
          <w:bCs w:val="1"/>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Reporting Developments</w:t>
      </w:r>
    </w:p>
    <w:p>
      <w:pPr>
        <w:spacing w:after="0" w:line="256"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On January 1, 2021, the Company adopted new guidance to simplify the accounting for income taxes by, among other things, reducing complexity in the interim-period accounting for year-to-date loss limitations and changes in tax laws. The guidance did not have a material impact on the Company's consolidated financial statements.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400" w:hanging="392"/>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w:t>
      </w:r>
    </w:p>
    <w:p>
      <w:pPr>
        <w:spacing w:after="0" w:line="256"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April 8, 2021, the Company entered into a Share and Asset Purchase Agreement which provides for the sale (the “Transaction”) of its European Tinplate business (the “Business”) to Kouti B.V., an affiliate of KPS Capital Partners LP. The Business comprises the Company’s European Food segment and its European Aerosol and Promotional Packaging reporting unit which is reported in the Company's other segments. In 2020, the Business had net sales of $2,183. The Company expects to receive pre-tax proceeds of approximately €1.9 billion ($2.2 billion at March 31, 2021) from the Transaction and retain a 20% minority interest in the Business.</w:t>
      </w:r>
    </w:p>
    <w:p>
      <w:pPr>
        <w:spacing w:after="0" w:line="215"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completion of the Transaction is subject to the fulfillment of various conditions, including, among others, receipt of approvals from antitrust regulators in certain jurisdictions. Completion of the Transaction is expected to occur during the third quarter of 2021. However, given the number of jurisdictions in which antitrust approval is required, there is no assurance that the Transaction can be completed on that timeframe.</w:t>
      </w:r>
    </w:p>
    <w:p>
      <w:pPr>
        <w:spacing w:after="0" w:line="17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Beginning with the quarterly period ended June 30, 2021, the assets and liabilities of the Business will be presented as held for sale in the Company's Consolidated Balance Sheet and the results of operations will be reported as discontinued operations in the Consolidated Statement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color w:val="auto"/>
              </w:rPr>
              <w:t>March 31, 2021</w:t>
            </w:r>
          </w:p>
        </w:tc>
        <w:tc>
          <w:tcPr>
            <w:tcW w:w="18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w w:val="91"/>
              </w:rPr>
              <w:t>December 31, 2020</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r>
      <w:tr>
        <w:trPr>
          <w:trHeight w:val="270"/>
        </w:trPr>
        <w:tc>
          <w:tcPr>
            <w:tcW w:w="5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58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4"/>
          </w:tcPr>
          <w:p>
            <w:pPr>
              <w:spacing w:after="0"/>
              <w:rPr>
                <w:sz w:val="20"/>
                <w:szCs w:val="20"/>
                <w:color w:val="auto"/>
              </w:rPr>
            </w:pPr>
            <w:r>
              <w:rPr>
                <w:rFonts w:ascii="Arial" w:cs="Arial" w:eastAsia="Arial" w:hAnsi="Arial"/>
                <w:sz w:val="18"/>
                <w:szCs w:val="18"/>
                <w:b w:val="1"/>
                <w:bCs w:val="1"/>
                <w:color w:val="auto"/>
              </w:rPr>
              <w:t>E.  Receivables</w:t>
            </w: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March 31, 2021</w:t>
            </w:r>
          </w:p>
        </w:tc>
        <w:tc>
          <w:tcPr>
            <w:tcW w:w="16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r>
      <w:tr>
        <w:trPr>
          <w:trHeight w:val="229"/>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338</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w:t>
            </w: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3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Inventories are stated at the lower of cost or market, with cost principally determined under the first-in first-out ("FIFO") or average cost method.</w:t>
      </w:r>
    </w:p>
    <w:p>
      <w:pPr>
        <w:spacing w:after="0" w:line="39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March 31, 2021</w:t>
            </w:r>
          </w:p>
        </w:tc>
        <w:tc>
          <w:tcPr>
            <w:tcW w:w="16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2020</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185</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23"/>
        </w:trPr>
        <w:tc>
          <w:tcPr>
            <w:tcW w:w="53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w:t>
            </w: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2"/>
              </w:rPr>
              <w:t>March 31, 2021</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December 31, 2020</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8"/>
                <w:szCs w:val="18"/>
                <w:color w:val="auto"/>
              </w:rPr>
              <w:t>Gross</w:t>
            </w:r>
          </w:p>
        </w:tc>
        <w:tc>
          <w:tcPr>
            <w:tcW w:w="140" w:type="dxa"/>
            <w:vAlign w:val="bottom"/>
          </w:tcPr>
          <w:p>
            <w:pPr>
              <w:spacing w:after="0"/>
              <w:rPr>
                <w:sz w:val="14"/>
                <w:szCs w:val="14"/>
                <w:color w:val="auto"/>
              </w:rPr>
            </w:pPr>
          </w:p>
        </w:tc>
        <w:tc>
          <w:tcPr>
            <w:tcW w:w="138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14"/>
                <w:szCs w:val="14"/>
                <w:color w:val="auto"/>
              </w:rPr>
            </w:pPr>
          </w:p>
        </w:tc>
        <w:tc>
          <w:tcPr>
            <w:tcW w:w="1500" w:type="dxa"/>
            <w:vAlign w:val="bottom"/>
            <w:gridSpan w:val="2"/>
          </w:tcPr>
          <w:p>
            <w:pPr>
              <w:jc w:val="center"/>
              <w:ind w:right="380"/>
              <w:spacing w:after="0" w:line="169" w:lineRule="exact"/>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4"/>
                <w:szCs w:val="14"/>
                <w:color w:val="auto"/>
              </w:rPr>
            </w:pPr>
          </w:p>
        </w:tc>
        <w:tc>
          <w:tcPr>
            <w:tcW w:w="640" w:type="dxa"/>
            <w:vAlign w:val="bottom"/>
            <w:vMerge w:val="restart"/>
          </w:tcPr>
          <w:p>
            <w:pPr>
              <w:jc w:val="right"/>
              <w:ind w:right="19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229"/>
        </w:trPr>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amortization expense of intangible assets for the three ended March 31, 2021 and 2020 was $47 and $45.</w:t>
      </w:r>
    </w:p>
    <w:p>
      <w:pPr>
        <w:spacing w:after="0" w:line="200" w:lineRule="exact"/>
        <w:rPr>
          <w:sz w:val="20"/>
          <w:szCs w:val="20"/>
          <w:color w:val="auto"/>
        </w:rPr>
      </w:pPr>
    </w:p>
    <w:p>
      <w:pPr>
        <w:spacing w:after="0" w:line="291"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items as follows:</w:t>
      </w:r>
    </w:p>
    <w:p>
      <w:pPr>
        <w:spacing w:after="0" w:line="50"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2100" w:type="dxa"/>
            <w:vAlign w:val="bottom"/>
            <w:gridSpan w:val="4"/>
          </w:tcPr>
          <w:p>
            <w:pPr>
              <w:jc w:val="right"/>
              <w:ind w:right="5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w w:val="97"/>
              </w:rPr>
              <w:t>March 31,</w:t>
            </w:r>
          </w:p>
        </w:tc>
        <w:tc>
          <w:tcPr>
            <w:tcW w:w="320" w:type="dxa"/>
            <w:vAlign w:val="bottom"/>
            <w:tcBorders>
              <w:bottom w:val="single" w:sz="8" w:color="auto"/>
            </w:tcBorders>
          </w:tcPr>
          <w:p>
            <w:pPr>
              <w:spacing w:after="0"/>
              <w:rPr>
                <w:sz w:val="20"/>
                <w:szCs w:val="20"/>
                <w:color w:val="auto"/>
              </w:rPr>
            </w:pPr>
          </w:p>
        </w:tc>
      </w:tr>
      <w:tr>
        <w:trPr>
          <w:trHeight w:val="223"/>
        </w:trPr>
        <w:tc>
          <w:tcPr>
            <w:tcW w:w="46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auto"/>
            </w:tcBorders>
          </w:tcPr>
          <w:p>
            <w:pPr>
              <w:spacing w:after="0"/>
              <w:rPr>
                <w:sz w:val="19"/>
                <w:szCs w:val="19"/>
                <w:color w:val="auto"/>
              </w:rPr>
            </w:pP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Other (income) / costs</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Asset impairments and sales</w:t>
            </w:r>
          </w:p>
        </w:tc>
        <w:tc>
          <w:tcPr>
            <w:tcW w:w="780" w:type="dxa"/>
            <w:vAlign w:val="bottom"/>
          </w:tcPr>
          <w:p>
            <w:pPr>
              <w:spacing w:after="0"/>
              <w:rPr>
                <w:sz w:val="19"/>
                <w:szCs w:val="19"/>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6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At March 31, 2021, the Company had restructuring accruals of $18, primarily related to headcount reductions in its European and Transit Packaging divisions. The Company expects to pay these amounts over the next twelve months.</w:t>
      </w:r>
    </w:p>
    <w:p>
      <w:pPr>
        <w:spacing w:after="0" w:line="200" w:lineRule="exact"/>
        <w:rPr>
          <w:sz w:val="20"/>
          <w:szCs w:val="20"/>
          <w:color w:val="auto"/>
        </w:rPr>
      </w:pPr>
    </w:p>
    <w:p>
      <w:pPr>
        <w:spacing w:after="0" w:line="236"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Cork.r</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recent years, 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the Company paid $2 to settle asbestos claims and pay related legal and defense costs and had claims activity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56,400</w:t>
            </w:r>
          </w:p>
        </w:tc>
      </w:tr>
      <w:tr>
        <w:trPr>
          <w:trHeight w:val="21"/>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2020, the Company's outstanding claims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23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1460" w:type="dxa"/>
            <w:vAlign w:val="bottom"/>
          </w:tcPr>
          <w:p>
            <w:pPr>
              <w:jc w:val="right"/>
              <w:spacing w:after="0"/>
              <w:rPr>
                <w:sz w:val="20"/>
                <w:szCs w:val="20"/>
                <w:color w:val="auto"/>
              </w:rPr>
            </w:pPr>
            <w:r>
              <w:rPr>
                <w:rFonts w:ascii="Arial" w:cs="Arial" w:eastAsia="Arial" w:hAnsi="Arial"/>
                <w:sz w:val="18"/>
                <w:szCs w:val="18"/>
                <w:color w:val="auto"/>
              </w:rPr>
              <w:t>41 %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41 %</w:t>
            </w:r>
          </w:p>
        </w:tc>
      </w:tr>
    </w:tbl>
    <w:p>
      <w:pPr>
        <w:spacing w:after="0" w:line="33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March 31, 2021.</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2021, the Company’s accrual for pending and future asbestos-related claims and related legal costs was $249, including $207 for unasserted claims. The Company determines its accrual without limitation to a specific time period.</w:t>
      </w:r>
    </w:p>
    <w:p>
      <w:pPr>
        <w:spacing w:after="0" w:line="19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2020),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200" w:lineRule="exact"/>
        <w:rPr>
          <w:sz w:val="20"/>
          <w:szCs w:val="20"/>
          <w:color w:val="auto"/>
        </w:rPr>
      </w:pPr>
    </w:p>
    <w:p>
      <w:pPr>
        <w:spacing w:after="0" w:line="234"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The Company, along with others in most cases, has been identified by the U.S. Environmental Protection Agency or a comparable state environmental agency as a Potentially Responsible Party (“PRP”) at a number of sites and has recorded aggregate accruals of $8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22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also recorded aggregate accruals of $7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214"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205"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20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(including in connection with tariffs recently imposed in the U.S., which may increase costs)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21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March 31, 2021,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0" w:lineRule="exact"/>
        <w:rPr>
          <w:sz w:val="20"/>
          <w:szCs w:val="20"/>
          <w:color w:val="auto"/>
        </w:rPr>
      </w:pPr>
    </w:p>
    <w:p>
      <w:pPr>
        <w:spacing w:after="0" w:line="250" w:lineRule="exact"/>
        <w:rPr>
          <w:sz w:val="20"/>
          <w:szCs w:val="20"/>
          <w:color w:val="auto"/>
        </w:rPr>
      </w:pPr>
    </w:p>
    <w:p>
      <w:pPr>
        <w:ind w:left="660" w:right="7480" w:hanging="652"/>
        <w:spacing w:after="0" w:line="566" w:lineRule="auto"/>
        <w:tabs>
          <w:tab w:leader="none" w:pos="377"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Derivative and Other Financial Instruments </w:t>
      </w:r>
      <w:r>
        <w:rPr>
          <w:rFonts w:ascii="Arial" w:cs="Arial" w:eastAsia="Arial" w:hAnsi="Arial"/>
          <w:sz w:val="17"/>
          <w:szCs w:val="17"/>
          <w:u w:val="single" w:color="auto"/>
          <w:color w:val="auto"/>
        </w:rPr>
        <w:t>Fair Value Measurements</w:t>
      </w:r>
    </w:p>
    <w:p>
      <w:pPr>
        <w:jc w:val="both"/>
        <w:ind w:left="660"/>
        <w:spacing w:after="0" w:line="275" w:lineRule="auto"/>
        <w:rPr>
          <w:sz w:val="20"/>
          <w:szCs w:val="20"/>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203"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2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may affect the valuation of assets and liabilities measured at fair value and their placement within the fair value hierarchy.</w:t>
      </w:r>
    </w:p>
    <w:p>
      <w:pPr>
        <w:spacing w:after="0" w:line="252"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ind w:left="4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17">
        <w:r>
          <w:rPr>
            <w:rFonts w:ascii="Arial" w:cs="Arial" w:eastAsia="Arial" w:hAnsi="Arial"/>
            <w:sz w:val="18"/>
            <w:szCs w:val="18"/>
            <w:u w:val="single" w:color="auto"/>
            <w:color w:val="0000FF"/>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ind w:left="460"/>
        <w:spacing w:after="0" w:line="293"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ind w:left="460"/>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March 31, 2021 mature between one and twenty-two months.</w:t>
      </w:r>
    </w:p>
    <w:p>
      <w:pPr>
        <w:spacing w:after="0" w:line="203"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17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including aluminum, fuel oil and natural gas, and these exposures are hedged by a central treasury unit.</w:t>
      </w:r>
    </w:p>
    <w:p>
      <w:pPr>
        <w:spacing w:after="0" w:line="197"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Foreign currency risk is generally hedged with the related commodity price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uses interest rate swaps to convert interest on floating rate debt to a fixed-rate.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21" w:right="339" w:bottom="1440" w:gutter="0" w:footer="0" w:header="0"/>
        </w:sectPr>
      </w:pPr>
    </w:p>
    <w:bookmarkStart w:id="13" w:name="page14"/>
    <w:bookmarkEnd w:id="13"/>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48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Amount of gain/(loss)</w:t>
      </w:r>
    </w:p>
    <w:p>
      <w:pPr>
        <w:jc w:val="center"/>
        <w:ind w:right="460"/>
        <w:spacing w:after="0"/>
        <w:rPr>
          <w:sz w:val="20"/>
          <w:szCs w:val="20"/>
          <w:color w:val="auto"/>
        </w:rPr>
      </w:pPr>
      <w:r>
        <w:rPr>
          <w:rFonts w:ascii="Arial" w:cs="Arial" w:eastAsia="Arial" w:hAnsi="Arial"/>
          <w:sz w:val="18"/>
          <w:szCs w:val="18"/>
          <w:color w:val="auto"/>
        </w:rPr>
        <w:t>recognized in 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2616835</wp:posOffset>
            </wp:positionH>
            <wp:positionV relativeFrom="paragraph">
              <wp:posOffset>4445</wp:posOffset>
            </wp:positionV>
            <wp:extent cx="14998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Three Months Ended</w:t>
      </w:r>
    </w:p>
    <w:p>
      <w:pPr>
        <w:ind w:left="4940"/>
        <w:spacing w:after="0"/>
        <w:rPr>
          <w:sz w:val="20"/>
          <w:szCs w:val="20"/>
          <w:color w:val="auto"/>
        </w:rPr>
      </w:pPr>
      <w:r>
        <w:rPr>
          <w:rFonts w:ascii="Arial" w:cs="Arial" w:eastAsia="Arial" w:hAnsi="Arial"/>
          <w:sz w:val="18"/>
          <w:szCs w:val="18"/>
          <w:color w:val="auto"/>
        </w:rPr>
        <w:t>March 31,</w:t>
      </w:r>
    </w:p>
    <w:p>
      <w:pPr>
        <w:spacing w:after="0" w:line="7"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Interest Rate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Commodities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r>
      <w:tr>
        <w:trPr>
          <w:trHeight w:val="223"/>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Amount of gain/(loss)</w:t>
      </w:r>
    </w:p>
    <w:p>
      <w:pPr>
        <w:jc w:val="center"/>
        <w:ind w:right="460"/>
        <w:spacing w:after="0" w:line="203" w:lineRule="auto"/>
        <w:rPr>
          <w:sz w:val="20"/>
          <w:szCs w:val="20"/>
          <w:color w:val="auto"/>
        </w:rPr>
      </w:pPr>
      <w:r>
        <w:rPr>
          <w:rFonts w:ascii="Arial" w:cs="Arial" w:eastAsia="Arial" w:hAnsi="Arial"/>
          <w:sz w:val="18"/>
          <w:szCs w:val="18"/>
          <w:color w:val="auto"/>
        </w:rPr>
        <w:t>reclassified from AOCI into</w:t>
      </w:r>
    </w:p>
    <w:p>
      <w:pPr>
        <w:jc w:val="center"/>
        <w:ind w:right="460"/>
        <w:spacing w:after="0"/>
        <w:rPr>
          <w:sz w:val="20"/>
          <w:szCs w:val="20"/>
          <w:color w:val="auto"/>
        </w:rPr>
      </w:pPr>
      <w:r>
        <w:rPr>
          <w:rFonts w:ascii="Arial" w:cs="Arial" w:eastAsia="Arial" w:hAnsi="Arial"/>
          <w:sz w:val="18"/>
          <w:szCs w:val="18"/>
          <w:color w:val="auto"/>
        </w:rPr>
        <w:t>income</w:t>
      </w:r>
    </w:p>
    <w:p>
      <w:pPr>
        <w:spacing w:after="0" w:line="7"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Borders>
              <w:top w:val="single" w:sz="8" w:color="auto"/>
              <w:bottom w:val="single" w:sz="8" w:color="auto"/>
            </w:tcBorders>
            <w:gridSpan w:val="5"/>
          </w:tcPr>
          <w:p>
            <w:pPr>
              <w:ind w:left="40"/>
              <w:spacing w:after="0"/>
              <w:rPr>
                <w:sz w:val="20"/>
                <w:szCs w:val="20"/>
                <w:color w:val="auto"/>
              </w:rPr>
            </w:pPr>
            <w:r>
              <w:rPr>
                <w:rFonts w:ascii="Arial" w:cs="Arial" w:eastAsia="Arial" w:hAnsi="Arial"/>
                <w:sz w:val="18"/>
                <w:szCs w:val="18"/>
                <w:color w:val="auto"/>
                <w:w w:val="90"/>
              </w:rPr>
              <w:t>Three Months Ended March 31,</w:t>
            </w:r>
          </w:p>
        </w:tc>
        <w:tc>
          <w:tcPr>
            <w:tcW w:w="120" w:type="dxa"/>
            <w:vAlign w:val="bottom"/>
          </w:tcPr>
          <w:p>
            <w:pPr>
              <w:spacing w:after="0"/>
              <w:rPr>
                <w:sz w:val="19"/>
                <w:szCs w:val="19"/>
                <w:color w:val="auto"/>
              </w:rPr>
            </w:pPr>
          </w:p>
        </w:tc>
        <w:tc>
          <w:tcPr>
            <w:tcW w:w="3540" w:type="dxa"/>
            <w:vAlign w:val="bottom"/>
            <w:vMerge w:val="restart"/>
          </w:tcPr>
          <w:p>
            <w:pPr>
              <w:ind w:left="380"/>
              <w:spacing w:after="0"/>
              <w:rPr>
                <w:sz w:val="20"/>
                <w:szCs w:val="20"/>
                <w:color w:val="auto"/>
              </w:rPr>
            </w:pPr>
            <w:r>
              <w:rPr>
                <w:rFonts w:ascii="Arial" w:cs="Arial" w:eastAsia="Arial" w:hAnsi="Arial"/>
                <w:sz w:val="18"/>
                <w:szCs w:val="18"/>
                <w:color w:val="auto"/>
              </w:rPr>
              <w:t>Affected line items in the Statement of</w:t>
            </w:r>
          </w:p>
        </w:tc>
        <w:tc>
          <w:tcPr>
            <w:tcW w:w="0" w:type="dxa"/>
            <w:vAlign w:val="bottom"/>
          </w:tcPr>
          <w:p>
            <w:pPr>
              <w:spacing w:after="0"/>
              <w:rPr>
                <w:sz w:val="1"/>
                <w:szCs w:val="1"/>
                <w:color w:val="auto"/>
              </w:rPr>
            </w:pPr>
          </w:p>
        </w:tc>
      </w:tr>
      <w:tr>
        <w:trPr>
          <w:trHeight w:val="155"/>
        </w:trPr>
        <w:tc>
          <w:tcPr>
            <w:tcW w:w="364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in cash flow hedges</w:t>
            </w:r>
          </w:p>
        </w:tc>
        <w:tc>
          <w:tcPr>
            <w:tcW w:w="240" w:type="dxa"/>
            <w:vAlign w:val="bottom"/>
          </w:tcPr>
          <w:p>
            <w:pPr>
              <w:spacing w:after="0"/>
              <w:rPr>
                <w:sz w:val="13"/>
                <w:szCs w:val="13"/>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6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ind w:left="1380"/>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reclassified</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For the twelve-month period ending March 31, 2022, a net gain of $49 ($39, net of tax) is expected to be reclassified to earnings for commodity and foreign exchange contracts. No amounts were reclassified during the three months ended March 31, 2021 and 2020 in connection with anticipated transactions that were no longer considered probable.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14" w:lineRule="exact"/>
        <w:rPr>
          <w:sz w:val="20"/>
          <w:szCs w:val="20"/>
          <w:color w:val="auto"/>
        </w:rPr>
      </w:pPr>
    </w:p>
    <w:p>
      <w:pPr>
        <w:jc w:val="both"/>
        <w:ind w:left="480"/>
        <w:spacing w:after="0" w:line="342" w:lineRule="auto"/>
        <w:rPr>
          <w:sz w:val="20"/>
          <w:szCs w:val="20"/>
          <w:color w:val="auto"/>
        </w:rPr>
      </w:pPr>
      <w:r>
        <w:rPr>
          <w:rFonts w:ascii="Arial" w:cs="Arial" w:eastAsia="Arial" w:hAnsi="Arial"/>
          <w:sz w:val="16"/>
          <w:szCs w:val="16"/>
          <w:color w:val="auto"/>
        </w:rPr>
        <w:t>For the three months ended March 31, 2021 and 2020, the Company recorded a gain of $7 and loss of less than $1 from foreign exchange contracts designated as fair value hedges. These adjustments were reported within foreign exchange in the Consolidated Statements of Operations.</w:t>
      </w:r>
    </w:p>
    <w:p>
      <w:pPr>
        <w:spacing w:after="0" w:line="151" w:lineRule="exact"/>
        <w:rPr>
          <w:sz w:val="20"/>
          <w:szCs w:val="20"/>
          <w:color w:val="auto"/>
        </w:rPr>
      </w:pPr>
    </w:p>
    <w:p>
      <w:pPr>
        <w:jc w:val="both"/>
        <w:ind w:left="480"/>
        <w:spacing w:after="0" w:line="296" w:lineRule="auto"/>
        <w:rPr>
          <w:sz w:val="20"/>
          <w:szCs w:val="20"/>
          <w:color w:val="auto"/>
        </w:rPr>
      </w:pPr>
      <w:r>
        <w:rPr>
          <w:rFonts w:ascii="Arial" w:cs="Arial" w:eastAsia="Arial" w:hAnsi="Arial"/>
          <w:sz w:val="16"/>
          <w:szCs w:val="16"/>
          <w:color w:val="auto"/>
        </w:rPr>
        <w:t>Certain derivative financial instruments, including foreign exchange contracts related to intercompany debt, were not designated or did not quality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14" w:name="page15"/>
    <w:bookmarkEnd w:id="14"/>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27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Pre-tax amounts of gain/(loss)</w:t>
      </w:r>
    </w:p>
    <w:p>
      <w:pPr>
        <w:jc w:val="center"/>
        <w:ind w:right="460"/>
        <w:spacing w:after="0" w:line="203" w:lineRule="auto"/>
        <w:rPr>
          <w:sz w:val="20"/>
          <w:szCs w:val="20"/>
          <w:color w:val="auto"/>
        </w:rPr>
      </w:pPr>
      <w:r>
        <w:rPr>
          <w:rFonts w:ascii="Arial" w:cs="Arial" w:eastAsia="Arial" w:hAnsi="Arial"/>
          <w:sz w:val="18"/>
          <w:szCs w:val="18"/>
          <w:color w:val="auto"/>
        </w:rPr>
        <w:t>recognized in income on</w:t>
      </w:r>
    </w:p>
    <w:p>
      <w:pPr>
        <w:jc w:val="center"/>
        <w:ind w:right="460"/>
        <w:spacing w:after="0"/>
        <w:rPr>
          <w:sz w:val="20"/>
          <w:szCs w:val="20"/>
          <w:color w:val="auto"/>
        </w:rPr>
      </w:pPr>
      <w:r>
        <w:rPr>
          <w:rFonts w:ascii="Arial" w:cs="Arial" w:eastAsia="Arial" w:hAnsi="Arial"/>
          <w:sz w:val="18"/>
          <w:szCs w:val="18"/>
          <w:color w:val="auto"/>
        </w:rPr>
        <w:t>derivative</w:t>
      </w:r>
    </w:p>
    <w:p>
      <w:pPr>
        <w:spacing w:after="0" w:line="7"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tcBorders>
              <w:top w:val="single" w:sz="8" w:color="auto"/>
              <w:bottom w:val="single" w:sz="8" w:color="auto"/>
            </w:tcBorders>
            <w:gridSpan w:val="5"/>
          </w:tcPr>
          <w:p>
            <w:pPr>
              <w:ind w:left="40"/>
              <w:spacing w:after="0"/>
              <w:rPr>
                <w:sz w:val="20"/>
                <w:szCs w:val="20"/>
                <w:color w:val="auto"/>
              </w:rPr>
            </w:pPr>
            <w:r>
              <w:rPr>
                <w:rFonts w:ascii="Arial" w:cs="Arial" w:eastAsia="Arial" w:hAnsi="Arial"/>
                <w:sz w:val="18"/>
                <w:szCs w:val="18"/>
                <w:color w:val="auto"/>
                <w:w w:val="90"/>
              </w:rPr>
              <w:t>Three Months Ended March 31,</w:t>
            </w:r>
          </w:p>
        </w:tc>
        <w:tc>
          <w:tcPr>
            <w:tcW w:w="120" w:type="dxa"/>
            <w:vAlign w:val="bottom"/>
          </w:tcPr>
          <w:p>
            <w:pPr>
              <w:spacing w:after="0"/>
              <w:rPr>
                <w:sz w:val="19"/>
                <w:szCs w:val="19"/>
                <w:color w:val="auto"/>
              </w:rPr>
            </w:pPr>
          </w:p>
        </w:tc>
        <w:tc>
          <w:tcPr>
            <w:tcW w:w="3540" w:type="dxa"/>
            <w:vAlign w:val="bottom"/>
            <w:vMerge w:val="restart"/>
          </w:tcPr>
          <w:p>
            <w:pPr>
              <w:jc w:val="center"/>
              <w:spacing w:after="0"/>
              <w:rPr>
                <w:sz w:val="20"/>
                <w:szCs w:val="20"/>
                <w:color w:val="auto"/>
              </w:rPr>
            </w:pPr>
            <w:r>
              <w:rPr>
                <w:rFonts w:ascii="Arial" w:cs="Arial" w:eastAsia="Arial" w:hAnsi="Arial"/>
                <w:sz w:val="18"/>
                <w:szCs w:val="18"/>
                <w:color w:val="auto"/>
                <w:w w:val="92"/>
              </w:rPr>
              <w:t>Affected line item in the Statement of</w:t>
            </w:r>
          </w:p>
        </w:tc>
        <w:tc>
          <w:tcPr>
            <w:tcW w:w="0" w:type="dxa"/>
            <w:vAlign w:val="bottom"/>
          </w:tcPr>
          <w:p>
            <w:pPr>
              <w:spacing w:after="0"/>
              <w:rPr>
                <w:sz w:val="1"/>
                <w:szCs w:val="1"/>
                <w:color w:val="auto"/>
              </w:rPr>
            </w:pPr>
          </w:p>
        </w:tc>
      </w:tr>
      <w:tr>
        <w:trPr>
          <w:trHeight w:val="156"/>
        </w:trPr>
        <w:tc>
          <w:tcPr>
            <w:tcW w:w="3640" w:type="dxa"/>
            <w:vAlign w:val="bottom"/>
            <w:gridSpan w:val="2"/>
            <w:vMerge w:val="restart"/>
          </w:tcPr>
          <w:p>
            <w:pPr>
              <w:ind w:left="20"/>
              <w:spacing w:after="0"/>
              <w:rPr>
                <w:sz w:val="20"/>
                <w:szCs w:val="20"/>
                <w:color w:val="auto"/>
              </w:rPr>
            </w:pPr>
            <w:r>
              <w:rPr>
                <w:rFonts w:ascii="Arial" w:cs="Arial" w:eastAsia="Arial" w:hAnsi="Arial"/>
                <w:sz w:val="18"/>
                <w:szCs w:val="18"/>
                <w:color w:val="auto"/>
              </w:rPr>
              <w:t>Derivatives not designated as hedges</w:t>
            </w:r>
          </w:p>
        </w:tc>
        <w:tc>
          <w:tcPr>
            <w:tcW w:w="240" w:type="dxa"/>
            <w:vAlign w:val="bottom"/>
          </w:tcPr>
          <w:p>
            <w:pPr>
              <w:spacing w:after="0"/>
              <w:rPr>
                <w:sz w:val="13"/>
                <w:szCs w:val="13"/>
                <w:color w:val="auto"/>
              </w:rPr>
            </w:pPr>
          </w:p>
        </w:tc>
        <w:tc>
          <w:tcPr>
            <w:tcW w:w="820" w:type="dxa"/>
            <w:vAlign w:val="bottom"/>
            <w:vMerge w:val="restart"/>
          </w:tcPr>
          <w:p>
            <w:pPr>
              <w:jc w:val="right"/>
              <w:ind w:right="25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6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88"/>
              </w:rPr>
              <w:t>Operations</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ind w:left="480"/>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ind w:left="480"/>
        <w:spacing w:after="0" w:line="257" w:lineRule="auto"/>
        <w:rPr>
          <w:sz w:val="20"/>
          <w:szCs w:val="20"/>
          <w:color w:val="auto"/>
        </w:rPr>
      </w:pPr>
      <w:r>
        <w:rPr>
          <w:rFonts w:ascii="Arial" w:cs="Arial" w:eastAsia="Arial" w:hAnsi="Arial"/>
          <w:sz w:val="18"/>
          <w:szCs w:val="18"/>
          <w:color w:val="auto"/>
        </w:rPr>
        <w:t>During the three months ended March 31, 2021 and 2020, the Company recorded a gain of $54 ($54, net of tax) and a gain of $26 ($26, net of tax) in other comprehensive income for certain debt instruments that are designated as hedges of its net investment in a euro-based subsidiary. As of March 31, 2021 and December 31, 2020, cumulative gains of $21 ($44, net of tax) and losses of $33 ($10, net of tax) were recognized in accumulated other comprehensive income related to these net investment hedges and the carrying amount of the hedged net investment was €1,115 ($1,308) at March 31, 2021.</w:t>
      </w:r>
    </w:p>
    <w:p>
      <w:pPr>
        <w:spacing w:after="0" w:line="215" w:lineRule="exact"/>
        <w:rPr>
          <w:sz w:val="20"/>
          <w:szCs w:val="20"/>
          <w:color w:val="auto"/>
        </w:rPr>
      </w:pPr>
    </w:p>
    <w:p>
      <w:pPr>
        <w:ind w:left="7140" w:right="200" w:hanging="6663"/>
        <w:spacing w:after="0" w:line="330" w:lineRule="auto"/>
        <w:rPr>
          <w:sz w:val="20"/>
          <w:szCs w:val="20"/>
          <w:color w:val="auto"/>
        </w:rPr>
      </w:pPr>
      <w:r>
        <w:rPr>
          <w:rFonts w:ascii="Arial" w:cs="Arial" w:eastAsia="Arial" w:hAnsi="Arial"/>
          <w:sz w:val="16"/>
          <w:szCs w:val="16"/>
          <w:color w:val="auto"/>
        </w:rPr>
        <w:t>The following tables set forth the impact on AOCI from changes in the fair value of derivative instruments designated as net investment hedges. Amount of gain / (loss) recognized in AOCI</w:t>
      </w:r>
    </w:p>
    <w:tbl>
      <w:tblPr>
        <w:tblLayout w:type="fixed"/>
        <w:tblInd w:w="480" w:type="dxa"/>
        <w:tblCellMar>
          <w:top w:w="0" w:type="dxa"/>
          <w:left w:w="0" w:type="dxa"/>
          <w:bottom w:w="0" w:type="dxa"/>
          <w:right w:w="0" w:type="dxa"/>
        </w:tblCellMar>
      </w:tblPr>
      <w:tr>
        <w:trPr>
          <w:trHeight w:val="204"/>
        </w:trPr>
        <w:tc>
          <w:tcPr>
            <w:tcW w:w="6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920" w:type="dxa"/>
            <w:vAlign w:val="bottom"/>
            <w:tcBorders>
              <w:top w:val="single" w:sz="8" w:color="auto"/>
              <w:bottom w:val="single" w:sz="8" w:color="auto"/>
            </w:tcBorders>
            <w:gridSpan w:val="4"/>
          </w:tcPr>
          <w:p>
            <w:pPr>
              <w:ind w:left="180"/>
              <w:spacing w:after="0" w:line="204" w:lineRule="exact"/>
              <w:rPr>
                <w:sz w:val="20"/>
                <w:szCs w:val="20"/>
                <w:color w:val="auto"/>
              </w:rPr>
            </w:pPr>
            <w:r>
              <w:rPr>
                <w:rFonts w:ascii="Arial" w:cs="Arial" w:eastAsia="Arial" w:hAnsi="Arial"/>
                <w:sz w:val="18"/>
                <w:szCs w:val="18"/>
                <w:color w:val="auto"/>
              </w:rPr>
              <w:t>Three months ended March 31,</w:t>
            </w:r>
          </w:p>
        </w:tc>
        <w:tc>
          <w:tcPr>
            <w:tcW w:w="120" w:type="dxa"/>
            <w:vAlign w:val="bottom"/>
          </w:tcPr>
          <w:p>
            <w:pPr>
              <w:spacing w:after="0"/>
              <w:rPr>
                <w:sz w:val="17"/>
                <w:szCs w:val="17"/>
                <w:color w:val="auto"/>
              </w:rPr>
            </w:pPr>
          </w:p>
        </w:tc>
      </w:tr>
      <w:tr>
        <w:trPr>
          <w:trHeight w:val="223"/>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300" w:type="dxa"/>
            <w:vAlign w:val="bottom"/>
          </w:tcPr>
          <w:p>
            <w:pPr>
              <w:spacing w:after="0"/>
              <w:rPr>
                <w:sz w:val="19"/>
                <w:szCs w:val="19"/>
                <w:color w:val="auto"/>
              </w:rPr>
            </w:pPr>
          </w:p>
        </w:tc>
        <w:tc>
          <w:tcPr>
            <w:tcW w:w="1040" w:type="dxa"/>
            <w:vAlign w:val="bottom"/>
          </w:tcPr>
          <w:p>
            <w:pPr>
              <w:ind w:left="200"/>
              <w:spacing w:after="0"/>
              <w:rPr>
                <w:sz w:val="20"/>
                <w:szCs w:val="20"/>
                <w:color w:val="auto"/>
              </w:rPr>
            </w:pPr>
            <w:r>
              <w:rPr>
                <w:rFonts w:ascii="Arial" w:cs="Arial" w:eastAsia="Arial" w:hAnsi="Arial"/>
                <w:sz w:val="18"/>
                <w:szCs w:val="18"/>
                <w:color w:val="auto"/>
              </w:rPr>
              <w:t>2021</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r>
      <w:tr>
        <w:trPr>
          <w:trHeight w:val="223"/>
        </w:trPr>
        <w:tc>
          <w:tcPr>
            <w:tcW w:w="6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top w:val="single" w:sz="8" w:color="CCEEFF"/>
            </w:tcBorders>
            <w:shd w:val="clear" w:color="auto" w:fill="CCEEFF"/>
          </w:tcPr>
          <w:p>
            <w:pPr>
              <w:spacing w:after="0"/>
              <w:rPr>
                <w:sz w:val="19"/>
                <w:szCs w:val="19"/>
                <w:color w:val="auto"/>
              </w:rPr>
            </w:pPr>
          </w:p>
        </w:tc>
      </w:tr>
    </w:tbl>
    <w:p>
      <w:pPr>
        <w:spacing w:after="0" w:line="337" w:lineRule="exact"/>
        <w:rPr>
          <w:sz w:val="20"/>
          <w:szCs w:val="20"/>
          <w:color w:val="auto"/>
        </w:rPr>
      </w:pPr>
    </w:p>
    <w:p>
      <w:pPr>
        <w:jc w:val="both"/>
        <w:ind w:left="480"/>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 as of March 31, 2021 and December 31, 2020, respectively. The fair values of these financial instruments were reported under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15" w:name="page16"/>
    <w:bookmarkEnd w:id="15"/>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17"/>
                <w:szCs w:val="17"/>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w w:val="88"/>
              </w:rPr>
              <w:t>December 31,</w:t>
            </w:r>
          </w:p>
        </w:tc>
        <w:tc>
          <w:tcPr>
            <w:tcW w:w="100" w:type="dxa"/>
            <w:vAlign w:val="bottom"/>
          </w:tcPr>
          <w:p>
            <w:pPr>
              <w:spacing w:after="0"/>
              <w:rPr>
                <w:sz w:val="17"/>
                <w:szCs w:val="17"/>
                <w:color w:val="auto"/>
              </w:rPr>
            </w:pP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Balance Sheet</w:t>
            </w: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17"/>
                <w:szCs w:val="17"/>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classification</w:t>
            </w:r>
          </w:p>
        </w:tc>
        <w:tc>
          <w:tcPr>
            <w:tcW w:w="18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37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1600" w:type="dxa"/>
            <w:vAlign w:val="bottom"/>
            <w:gridSpan w:val="2"/>
          </w:tcPr>
          <w:p>
            <w:pPr>
              <w:ind w:left="280"/>
              <w:spacing w:after="0"/>
              <w:rPr>
                <w:sz w:val="20"/>
                <w:szCs w:val="20"/>
                <w:color w:val="auto"/>
              </w:rPr>
            </w:pPr>
            <w:r>
              <w:rPr>
                <w:rFonts w:ascii="Arial" w:cs="Arial" w:eastAsia="Arial" w:hAnsi="Arial"/>
                <w:sz w:val="18"/>
                <w:szCs w:val="18"/>
                <w:color w:val="auto"/>
              </w:rPr>
              <w:t>classification</w:t>
            </w:r>
          </w:p>
        </w:tc>
        <w:tc>
          <w:tcPr>
            <w:tcW w:w="180" w:type="dxa"/>
            <w:vAlign w:val="bottom"/>
          </w:tcPr>
          <w:p>
            <w:pPr>
              <w:spacing w:after="0"/>
              <w:rPr>
                <w:sz w:val="19"/>
                <w:szCs w:val="19"/>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56"/>
        </w:trPr>
        <w:tc>
          <w:tcPr>
            <w:tcW w:w="18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87"/>
              </w:rPr>
              <w:t>Derivatives designated as</w:t>
            </w:r>
          </w:p>
        </w:tc>
        <w:tc>
          <w:tcPr>
            <w:tcW w:w="1340" w:type="dxa"/>
            <w:vAlign w:val="bottom"/>
            <w:tcBorders>
              <w:top w:val="single" w:sz="8" w:color="auto"/>
            </w:tcBorders>
            <w:shd w:val="clear" w:color="auto" w:fill="CCEEFF"/>
          </w:tcPr>
          <w:p>
            <w:pPr>
              <w:ind w:left="60"/>
              <w:spacing w:after="0" w:line="156" w:lineRule="exact"/>
              <w:rPr>
                <w:sz w:val="20"/>
                <w:szCs w:val="20"/>
                <w:color w:val="auto"/>
              </w:rPr>
            </w:pPr>
            <w:r>
              <w:rPr>
                <w:rFonts w:ascii="Arial" w:cs="Arial" w:eastAsia="Arial" w:hAnsi="Arial"/>
                <w:sz w:val="18"/>
                <w:szCs w:val="18"/>
                <w:color w:val="auto"/>
              </w:rPr>
              <w:t>hedging</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40" w:type="dxa"/>
            <w:vAlign w:val="bottom"/>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340" w:type="dxa"/>
            <w:vAlign w:val="bottom"/>
          </w:tcPr>
          <w:p>
            <w:pPr>
              <w:ind w:left="20"/>
              <w:spacing w:after="0" w:line="169" w:lineRule="exact"/>
              <w:rPr>
                <w:sz w:val="20"/>
                <w:szCs w:val="20"/>
                <w:color w:val="auto"/>
              </w:rPr>
            </w:pPr>
            <w:r>
              <w:rPr>
                <w:rFonts w:ascii="Arial" w:cs="Arial" w:eastAsia="Arial" w:hAnsi="Arial"/>
                <w:sz w:val="18"/>
                <w:szCs w:val="18"/>
                <w:color w:val="auto"/>
              </w:rPr>
              <w:t>Other current</w:t>
            </w:r>
          </w:p>
        </w:tc>
        <w:tc>
          <w:tcPr>
            <w:tcW w:w="10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4"/>
                <w:szCs w:val="14"/>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8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Other non-current</w:t>
            </w:r>
          </w:p>
        </w:tc>
        <w:tc>
          <w:tcPr>
            <w:tcW w:w="18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8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Foreign exchange</w:t>
            </w:r>
          </w:p>
        </w:tc>
        <w:tc>
          <w:tcPr>
            <w:tcW w:w="1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current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600" w:type="dxa"/>
            <w:vAlign w:val="bottom"/>
            <w:gridSpan w:val="2"/>
            <w:vMerge w:val="restart"/>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contracts fair value</w:t>
            </w: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Commodities contracts</w:t>
            </w:r>
          </w:p>
        </w:tc>
        <w:tc>
          <w:tcPr>
            <w:tcW w:w="14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current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5"/>
                <w:szCs w:val="15"/>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4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Other non-current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rate contracts</w:t>
            </w:r>
          </w:p>
        </w:tc>
        <w:tc>
          <w:tcPr>
            <w:tcW w:w="14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Other non-current</w:t>
            </w:r>
          </w:p>
        </w:tc>
        <w:tc>
          <w:tcPr>
            <w:tcW w:w="18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line="176" w:lineRule="exact"/>
              <w:rPr>
                <w:sz w:val="20"/>
                <w:szCs w:val="20"/>
                <w:color w:val="auto"/>
              </w:rPr>
            </w:pPr>
            <w:r>
              <w:rPr>
                <w:rFonts w:ascii="Arial" w:cs="Arial" w:eastAsia="Arial" w:hAnsi="Arial"/>
                <w:sz w:val="18"/>
                <w:szCs w:val="18"/>
                <w:color w:val="auto"/>
              </w:rPr>
              <w:t>Net investment hedge</w:t>
            </w:r>
          </w:p>
        </w:tc>
        <w:tc>
          <w:tcPr>
            <w:tcW w:w="14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Other non-current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184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75"/>
        </w:trPr>
        <w:tc>
          <w:tcPr>
            <w:tcW w:w="328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Derivatives not designated as hedging</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instruments</w:t>
            </w: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34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Other current</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4"/>
                <w:szCs w:val="14"/>
                <w:color w:val="auto"/>
              </w:rPr>
            </w:pPr>
          </w:p>
        </w:tc>
        <w:tc>
          <w:tcPr>
            <w:tcW w:w="16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4"/>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1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18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gridSpan w:val="2"/>
          </w:tcPr>
          <w:p>
            <w:pPr>
              <w:spacing w:after="0"/>
              <w:rPr>
                <w:sz w:val="20"/>
                <w:szCs w:val="20"/>
                <w:color w:val="auto"/>
              </w:rPr>
            </w:pPr>
            <w:r>
              <w:rPr>
                <w:rFonts w:ascii="Arial" w:cs="Arial" w:eastAsia="Arial" w:hAnsi="Arial"/>
                <w:sz w:val="18"/>
                <w:szCs w:val="18"/>
                <w:color w:val="auto"/>
              </w:rPr>
              <w:t>Fair Value Hedge Carrying Amounts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tcPr>
          <w:p>
            <w:pPr>
              <w:spacing w:after="0"/>
              <w:rPr>
                <w:sz w:val="19"/>
                <w:szCs w:val="19"/>
                <w:color w:val="auto"/>
              </w:rPr>
            </w:pPr>
          </w:p>
        </w:tc>
        <w:tc>
          <w:tcPr>
            <w:tcW w:w="3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gridSpan w:val="4"/>
          </w:tcPr>
          <w:p>
            <w:pPr>
              <w:jc w:val="center"/>
              <w:ind w:right="90"/>
              <w:spacing w:after="0"/>
              <w:rPr>
                <w:sz w:val="20"/>
                <w:szCs w:val="20"/>
                <w:color w:val="auto"/>
              </w:rPr>
            </w:pPr>
            <w:r>
              <w:rPr>
                <w:rFonts w:ascii="Arial" w:cs="Arial" w:eastAsia="Arial" w:hAnsi="Arial"/>
                <w:sz w:val="18"/>
                <w:szCs w:val="18"/>
                <w:color w:val="auto"/>
                <w:w w:val="89"/>
              </w:rPr>
              <w:t>Carrying amount of the hedged assets /</w:t>
            </w:r>
          </w:p>
        </w:tc>
        <w:tc>
          <w:tcPr>
            <w:tcW w:w="0" w:type="dxa"/>
            <w:vAlign w:val="bottom"/>
          </w:tcPr>
          <w:p>
            <w:pPr>
              <w:spacing w:after="0"/>
              <w:rPr>
                <w:sz w:val="1"/>
                <w:szCs w:val="1"/>
                <w:color w:val="auto"/>
              </w:rPr>
            </w:pPr>
          </w:p>
        </w:tc>
      </w:tr>
      <w:tr>
        <w:trPr>
          <w:trHeight w:val="230"/>
        </w:trPr>
        <w:tc>
          <w:tcPr>
            <w:tcW w:w="26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96"/>
              </w:rPr>
              <w:t>liabilities</w:t>
            </w: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580" w:type="dxa"/>
            <w:vAlign w:val="bottom"/>
            <w:gridSpan w:val="2"/>
            <w:vMerge w:val="restart"/>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60" w:type="dxa"/>
            <w:vAlign w:val="bottom"/>
          </w:tcPr>
          <w:p>
            <w:pPr>
              <w:spacing w:after="0"/>
              <w:rPr>
                <w:sz w:val="15"/>
                <w:szCs w:val="15"/>
                <w:color w:val="auto"/>
              </w:rPr>
            </w:pPr>
          </w:p>
        </w:tc>
        <w:tc>
          <w:tcPr>
            <w:tcW w:w="1700" w:type="dxa"/>
            <w:vAlign w:val="bottom"/>
            <w:gridSpan w:val="2"/>
          </w:tcPr>
          <w:p>
            <w:pPr>
              <w:ind w:left="140"/>
              <w:spacing w:after="0" w:line="182" w:lineRule="exact"/>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5"/>
                <w:szCs w:val="15"/>
                <w:color w:val="auto"/>
              </w:rPr>
            </w:pPr>
          </w:p>
        </w:tc>
        <w:tc>
          <w:tcPr>
            <w:tcW w:w="124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23"/>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cumulative amount of fair value hedging adjustments included in the carrying amount of the hedge assets and liabilities was a loss of $3. As of December 31, 2020, the cumulative amount of fair value hedging adjustments included in the carrying amount of the hedge assets and liabilities was a gain of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200" w:lineRule="exact"/>
        <w:rPr>
          <w:sz w:val="20"/>
          <w:szCs w:val="20"/>
          <w:color w:val="auto"/>
        </w:rPr>
      </w:pPr>
    </w:p>
    <w:p>
      <w:pPr>
        <w:spacing w:after="0" w:line="32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980" w:type="dxa"/>
            <w:vAlign w:val="bottom"/>
          </w:tcPr>
          <w:p>
            <w:pPr>
              <w:jc w:val="center"/>
              <w:ind w:left="450"/>
              <w:spacing w:after="0"/>
              <w:rPr>
                <w:sz w:val="20"/>
                <w:szCs w:val="20"/>
                <w:color w:val="auto"/>
              </w:rPr>
            </w:pPr>
            <w:r>
              <w:rPr>
                <w:rFonts w:ascii="Arial" w:cs="Arial" w:eastAsia="Arial" w:hAnsi="Arial"/>
                <w:sz w:val="18"/>
                <w:szCs w:val="18"/>
                <w:color w:val="auto"/>
                <w:w w:val="89"/>
              </w:rPr>
              <w:t>Gross amounts recognized in the</w:t>
            </w:r>
          </w:p>
        </w:tc>
        <w:tc>
          <w:tcPr>
            <w:tcW w:w="2540" w:type="dxa"/>
            <w:vAlign w:val="bottom"/>
          </w:tcPr>
          <w:p>
            <w:pPr>
              <w:jc w:val="center"/>
              <w:ind w:right="90"/>
              <w:spacing w:after="0"/>
              <w:rPr>
                <w:sz w:val="20"/>
                <w:szCs w:val="20"/>
                <w:color w:val="auto"/>
              </w:rPr>
            </w:pPr>
            <w:r>
              <w:rPr>
                <w:rFonts w:ascii="Arial" w:cs="Arial" w:eastAsia="Arial" w:hAnsi="Arial"/>
                <w:sz w:val="18"/>
                <w:szCs w:val="18"/>
                <w:color w:val="auto"/>
                <w:w w:val="89"/>
              </w:rPr>
              <w:t>Gross amounts not offset in the</w:t>
            </w:r>
          </w:p>
        </w:tc>
        <w:tc>
          <w:tcPr>
            <w:tcW w:w="1480" w:type="dxa"/>
            <w:vAlign w:val="bottom"/>
            <w:vMerge w:val="restart"/>
          </w:tcPr>
          <w:p>
            <w:pPr>
              <w:ind w:left="240"/>
              <w:spacing w:after="0"/>
              <w:rPr>
                <w:sz w:val="20"/>
                <w:szCs w:val="20"/>
                <w:color w:val="auto"/>
              </w:rPr>
            </w:pPr>
            <w:r>
              <w:rPr>
                <w:rFonts w:ascii="Arial" w:cs="Arial" w:eastAsia="Arial" w:hAnsi="Arial"/>
                <w:sz w:val="18"/>
                <w:szCs w:val="18"/>
                <w:color w:val="auto"/>
              </w:rPr>
              <w:t>Net amount</w:t>
            </w: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Balance Sheet</w:t>
            </w:r>
          </w:p>
        </w:tc>
        <w:tc>
          <w:tcPr>
            <w:tcW w:w="2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Balance Sheet</w:t>
            </w:r>
          </w:p>
        </w:tc>
        <w:tc>
          <w:tcPr>
            <w:tcW w:w="14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Arial" w:cs="Arial" w:eastAsia="Arial" w:hAnsi="Arial"/>
                <w:sz w:val="18"/>
                <w:szCs w:val="18"/>
                <w:color w:val="auto"/>
              </w:rPr>
              <w:t>Balance at March 31, 2021</w:t>
            </w:r>
          </w:p>
        </w:tc>
        <w:tc>
          <w:tcPr>
            <w:tcW w:w="2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$135</w:t>
            </w:r>
          </w:p>
        </w:tc>
        <w:tc>
          <w:tcPr>
            <w:tcW w:w="25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$22</w:t>
            </w:r>
          </w:p>
        </w:tc>
        <w:tc>
          <w:tcPr>
            <w:tcW w:w="14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72</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89"/>
              </w:rPr>
              <w:t>22</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Arial" w:cs="Arial" w:eastAsia="Arial" w:hAnsi="Arial"/>
                <w:sz w:val="18"/>
                <w:szCs w:val="18"/>
                <w:color w:val="auto"/>
              </w:rPr>
              <w:t>Balance at December 31, 2020</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9"/>
              </w:rPr>
              <w:t>76</w:t>
            </w:r>
          </w:p>
        </w:tc>
        <w:tc>
          <w:tcPr>
            <w:tcW w:w="25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79"/>
              </w:rPr>
              <w:t>11</w:t>
            </w:r>
          </w:p>
        </w:tc>
        <w:tc>
          <w:tcPr>
            <w:tcW w:w="1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52</w:t>
            </w:r>
          </w:p>
        </w:tc>
        <w:tc>
          <w:tcPr>
            <w:tcW w:w="2540" w:type="dxa"/>
            <w:vAlign w:val="bottom"/>
          </w:tcPr>
          <w:p>
            <w:pPr>
              <w:jc w:val="center"/>
              <w:ind w:right="90"/>
              <w:spacing w:after="0"/>
              <w:rPr>
                <w:sz w:val="20"/>
                <w:szCs w:val="20"/>
                <w:color w:val="auto"/>
              </w:rPr>
            </w:pPr>
            <w:r>
              <w:rPr>
                <w:rFonts w:ascii="Arial" w:cs="Arial" w:eastAsia="Arial" w:hAnsi="Arial"/>
                <w:sz w:val="18"/>
                <w:szCs w:val="18"/>
                <w:color w:val="auto"/>
                <w:w w:val="79"/>
              </w:rPr>
              <w:t>11</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41</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52" w:lineRule="exact"/>
        <w:rPr>
          <w:sz w:val="20"/>
          <w:szCs w:val="20"/>
          <w:color w:val="auto"/>
        </w:rPr>
      </w:pPr>
    </w:p>
    <w:p>
      <w:pPr>
        <w:ind w:left="660" w:right="100"/>
        <w:spacing w:after="0" w:line="273"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March 31, 2021 and December 31, 2020 were: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2"/>
          </w:tcPr>
          <w:p>
            <w:pPr>
              <w:ind w:left="100"/>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0"/>
                <w:szCs w:val="20"/>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December 31, 2020</w:t>
            </w:r>
          </w:p>
        </w:tc>
      </w:tr>
      <w:tr>
        <w:trPr>
          <w:trHeight w:val="209"/>
        </w:trPr>
        <w:tc>
          <w:tcPr>
            <w:tcW w:w="6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932</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1,127</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Commodities</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Interest rate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200</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183</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1,075</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1,075</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not designated as hedges:</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20"/>
                <w:szCs w:val="20"/>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723</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722</w:t>
            </w:r>
          </w:p>
        </w:tc>
        <w:tc>
          <w:tcPr>
            <w:tcW w:w="760" w:type="dxa"/>
            <w:vAlign w:val="bottom"/>
          </w:tcPr>
          <w:p>
            <w:pPr>
              <w:spacing w:after="0"/>
              <w:rPr>
                <w:sz w:val="20"/>
                <w:szCs w:val="20"/>
                <w:color w:val="auto"/>
              </w:rPr>
            </w:pPr>
          </w:p>
        </w:tc>
      </w:tr>
      <w:tr>
        <w:trPr>
          <w:trHeight w:val="877"/>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4"/>
          </w:tcPr>
          <w:p>
            <w:pPr>
              <w:spacing w:after="0"/>
              <w:rPr>
                <w:sz w:val="20"/>
                <w:szCs w:val="20"/>
                <w:color w:val="auto"/>
              </w:rPr>
            </w:pPr>
            <w:r>
              <w:rPr>
                <w:rFonts w:ascii="Arial" w:cs="Arial" w:eastAsia="Arial" w:hAnsi="Arial"/>
                <w:sz w:val="18"/>
                <w:szCs w:val="18"/>
                <w:b w:val="1"/>
                <w:bCs w:val="1"/>
                <w:color w:val="auto"/>
              </w:rPr>
              <w:t>L.  Debt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79"/>
        </w:trPr>
        <w:tc>
          <w:tcPr>
            <w:tcW w:w="4620" w:type="dxa"/>
            <w:vAlign w:val="bottom"/>
            <w:gridSpan w:val="4"/>
          </w:tcPr>
          <w:p>
            <w:pPr>
              <w:ind w:left="180"/>
              <w:spacing w:after="0"/>
              <w:rPr>
                <w:sz w:val="20"/>
                <w:szCs w:val="20"/>
                <w:color w:val="auto"/>
              </w:rPr>
            </w:pPr>
            <w:r>
              <w:rPr>
                <w:rFonts w:ascii="Arial" w:cs="Arial" w:eastAsia="Arial" w:hAnsi="Arial"/>
                <w:sz w:val="18"/>
                <w:szCs w:val="18"/>
                <w:color w:val="auto"/>
              </w:rPr>
              <w:t>The Company's outstanding debt was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7"/>
        </w:trPr>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60" w:type="dxa"/>
            <w:vAlign w:val="bottom"/>
            <w:gridSpan w:val="5"/>
          </w:tcPr>
          <w:p>
            <w:pPr>
              <w:ind w:left="640"/>
              <w:spacing w:after="0"/>
              <w:rPr>
                <w:sz w:val="20"/>
                <w:szCs w:val="20"/>
                <w:color w:val="auto"/>
              </w:rPr>
            </w:pPr>
            <w:r>
              <w:rPr>
                <w:rFonts w:ascii="Arial" w:cs="Arial" w:eastAsia="Arial" w:hAnsi="Arial"/>
                <w:sz w:val="18"/>
                <w:szCs w:val="18"/>
                <w:color w:val="auto"/>
              </w:rPr>
              <w:t>March 31, 2021</w:t>
            </w:r>
          </w:p>
        </w:tc>
        <w:tc>
          <w:tcPr>
            <w:tcW w:w="140" w:type="dxa"/>
            <w:vAlign w:val="bottom"/>
          </w:tcPr>
          <w:p>
            <w:pPr>
              <w:spacing w:after="0"/>
              <w:rPr>
                <w:sz w:val="22"/>
                <w:szCs w:val="22"/>
                <w:color w:val="auto"/>
              </w:rPr>
            </w:pPr>
          </w:p>
        </w:tc>
        <w:tc>
          <w:tcPr>
            <w:tcW w:w="2600" w:type="dxa"/>
            <w:vAlign w:val="bottom"/>
            <w:gridSpan w:val="4"/>
          </w:tcPr>
          <w:p>
            <w:pPr>
              <w:jc w:val="right"/>
              <w:ind w:right="570"/>
              <w:spacing w:after="0"/>
              <w:rPr>
                <w:sz w:val="20"/>
                <w:szCs w:val="20"/>
                <w:color w:val="auto"/>
              </w:rPr>
            </w:pPr>
            <w:r>
              <w:rPr>
                <w:rFonts w:ascii="Arial" w:cs="Arial" w:eastAsia="Arial" w:hAnsi="Arial"/>
                <w:sz w:val="18"/>
                <w:szCs w:val="18"/>
                <w:color w:val="auto"/>
              </w:rPr>
              <w:t>December 31, 2020</w:t>
            </w:r>
          </w:p>
        </w:tc>
      </w:tr>
      <w:tr>
        <w:trPr>
          <w:trHeight w:val="222"/>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5"/>
              </w:rPr>
              <w:t>Principal</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4"/>
              </w:rPr>
              <w:t>Carrying</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2"/>
              </w:rPr>
              <w:t>Principal</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Carrying</w:t>
            </w:r>
          </w:p>
        </w:tc>
      </w:tr>
      <w:tr>
        <w:trPr>
          <w:trHeight w:val="230"/>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0"/>
                <w:szCs w:val="20"/>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amount</w:t>
            </w:r>
          </w:p>
        </w:tc>
        <w:tc>
          <w:tcPr>
            <w:tcW w:w="140" w:type="dxa"/>
            <w:vAlign w:val="bottom"/>
          </w:tcPr>
          <w:p>
            <w:pPr>
              <w:spacing w:after="0"/>
              <w:rPr>
                <w:sz w:val="20"/>
                <w:szCs w:val="20"/>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amount</w:t>
            </w:r>
          </w:p>
        </w:tc>
      </w:tr>
      <w:tr>
        <w:trPr>
          <w:trHeight w:val="203"/>
        </w:trPr>
        <w:tc>
          <w:tcPr>
            <w:tcW w:w="360" w:type="dxa"/>
            <w:vAlign w:val="bottom"/>
          </w:tcPr>
          <w:p>
            <w:pPr>
              <w:spacing w:after="0"/>
              <w:rPr>
                <w:sz w:val="17"/>
                <w:szCs w:val="17"/>
                <w:color w:val="auto"/>
              </w:rPr>
            </w:pPr>
          </w:p>
        </w:tc>
        <w:tc>
          <w:tcPr>
            <w:tcW w:w="360" w:type="dxa"/>
            <w:vAlign w:val="bottom"/>
            <w:tcBorders>
              <w:right w:val="single" w:sz="8" w:color="CCEEFF"/>
            </w:tcBorders>
          </w:tcPr>
          <w:p>
            <w:pPr>
              <w:spacing w:after="0"/>
              <w:rPr>
                <w:sz w:val="17"/>
                <w:szCs w:val="17"/>
                <w:color w:val="auto"/>
              </w:rPr>
            </w:pPr>
          </w:p>
        </w:tc>
        <w:tc>
          <w:tcPr>
            <w:tcW w:w="390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80</w:t>
            </w: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80</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121</w:t>
            </w: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121</w:t>
            </w:r>
          </w:p>
        </w:tc>
      </w:tr>
      <w:tr>
        <w:trPr>
          <w:trHeight w:val="216"/>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209"/>
        </w:trPr>
        <w:tc>
          <w:tcPr>
            <w:tcW w:w="360" w:type="dxa"/>
            <w:vAlign w:val="bottom"/>
          </w:tcPr>
          <w:p>
            <w:pPr>
              <w:spacing w:after="0"/>
              <w:rPr>
                <w:sz w:val="18"/>
                <w:szCs w:val="18"/>
                <w:color w:val="auto"/>
              </w:rPr>
            </w:pPr>
          </w:p>
        </w:tc>
        <w:tc>
          <w:tcPr>
            <w:tcW w:w="360" w:type="dxa"/>
            <w:vAlign w:val="bottom"/>
            <w:tcBorders>
              <w:right w:val="single" w:sz="8" w:color="CCEEFF"/>
            </w:tcBorders>
          </w:tcPr>
          <w:p>
            <w:pPr>
              <w:spacing w:after="0"/>
              <w:rPr>
                <w:sz w:val="18"/>
                <w:szCs w:val="18"/>
                <w:color w:val="auto"/>
              </w:rPr>
            </w:pPr>
          </w:p>
        </w:tc>
        <w:tc>
          <w:tcPr>
            <w:tcW w:w="108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6"/>
              </w:rPr>
              <w:t>Long-term debt</w:t>
            </w:r>
          </w:p>
        </w:tc>
        <w:tc>
          <w:tcPr>
            <w:tcW w:w="2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Senior secured borrowings: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Term loan facilities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U.S. dollar at LIBOR + 1.2% due 2024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ind w:left="600"/>
              <w:spacing w:after="0" w:line="230" w:lineRule="exact"/>
              <w:rPr>
                <w:sz w:val="20"/>
                <w:szCs w:val="20"/>
                <w:color w:val="auto"/>
              </w:rPr>
            </w:pPr>
            <w:r>
              <w:rPr>
                <w:rFonts w:ascii="Arial" w:cs="Arial" w:eastAsia="Arial" w:hAnsi="Arial"/>
                <w:sz w:val="18"/>
                <w:szCs w:val="18"/>
                <w:color w:val="auto"/>
              </w:rPr>
              <w:t>Euro at EURIBOR + 1.2% due 2024</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368</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€650 at 4.0% due 2022</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794</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791</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 S. dollar at 4.50% due 2023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€335at 2.25% due 2023</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407</w:t>
            </w: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€550 at 0.75% due 2023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29"/>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€600 at 2.625% due 2024</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704</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733</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€600 at 3.375% due 2025</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U.S. dollar at 4.25% due 2026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U.S. dollar at 7.375% due 2026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€500 at 2.875% due 2026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30"/>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ind w:left="280"/>
              <w:spacing w:after="0"/>
              <w:rPr>
                <w:sz w:val="20"/>
                <w:szCs w:val="20"/>
                <w:color w:val="auto"/>
              </w:rPr>
            </w:pPr>
            <w:r>
              <w:rPr>
                <w:rFonts w:ascii="Arial" w:cs="Arial" w:eastAsia="Arial" w:hAnsi="Arial"/>
                <w:sz w:val="18"/>
                <w:szCs w:val="18"/>
                <w:color w:val="auto"/>
              </w:rPr>
              <w:t>U.S. dollar at 7.50% due 2096</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indebtedness in various currencies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ind w:left="600"/>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8,003</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7,957</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8,141</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8,090</w:t>
            </w:r>
          </w:p>
        </w:tc>
      </w:tr>
      <w:tr>
        <w:trPr>
          <w:trHeight w:val="229"/>
        </w:trPr>
        <w:tc>
          <w:tcPr>
            <w:tcW w:w="360" w:type="dxa"/>
            <w:vAlign w:val="bottom"/>
          </w:tcPr>
          <w:p>
            <w:pPr>
              <w:spacing w:after="0"/>
              <w:rPr>
                <w:sz w:val="19"/>
                <w:szCs w:val="19"/>
                <w:color w:val="auto"/>
              </w:rPr>
            </w:pPr>
          </w:p>
        </w:tc>
        <w:tc>
          <w:tcPr>
            <w:tcW w:w="360" w:type="dxa"/>
            <w:vAlign w:val="bottom"/>
            <w:tcBorders>
              <w:right w:val="single" w:sz="8" w:color="CCEEFF"/>
            </w:tcBorders>
          </w:tcPr>
          <w:p>
            <w:pPr>
              <w:spacing w:after="0"/>
              <w:rPr>
                <w:sz w:val="19"/>
                <w:szCs w:val="19"/>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900" w:type="dxa"/>
            <w:vAlign w:val="bottom"/>
            <w:gridSpan w:val="2"/>
          </w:tcPr>
          <w:p>
            <w:pPr>
              <w:ind w:left="600"/>
              <w:spacing w:after="0"/>
              <w:rPr>
                <w:sz w:val="20"/>
                <w:szCs w:val="20"/>
                <w:color w:val="auto"/>
              </w:rPr>
            </w:pPr>
            <w:r>
              <w:rPr>
                <w:rFonts w:ascii="Arial" w:cs="Arial" w:eastAsia="Arial" w:hAnsi="Arial"/>
                <w:sz w:val="18"/>
                <w:szCs w:val="18"/>
                <w:color w:val="auto"/>
                <w:w w:val="94"/>
              </w:rPr>
              <w:t>Total long-term debt, less current maturities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w:t>
            </w:r>
          </w:p>
        </w:tc>
        <w:tc>
          <w:tcPr>
            <w:tcW w:w="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8,074</w:t>
            </w:r>
          </w:p>
        </w:tc>
        <w:tc>
          <w:tcPr>
            <w:tcW w:w="4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8,023</w:t>
            </w:r>
          </w:p>
        </w:tc>
      </w:tr>
      <w:tr>
        <w:trPr>
          <w:trHeight w:val="21"/>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€314 and €317 at March 31, 2021 and December 31, 2020</w:t>
      </w:r>
    </w:p>
    <w:p>
      <w:pPr>
        <w:spacing w:after="0" w:line="23"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$8,414 at March 31, 2021 and $8,617 at December 31, 2020.</w:t>
      </w:r>
    </w:p>
    <w:p>
      <w:pPr>
        <w:spacing w:after="0" w:line="200" w:lineRule="exact"/>
        <w:rPr>
          <w:sz w:val="20"/>
          <w:szCs w:val="20"/>
          <w:color w:val="auto"/>
        </w:rPr>
      </w:pPr>
    </w:p>
    <w:p>
      <w:pPr>
        <w:spacing w:after="0" w:line="251"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months ended March 31, 2021 and 2020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780" w:type="dxa"/>
            <w:vAlign w:val="bottom"/>
            <w:gridSpan w:val="5"/>
          </w:tcPr>
          <w:p>
            <w:pPr>
              <w:ind w:left="260"/>
              <w:spacing w:after="0"/>
              <w:rPr>
                <w:sz w:val="20"/>
                <w:szCs w:val="20"/>
                <w:color w:val="auto"/>
              </w:rPr>
            </w:pPr>
            <w:r>
              <w:rPr>
                <w:rFonts w:ascii="Arial" w:cs="Arial" w:eastAsia="Arial" w:hAnsi="Arial"/>
                <w:sz w:val="18"/>
                <w:szCs w:val="18"/>
                <w:color w:val="auto"/>
              </w:rPr>
              <w:t>Three Months Ended</w:t>
            </w:r>
          </w:p>
        </w:tc>
      </w:tr>
      <w:tr>
        <w:trPr>
          <w:trHeight w:val="230"/>
        </w:trPr>
        <w:tc>
          <w:tcPr>
            <w:tcW w:w="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780" w:type="dxa"/>
            <w:vAlign w:val="bottom"/>
            <w:tcBorders>
              <w:bottom w:val="single" w:sz="8" w:color="auto"/>
            </w:tcBorders>
          </w:tcPr>
          <w:p>
            <w:pPr>
              <w:spacing w:after="0"/>
              <w:rPr>
                <w:sz w:val="20"/>
                <w:szCs w:val="20"/>
                <w:color w:val="auto"/>
              </w:rPr>
            </w:pPr>
          </w:p>
        </w:tc>
        <w:tc>
          <w:tcPr>
            <w:tcW w:w="3560" w:type="dxa"/>
            <w:vAlign w:val="bottom"/>
          </w:tcPr>
          <w:p>
            <w:pPr>
              <w:spacing w:after="0"/>
              <w:rPr>
                <w:sz w:val="20"/>
                <w:szCs w:val="20"/>
                <w:color w:val="auto"/>
              </w:rPr>
            </w:pPr>
          </w:p>
        </w:tc>
      </w:tr>
      <w:tr>
        <w:trPr>
          <w:trHeight w:val="183"/>
        </w:trPr>
        <w:tc>
          <w:tcPr>
            <w:tcW w:w="680" w:type="dxa"/>
            <w:vAlign w:val="bottom"/>
          </w:tcPr>
          <w:p>
            <w:pPr>
              <w:spacing w:after="0"/>
              <w:rPr>
                <w:sz w:val="15"/>
                <w:szCs w:val="15"/>
                <w:color w:val="auto"/>
              </w:rPr>
            </w:pPr>
          </w:p>
        </w:tc>
        <w:tc>
          <w:tcPr>
            <w:tcW w:w="4600" w:type="dxa"/>
            <w:vAlign w:val="bottom"/>
            <w:gridSpan w:val="2"/>
          </w:tcPr>
          <w:p>
            <w:pPr>
              <w:spacing w:after="0" w:line="182" w:lineRule="exact"/>
              <w:rPr>
                <w:sz w:val="20"/>
                <w:szCs w:val="20"/>
                <w:color w:val="auto"/>
              </w:rPr>
            </w:pPr>
            <w:r>
              <w:rPr>
                <w:rFonts w:ascii="Arial" w:cs="Arial" w:eastAsia="Arial" w:hAnsi="Arial"/>
                <w:sz w:val="18"/>
                <w:szCs w:val="18"/>
                <w:color w:val="auto"/>
              </w:rPr>
              <w:t>Pension benefits – U.S. plans</w:t>
            </w:r>
          </w:p>
        </w:tc>
        <w:tc>
          <w:tcPr>
            <w:tcW w:w="180" w:type="dxa"/>
            <w:vAlign w:val="bottom"/>
          </w:tcPr>
          <w:p>
            <w:pPr>
              <w:spacing w:after="0"/>
              <w:rPr>
                <w:sz w:val="15"/>
                <w:szCs w:val="15"/>
                <w:color w:val="auto"/>
              </w:rPr>
            </w:pPr>
          </w:p>
        </w:tc>
        <w:tc>
          <w:tcPr>
            <w:tcW w:w="90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2021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270"/>
              <w:spacing w:after="0" w:line="182" w:lineRule="exact"/>
              <w:rPr>
                <w:sz w:val="20"/>
                <w:szCs w:val="20"/>
                <w:color w:val="auto"/>
              </w:rPr>
            </w:pPr>
            <w:r>
              <w:rPr>
                <w:rFonts w:ascii="Arial" w:cs="Arial" w:eastAsia="Arial" w:hAnsi="Arial"/>
                <w:sz w:val="18"/>
                <w:szCs w:val="18"/>
                <w:color w:val="auto"/>
                <w:w w:val="99"/>
              </w:rPr>
              <w:t>2020</w:t>
            </w:r>
          </w:p>
        </w:tc>
        <w:tc>
          <w:tcPr>
            <w:tcW w:w="3560" w:type="dxa"/>
            <w:vAlign w:val="bottom"/>
          </w:tcPr>
          <w:p>
            <w:pPr>
              <w:spacing w:after="0"/>
              <w:rPr>
                <w:sz w:val="15"/>
                <w:szCs w:val="15"/>
                <w:color w:val="auto"/>
              </w:rPr>
            </w:pPr>
          </w:p>
        </w:tc>
      </w:tr>
      <w:tr>
        <w:trPr>
          <w:trHeight w:val="20"/>
        </w:trPr>
        <w:tc>
          <w:tcPr>
            <w:tcW w:w="680" w:type="dxa"/>
            <w:vAlign w:val="bottom"/>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23"/>
        </w:trPr>
        <w:tc>
          <w:tcPr>
            <w:tcW w:w="680" w:type="dxa"/>
            <w:vAlign w:val="bottom"/>
            <w:tcBorders>
              <w:right w:val="single" w:sz="8" w:color="CCEEFF"/>
            </w:tcBorders>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56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w:t>
            </w:r>
          </w:p>
        </w:tc>
        <w:tc>
          <w:tcPr>
            <w:tcW w:w="3560" w:type="dxa"/>
            <w:vAlign w:val="bottom"/>
          </w:tcPr>
          <w:p>
            <w:pPr>
              <w:spacing w:after="0"/>
              <w:rPr>
                <w:sz w:val="19"/>
                <w:szCs w:val="19"/>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560" w:type="dxa"/>
            <w:vAlign w:val="bottom"/>
          </w:tcPr>
          <w:p>
            <w:pPr>
              <w:spacing w:after="0"/>
              <w:rPr>
                <w:sz w:val="19"/>
                <w:szCs w:val="19"/>
                <w:color w:val="auto"/>
              </w:rPr>
            </w:pPr>
          </w:p>
        </w:tc>
      </w:tr>
      <w:tr>
        <w:trPr>
          <w:trHeight w:val="229"/>
        </w:trPr>
        <w:tc>
          <w:tcPr>
            <w:tcW w:w="680" w:type="dxa"/>
            <w:vAlign w:val="bottom"/>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Recognized net loss</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560" w:type="dxa"/>
            <w:vAlign w:val="bottom"/>
          </w:tcPr>
          <w:p>
            <w:pPr>
              <w:spacing w:after="0"/>
              <w:rPr>
                <w:sz w:val="19"/>
                <w:szCs w:val="19"/>
                <w:color w:val="auto"/>
              </w:rPr>
            </w:pPr>
          </w:p>
        </w:tc>
      </w:tr>
      <w:tr>
        <w:trPr>
          <w:trHeight w:val="248"/>
        </w:trPr>
        <w:tc>
          <w:tcPr>
            <w:tcW w:w="680" w:type="dxa"/>
            <w:vAlign w:val="bottom"/>
            <w:tcBorders>
              <w:right w:val="single" w:sz="8" w:color="CCEEFF"/>
            </w:tcBorders>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56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851"/>
        </w:trPr>
        <w:tc>
          <w:tcPr>
            <w:tcW w:w="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115"/>
        </w:trPr>
        <w:tc>
          <w:tcPr>
            <w:tcW w:w="6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40" w:type="dxa"/>
            <w:vAlign w:val="bottom"/>
            <w:gridSpan w:val="3"/>
          </w:tcPr>
          <w:p>
            <w:pPr>
              <w:spacing w:after="0" w:line="182" w:lineRule="exact"/>
              <w:rPr>
                <w:sz w:val="20"/>
                <w:szCs w:val="20"/>
                <w:color w:val="auto"/>
              </w:rPr>
            </w:pPr>
            <w:r>
              <w:rPr>
                <w:rFonts w:ascii="Arial" w:cs="Arial" w:eastAsia="Arial" w:hAnsi="Arial"/>
                <w:sz w:val="18"/>
                <w:szCs w:val="18"/>
                <w:color w:val="auto"/>
              </w:rPr>
              <w:t>Pension benefits – Non-U.S. plans</w:t>
            </w:r>
          </w:p>
        </w:tc>
        <w:tc>
          <w:tcPr>
            <w:tcW w:w="240" w:type="dxa"/>
            <w:vAlign w:val="bottom"/>
          </w:tcPr>
          <w:p>
            <w:pPr>
              <w:spacing w:after="0"/>
              <w:rPr>
                <w:sz w:val="15"/>
                <w:szCs w:val="15"/>
                <w:color w:val="auto"/>
              </w:rPr>
            </w:pPr>
          </w:p>
        </w:tc>
        <w:tc>
          <w:tcPr>
            <w:tcW w:w="8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Settlement loss</w:t>
            </w:r>
          </w:p>
        </w:tc>
        <w:tc>
          <w:tcPr>
            <w:tcW w:w="24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r>
      <w:tr>
        <w:trPr>
          <w:trHeight w:val="60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40" w:type="dxa"/>
            <w:vAlign w:val="bottom"/>
            <w:gridSpan w:val="3"/>
          </w:tcPr>
          <w:p>
            <w:pPr>
              <w:spacing w:after="0" w:line="182" w:lineRule="exact"/>
              <w:rPr>
                <w:sz w:val="20"/>
                <w:szCs w:val="20"/>
                <w:color w:val="auto"/>
              </w:rPr>
            </w:pPr>
            <w:r>
              <w:rPr>
                <w:rFonts w:ascii="Arial" w:cs="Arial" w:eastAsia="Arial" w:hAnsi="Arial"/>
                <w:sz w:val="18"/>
                <w:szCs w:val="18"/>
                <w:color w:val="auto"/>
              </w:rPr>
              <w:t>Other postretirement benefits</w:t>
            </w:r>
          </w:p>
        </w:tc>
        <w:tc>
          <w:tcPr>
            <w:tcW w:w="240" w:type="dxa"/>
            <w:vAlign w:val="bottom"/>
          </w:tcPr>
          <w:p>
            <w:pPr>
              <w:spacing w:after="0"/>
              <w:rPr>
                <w:sz w:val="15"/>
                <w:szCs w:val="15"/>
                <w:color w:val="auto"/>
              </w:rPr>
            </w:pPr>
          </w:p>
        </w:tc>
        <w:tc>
          <w:tcPr>
            <w:tcW w:w="840" w:type="dxa"/>
            <w:vAlign w:val="bottom"/>
          </w:tcPr>
          <w:p>
            <w:pPr>
              <w:jc w:val="right"/>
              <w:ind w:right="270"/>
              <w:spacing w:after="0" w:line="182" w:lineRule="exact"/>
              <w:rPr>
                <w:sz w:val="20"/>
                <w:szCs w:val="20"/>
                <w:color w:val="auto"/>
              </w:rPr>
            </w:pPr>
            <w:r>
              <w:rPr>
                <w:rFonts w:ascii="Arial" w:cs="Arial" w:eastAsia="Arial" w:hAnsi="Arial"/>
                <w:sz w:val="18"/>
                <w:szCs w:val="18"/>
                <w:color w:val="auto"/>
              </w:rPr>
              <w:t>2021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ind w:right="250"/>
              <w:spacing w:after="0" w:line="182" w:lineRule="exact"/>
              <w:rPr>
                <w:sz w:val="20"/>
                <w:szCs w:val="20"/>
                <w:color w:val="auto"/>
              </w:rPr>
            </w:pPr>
            <w:r>
              <w:rPr>
                <w:rFonts w:ascii="Arial" w:cs="Arial" w:eastAsia="Arial" w:hAnsi="Arial"/>
                <w:sz w:val="18"/>
                <w:szCs w:val="18"/>
                <w:color w:val="auto"/>
                <w:w w:val="99"/>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20" w:type="dxa"/>
            <w:vAlign w:val="bottom"/>
            <w:shd w:val="clear" w:color="auto" w:fill="CCEEFF"/>
          </w:tcPr>
          <w:p>
            <w:pPr>
              <w:spacing w:after="0"/>
              <w:rPr>
                <w:sz w:val="19"/>
                <w:szCs w:val="19"/>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Net periodic benefit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In the three months ended March 31, 2020, the Company recorded settlement charges related to the payment of lump sum buy-outs to settle certain non-U.S. pension obligations using plan assets.</w:t>
      </w:r>
    </w:p>
    <w:p>
      <w:pPr>
        <w:spacing w:after="0" w:line="197"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293" w:lineRule="exact"/>
        <w:rPr>
          <w:sz w:val="20"/>
          <w:szCs w:val="20"/>
          <w:color w:val="auto"/>
        </w:rPr>
      </w:pPr>
    </w:p>
    <w:tbl>
      <w:tblPr>
        <w:tblLayout w:type="fixed"/>
        <w:tblInd w:w="480" w:type="dxa"/>
        <w:tblCellMar>
          <w:top w:w="0" w:type="dxa"/>
          <w:left w:w="0" w:type="dxa"/>
          <w:bottom w:w="0" w:type="dxa"/>
          <w:right w:w="0" w:type="dxa"/>
        </w:tblCellMar>
      </w:tblPr>
      <w:tr>
        <w:trPr>
          <w:trHeight w:val="230"/>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gridSpan w:val="2"/>
            <w:vMerge w:val="restart"/>
          </w:tcPr>
          <w:p>
            <w:pPr>
              <w:ind w:left="360"/>
              <w:spacing w:after="0"/>
              <w:rPr>
                <w:sz w:val="20"/>
                <w:szCs w:val="20"/>
                <w:color w:val="auto"/>
              </w:rPr>
            </w:pPr>
            <w:r>
              <w:rPr>
                <w:rFonts w:ascii="Arial" w:cs="Arial" w:eastAsia="Arial" w:hAnsi="Arial"/>
                <w:sz w:val="18"/>
                <w:szCs w:val="18"/>
                <w:color w:val="auto"/>
              </w:rPr>
              <w:t>Details about accumulated other</w:t>
            </w:r>
          </w:p>
        </w:tc>
        <w:tc>
          <w:tcPr>
            <w:tcW w:w="18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color w:val="auto"/>
              </w:rPr>
              <w:t>March 31,</w:t>
            </w:r>
          </w:p>
        </w:tc>
        <w:tc>
          <w:tcPr>
            <w:tcW w:w="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vMerge w:val="restart"/>
          </w:tcPr>
          <w:p>
            <w:pPr>
              <w:ind w:left="240"/>
              <w:spacing w:after="0"/>
              <w:rPr>
                <w:sz w:val="20"/>
                <w:szCs w:val="20"/>
                <w:color w:val="auto"/>
              </w:rPr>
            </w:pPr>
            <w:r>
              <w:rPr>
                <w:rFonts w:ascii="Arial" w:cs="Arial" w:eastAsia="Arial" w:hAnsi="Arial"/>
                <w:sz w:val="18"/>
                <w:szCs w:val="18"/>
                <w:color w:val="auto"/>
              </w:rPr>
              <w:t>Affected line items in the</w:t>
            </w:r>
          </w:p>
        </w:tc>
        <w:tc>
          <w:tcPr>
            <w:tcW w:w="0" w:type="dxa"/>
            <w:vAlign w:val="bottom"/>
          </w:tcPr>
          <w:p>
            <w:pPr>
              <w:spacing w:after="0"/>
              <w:rPr>
                <w:sz w:val="1"/>
                <w:szCs w:val="1"/>
                <w:color w:val="auto"/>
              </w:rPr>
            </w:pPr>
          </w:p>
        </w:tc>
      </w:tr>
      <w:tr>
        <w:trPr>
          <w:trHeight w:val="155"/>
        </w:trPr>
        <w:tc>
          <w:tcPr>
            <w:tcW w:w="3160" w:type="dxa"/>
            <w:vAlign w:val="bottom"/>
            <w:gridSpan w:val="2"/>
            <w:vMerge w:val="continue"/>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7"/>
              </w:rPr>
              <w:t>comprehensive income components</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169"/>
        </w:trPr>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70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4"/>
                <w:szCs w:val="14"/>
                <w:color w:val="auto"/>
              </w:rPr>
            </w:pPr>
          </w:p>
        </w:tc>
        <w:tc>
          <w:tcPr>
            <w:tcW w:w="232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6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175"/>
        </w:trPr>
        <w:tc>
          <w:tcPr>
            <w:tcW w:w="3160" w:type="dxa"/>
            <w:vAlign w:val="bottom"/>
            <w:gridSpan w:val="2"/>
            <w:vMerge w:val="restart"/>
          </w:tcPr>
          <w:p>
            <w:pPr>
              <w:ind w:left="20"/>
              <w:spacing w:after="0"/>
              <w:rPr>
                <w:sz w:val="20"/>
                <w:szCs w:val="20"/>
                <w:color w:val="auto"/>
              </w:rPr>
            </w:pPr>
            <w:r>
              <w:rPr>
                <w:rFonts w:ascii="Arial" w:cs="Arial" w:eastAsia="Arial" w:hAnsi="Arial"/>
                <w:sz w:val="18"/>
                <w:szCs w:val="18"/>
                <w:color w:val="auto"/>
              </w:rPr>
              <w:t>Settlements</w:t>
            </w:r>
          </w:p>
        </w:tc>
        <w:tc>
          <w:tcPr>
            <w:tcW w:w="700" w:type="dxa"/>
            <w:vAlign w:val="bottom"/>
          </w:tcPr>
          <w:p>
            <w:pPr>
              <w:spacing w:after="0"/>
              <w:rPr>
                <w:sz w:val="15"/>
                <w:szCs w:val="15"/>
                <w:color w:val="auto"/>
              </w:rPr>
            </w:pPr>
          </w:p>
        </w:tc>
        <w:tc>
          <w:tcPr>
            <w:tcW w:w="38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5"/>
                <w:szCs w:val="15"/>
                <w:color w:val="auto"/>
              </w:rPr>
            </w:pPr>
          </w:p>
        </w:tc>
        <w:tc>
          <w:tcPr>
            <w:tcW w:w="2320" w:type="dxa"/>
            <w:vAlign w:val="bottom"/>
          </w:tcPr>
          <w:p>
            <w:pPr>
              <w:ind w:left="20"/>
              <w:spacing w:after="0" w:line="176"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6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175"/>
        </w:trPr>
        <w:tc>
          <w:tcPr>
            <w:tcW w:w="31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Prior service credit</w:t>
            </w:r>
          </w:p>
        </w:tc>
        <w:tc>
          <w:tcPr>
            <w:tcW w:w="7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w w:val="99"/>
              </w:rPr>
              <w:t>(7)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9"/>
              </w:rPr>
              <w:t>(6)</w:t>
            </w:r>
          </w:p>
        </w:tc>
        <w:tc>
          <w:tcPr>
            <w:tcW w:w="140" w:type="dxa"/>
            <w:vAlign w:val="bottom"/>
            <w:shd w:val="clear" w:color="auto" w:fill="CCEEFF"/>
          </w:tcPr>
          <w:p>
            <w:pPr>
              <w:spacing w:after="0"/>
              <w:rPr>
                <w:sz w:val="15"/>
                <w:szCs w:val="15"/>
                <w:color w:val="auto"/>
              </w:rPr>
            </w:pPr>
          </w:p>
        </w:tc>
        <w:tc>
          <w:tcPr>
            <w:tcW w:w="2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Other pension and</w:t>
            </w:r>
          </w:p>
        </w:tc>
        <w:tc>
          <w:tcPr>
            <w:tcW w:w="0" w:type="dxa"/>
            <w:vAlign w:val="bottom"/>
          </w:tcPr>
          <w:p>
            <w:pPr>
              <w:spacing w:after="0"/>
              <w:rPr>
                <w:sz w:val="1"/>
                <w:szCs w:val="1"/>
                <w:color w:val="auto"/>
              </w:rPr>
            </w:pPr>
          </w:p>
        </w:tc>
      </w:tr>
      <w:tr>
        <w:trPr>
          <w:trHeight w:val="230"/>
        </w:trPr>
        <w:tc>
          <w:tcPr>
            <w:tcW w:w="3160" w:type="dxa"/>
            <w:vAlign w:val="bottom"/>
            <w:gridSpan w:val="2"/>
            <w:vMerge w:val="continue"/>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w:t>
            </w:r>
          </w:p>
        </w:tc>
        <w:tc>
          <w:tcPr>
            <w:tcW w:w="0" w:type="dxa"/>
            <w:vAlign w:val="bottom"/>
          </w:tcPr>
          <w:p>
            <w:pPr>
              <w:spacing w:after="0"/>
              <w:rPr>
                <w:sz w:val="1"/>
                <w:szCs w:val="1"/>
                <w:color w:val="auto"/>
              </w:rPr>
            </w:pPr>
          </w:p>
        </w:tc>
      </w:tr>
      <w:tr>
        <w:trPr>
          <w:trHeight w:val="223"/>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(4)</w:t>
            </w:r>
          </w:p>
        </w:tc>
        <w:tc>
          <w:tcPr>
            <w:tcW w:w="140" w:type="dxa"/>
            <w:vAlign w:val="bottom"/>
            <w:shd w:val="clear" w:color="auto" w:fill="CCEEFF"/>
          </w:tcPr>
          <w:p>
            <w:pPr>
              <w:spacing w:after="0"/>
              <w:rPr>
                <w:sz w:val="19"/>
                <w:szCs w:val="19"/>
                <w:color w:val="auto"/>
              </w:rPr>
            </w:pPr>
          </w:p>
        </w:tc>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9"/>
                <w:szCs w:val="19"/>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5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type w:val="continuous"/>
        </w:sectPr>
      </w:pPr>
    </w:p>
    <w:bookmarkStart w:id="19" w:name="page20"/>
    <w:bookmarkEnd w:id="19"/>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52" w:hanging="352"/>
        <w:spacing w:after="0"/>
        <w:tabs>
          <w:tab w:leader="none" w:pos="3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5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262" w:lineRule="exact"/>
        <w:rPr>
          <w:sz w:val="20"/>
          <w:szCs w:val="20"/>
          <w:color w:val="auto"/>
        </w:rPr>
      </w:pPr>
    </w:p>
    <w:tbl>
      <w:tblPr>
        <w:tblLayout w:type="fixed"/>
        <w:tblInd w:w="652"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7"/>
                <w:szCs w:val="17"/>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Gains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6"/>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300"/>
              <w:spacing w:after="0" w:line="176" w:lineRule="exact"/>
              <w:rPr>
                <w:sz w:val="20"/>
                <w:szCs w:val="20"/>
                <w:color w:val="auto"/>
              </w:rPr>
            </w:pPr>
            <w:r>
              <w:rPr>
                <w:rFonts w:ascii="Arial" w:cs="Arial" w:eastAsia="Arial" w:hAnsi="Arial"/>
                <w:sz w:val="18"/>
                <w:szCs w:val="18"/>
                <w:color w:val="auto"/>
                <w:w w:val="92"/>
              </w:rPr>
              <w:t>benefit</w:t>
            </w:r>
          </w:p>
        </w:tc>
        <w:tc>
          <w:tcPr>
            <w:tcW w:w="140" w:type="dxa"/>
            <w:vAlign w:val="bottom"/>
          </w:tcPr>
          <w:p>
            <w:pPr>
              <w:spacing w:after="0"/>
              <w:rPr>
                <w:sz w:val="15"/>
                <w:szCs w:val="15"/>
                <w:color w:val="auto"/>
              </w:rPr>
            </w:pPr>
          </w:p>
        </w:tc>
        <w:tc>
          <w:tcPr>
            <w:tcW w:w="118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2"/>
              </w:rPr>
              <w:t>currency</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93"/>
              </w:rPr>
              <w:t>cash flow</w:t>
            </w:r>
          </w:p>
        </w:tc>
        <w:tc>
          <w:tcPr>
            <w:tcW w:w="200" w:type="dxa"/>
            <w:vAlign w:val="bottom"/>
          </w:tcPr>
          <w:p>
            <w:pPr>
              <w:spacing w:after="0"/>
              <w:rPr>
                <w:sz w:val="15"/>
                <w:szCs w:val="15"/>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(loss) / income before reclassifications</w:t>
            </w:r>
          </w:p>
        </w:tc>
        <w:tc>
          <w:tcPr>
            <w:tcW w:w="14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2">
        <w:r>
          <w:rPr>
            <w:rFonts w:ascii="Arial" w:cs="Arial" w:eastAsia="Arial" w:hAnsi="Arial"/>
            <w:sz w:val="18"/>
            <w:szCs w:val="18"/>
            <w:u w:val="single" w:color="auto"/>
            <w:color w:val="0000FF"/>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8">
        <w:r>
          <w:rPr>
            <w:rFonts w:ascii="Arial" w:cs="Arial" w:eastAsia="Arial" w:hAnsi="Arial"/>
            <w:sz w:val="18"/>
            <w:szCs w:val="18"/>
            <w:u w:val="single" w:color="auto"/>
            <w:color w:val="0000FF"/>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related to cash flow hedges and defined benefit plans.</w:t>
      </w:r>
    </w:p>
    <w:p>
      <w:pPr>
        <w:spacing w:after="0" w:line="200" w:lineRule="exact"/>
        <w:rPr>
          <w:sz w:val="20"/>
          <w:szCs w:val="20"/>
          <w:color w:val="auto"/>
        </w:rPr>
      </w:pPr>
    </w:p>
    <w:p>
      <w:pPr>
        <w:spacing w:after="0" w:line="264" w:lineRule="exact"/>
        <w:rPr>
          <w:sz w:val="20"/>
          <w:szCs w:val="20"/>
          <w:color w:val="auto"/>
        </w:rPr>
      </w:pPr>
    </w:p>
    <w:p>
      <w:pPr>
        <w:ind w:left="412" w:hanging="412"/>
        <w:spacing w:after="0"/>
        <w:tabs>
          <w:tab w:leader="none" w:pos="41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25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For the three months ended March 31, 2021 and 2020, the Company recognized revenue as follows:</w:t>
      </w:r>
    </w:p>
    <w:p>
      <w:pPr>
        <w:spacing w:after="0" w:line="225"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68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652" w:type="dxa"/>
        <w:tblCellMar>
          <w:top w:w="0" w:type="dxa"/>
          <w:left w:w="0" w:type="dxa"/>
          <w:bottom w:w="0" w:type="dxa"/>
          <w:right w:w="0" w:type="dxa"/>
        </w:tblCellMar>
      </w:tblPr>
      <w:tr>
        <w:trPr>
          <w:trHeight w:val="223"/>
        </w:trPr>
        <w:tc>
          <w:tcPr>
            <w:tcW w:w="46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w:t>
            </w:r>
          </w:p>
        </w:tc>
      </w:tr>
      <w:tr>
        <w:trPr>
          <w:trHeight w:val="229"/>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52"/>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21">
        <w:r>
          <w:rPr>
            <w:rFonts w:ascii="Arial" w:cs="Arial" w:eastAsia="Arial" w:hAnsi="Arial"/>
            <w:sz w:val="18"/>
            <w:szCs w:val="18"/>
            <w:u w:val="single" w:color="auto"/>
            <w:color w:val="0000FF"/>
          </w:rPr>
          <w:t>Note 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w:t>
      </w:r>
    </w:p>
    <w:p>
      <w:pPr>
        <w:spacing w:after="0" w:line="198" w:lineRule="exact"/>
        <w:rPr>
          <w:sz w:val="20"/>
          <w:szCs w:val="20"/>
          <w:color w:val="auto"/>
        </w:rPr>
      </w:pPr>
    </w:p>
    <w:p>
      <w:pPr>
        <w:jc w:val="both"/>
        <w:ind w:left="652"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pacing w:after="0" w:line="130" w:lineRule="exact"/>
        <w:rPr>
          <w:sz w:val="20"/>
          <w:szCs w:val="20"/>
          <w:color w:val="auto"/>
        </w:rPr>
      </w:pPr>
    </w:p>
    <w:p>
      <w:pPr>
        <w:ind w:left="652"/>
        <w:spacing w:after="0"/>
        <w:rPr>
          <w:sz w:val="20"/>
          <w:szCs w:val="20"/>
          <w:color w:val="auto"/>
        </w:rPr>
      </w:pPr>
      <w:r>
        <w:rPr>
          <w:rFonts w:ascii="Arial" w:cs="Arial" w:eastAsia="Arial" w:hAnsi="Arial"/>
          <w:sz w:val="18"/>
          <w:szCs w:val="18"/>
          <w:u w:val="single" w:color="auto"/>
          <w:color w:val="auto"/>
        </w:rPr>
        <w:t>Contract Assets</w:t>
      </w:r>
    </w:p>
    <w:p>
      <w:pPr>
        <w:spacing w:after="0" w:line="185" w:lineRule="exact"/>
        <w:rPr>
          <w:sz w:val="20"/>
          <w:szCs w:val="20"/>
          <w:color w:val="auto"/>
        </w:rPr>
      </w:pPr>
    </w:p>
    <w:p>
      <w:pPr>
        <w:jc w:val="both"/>
        <w:ind w:left="652"/>
        <w:spacing w:after="0" w:line="263" w:lineRule="auto"/>
        <w:rPr>
          <w:sz w:val="20"/>
          <w:szCs w:val="20"/>
          <w:color w:val="auto"/>
        </w:rPr>
      </w:pPr>
      <w:r>
        <w:rPr>
          <w:rFonts w:ascii="Arial" w:cs="Arial" w:eastAsia="Arial" w:hAnsi="Arial"/>
          <w:sz w:val="18"/>
          <w:szCs w:val="18"/>
          <w:color w:val="auto"/>
        </w:rPr>
        <w:t>The Company recorded contract assets of $52 and $37 in prepaid and other current assets as of March 31, 2021 and December 31, 2020. For the three months ended March 31, 2021, the Company recorded new contract assets related to customized work-in-process inventory in the Company's equipment business.</w:t>
      </w:r>
    </w:p>
    <w:p>
      <w:pPr>
        <w:sectPr>
          <w:pgSz w:w="11900" w:h="16838" w:orient="portrait"/>
          <w:cols w:equalWidth="0" w:num="1">
            <w:col w:w="11232"/>
          </w:cols>
          <w:pgMar w:left="328"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20" w:name="page21"/>
    <w:bookmarkEnd w:id="20"/>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12" w:hanging="312"/>
        <w:spacing w:after="0"/>
        <w:tabs>
          <w:tab w:leader="none" w:pos="31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5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50" w:lineRule="exact"/>
        <w:rPr>
          <w:sz w:val="20"/>
          <w:szCs w:val="20"/>
          <w:color w:val="auto"/>
        </w:rPr>
      </w:pPr>
    </w:p>
    <w:p>
      <w:pPr>
        <w:ind w:left="5712"/>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ind w:left="6112"/>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652" w:type="dxa"/>
        <w:tblCellMar>
          <w:top w:w="0" w:type="dxa"/>
          <w:left w:w="0" w:type="dxa"/>
          <w:bottom w:w="0" w:type="dxa"/>
          <w:right w:w="0" w:type="dxa"/>
        </w:tblCellMar>
      </w:tblP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Dilutive restricted stock</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652" w:right="20"/>
        <w:spacing w:after="0" w:line="277" w:lineRule="auto"/>
        <w:rPr>
          <w:sz w:val="20"/>
          <w:szCs w:val="20"/>
          <w:color w:val="auto"/>
        </w:rPr>
      </w:pPr>
      <w:r>
        <w:rPr>
          <w:rFonts w:ascii="Arial" w:cs="Arial" w:eastAsia="Arial" w:hAnsi="Arial"/>
          <w:sz w:val="18"/>
          <w:szCs w:val="18"/>
          <w:color w:val="auto"/>
        </w:rPr>
        <w:t>For the three months ended March 31, 2020, 0.4 million contingently issuable common shares were excluded from the computation of diluted earnings per share because the effect would be anti-dilutive.</w:t>
      </w:r>
    </w:p>
    <w:p>
      <w:pPr>
        <w:spacing w:after="0" w:line="197" w:lineRule="exact"/>
        <w:rPr>
          <w:sz w:val="20"/>
          <w:szCs w:val="20"/>
          <w:color w:val="auto"/>
        </w:rPr>
      </w:pPr>
    </w:p>
    <w:p>
      <w:pPr>
        <w:ind w:left="652" w:right="20"/>
        <w:spacing w:after="0" w:line="342" w:lineRule="auto"/>
        <w:rPr>
          <w:sz w:val="20"/>
          <w:szCs w:val="20"/>
          <w:color w:val="auto"/>
        </w:rPr>
      </w:pPr>
      <w:r>
        <w:rPr>
          <w:rFonts w:ascii="Arial" w:cs="Arial" w:eastAsia="Arial" w:hAnsi="Arial"/>
          <w:sz w:val="16"/>
          <w:szCs w:val="16"/>
          <w:color w:val="auto"/>
        </w:rPr>
        <w:t>The Company declared and paid cash dividends of $.20 per share for the three months ended March 31, 2021. Additionally, on April 22, 2021, the Company's Board of Directors declared a dividend of $.20 per share payable on May 20, 2021 to shareholders of record on May 6, 2021.</w:t>
      </w:r>
    </w:p>
    <w:p>
      <w:pPr>
        <w:spacing w:after="0" w:line="390" w:lineRule="exact"/>
        <w:rPr>
          <w:sz w:val="20"/>
          <w:szCs w:val="20"/>
          <w:color w:val="auto"/>
        </w:rPr>
      </w:pPr>
    </w:p>
    <w:p>
      <w:pPr>
        <w:ind w:left="372" w:hanging="372"/>
        <w:spacing w:after="0"/>
        <w:tabs>
          <w:tab w:leader="none" w:pos="37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left="652"/>
        <w:spacing w:after="0" w:line="263" w:lineRule="auto"/>
        <w:rPr>
          <w:sz w:val="20"/>
          <w:szCs w:val="20"/>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ind w:left="652"/>
        <w:spacing w:after="0" w:line="277" w:lineRule="auto"/>
        <w:rPr>
          <w:sz w:val="20"/>
          <w:szCs w:val="20"/>
          <w:color w:val="auto"/>
        </w:rPr>
      </w:pPr>
      <w:r>
        <w:rPr>
          <w:rFonts w:ascii="Arial" w:cs="Arial" w:eastAsia="Arial" w:hAnsi="Arial"/>
          <w:sz w:val="18"/>
          <w:szCs w:val="18"/>
          <w:color w:val="auto"/>
        </w:rPr>
        <w:t>Segment income should not be considered in isolation or as a substitute for net income prepared in accordance with GAAP and may not be comparable to calculations of similarly titled measures by other companies.</w:t>
      </w:r>
    </w:p>
    <w:p>
      <w:pPr>
        <w:spacing w:after="0" w:line="19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tables below present information about the Company's operating segments.</w:t>
      </w:r>
    </w:p>
    <w:p>
      <w:pPr>
        <w:spacing w:after="0" w:line="200" w:lineRule="exact"/>
        <w:rPr>
          <w:sz w:val="20"/>
          <w:szCs w:val="20"/>
          <w:color w:val="auto"/>
        </w:rPr>
      </w:pPr>
    </w:p>
    <w:p>
      <w:pPr>
        <w:spacing w:after="0" w:line="336"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89"/>
              </w:rPr>
              <w:t>External Sales</w:t>
            </w:r>
          </w:p>
        </w:tc>
      </w:tr>
      <w:tr>
        <w:trPr>
          <w:trHeight w:val="222"/>
        </w:trPr>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4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color w:val="auto"/>
                <w:w w:val="92"/>
              </w:rPr>
              <w:t>March 31,</w:t>
            </w:r>
          </w:p>
        </w:tc>
        <w:tc>
          <w:tcPr>
            <w:tcW w:w="78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2,442</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segments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r>
      <w:tr>
        <w:trPr>
          <w:trHeight w:val="20"/>
        </w:trPr>
        <w:tc>
          <w:tcPr>
            <w:tcW w:w="4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left="652"/>
        <w:spacing w:after="0" w:line="263" w:lineRule="auto"/>
        <w:rPr>
          <w:sz w:val="20"/>
          <w:szCs w:val="20"/>
          <w:color w:val="auto"/>
        </w:rPr>
      </w:pPr>
      <w:r>
        <w:rPr>
          <w:rFonts w:ascii="Arial" w:cs="Arial" w:eastAsia="Arial" w:hAnsi="Arial"/>
          <w:sz w:val="18"/>
          <w:szCs w:val="18"/>
          <w:color w:val="auto"/>
        </w:rPr>
        <w:t>The primary sources of revenue included in other segments are the Company's food can and closures business in North America, aerosol can businesses in North America and Europe, its promotional packaging business in Europe, and its tooling and equipment operations in the U.S. and U.K.</w:t>
      </w:r>
    </w:p>
    <w:p>
      <w:pPr>
        <w:sectPr>
          <w:pgSz w:w="11900" w:h="16838" w:orient="portrait"/>
          <w:cols w:equalWidth="0" w:num="1">
            <w:col w:w="11232"/>
          </w:cols>
          <w:pgMar w:left="328"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21" w:name="page22"/>
    <w:bookmarkEnd w:id="2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10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7"/>
              </w:rPr>
              <w:t>Intersegment Sales</w:t>
            </w:r>
          </w:p>
        </w:tc>
        <w:tc>
          <w:tcPr>
            <w:tcW w:w="300" w:type="dxa"/>
            <w:vAlign w:val="bottom"/>
            <w:tcBorders>
              <w:bottom w:val="single" w:sz="8" w:color="auto"/>
            </w:tcBorders>
          </w:tcPr>
          <w:p>
            <w:pPr>
              <w:spacing w:after="0"/>
              <w:rPr>
                <w:sz w:val="20"/>
                <w:szCs w:val="20"/>
                <w:color w:val="auto"/>
              </w:rPr>
            </w:pPr>
          </w:p>
        </w:tc>
      </w:tr>
      <w:tr>
        <w:trPr>
          <w:trHeight w:val="222"/>
        </w:trPr>
        <w:tc>
          <w:tcPr>
            <w:tcW w:w="4620" w:type="dxa"/>
            <w:vAlign w:val="bottom"/>
          </w:tcPr>
          <w:p>
            <w:pPr>
              <w:spacing w:after="0"/>
              <w:rPr>
                <w:sz w:val="19"/>
                <w:szCs w:val="19"/>
                <w:color w:val="auto"/>
              </w:rPr>
            </w:pPr>
          </w:p>
        </w:tc>
        <w:tc>
          <w:tcPr>
            <w:tcW w:w="210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Three Months Ended</w:t>
            </w:r>
          </w:p>
        </w:tc>
        <w:tc>
          <w:tcPr>
            <w:tcW w:w="30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330"/>
              <w:spacing w:after="0"/>
              <w:rPr>
                <w:sz w:val="20"/>
                <w:szCs w:val="20"/>
                <w:color w:val="auto"/>
              </w:rPr>
            </w:pPr>
            <w:r>
              <w:rPr>
                <w:rFonts w:ascii="Arial" w:cs="Arial" w:eastAsia="Arial" w:hAnsi="Arial"/>
                <w:sz w:val="18"/>
                <w:szCs w:val="18"/>
                <w:color w:val="auto"/>
                <w:w w:val="92"/>
              </w:rPr>
              <w:t>March 31,</w:t>
            </w:r>
          </w:p>
        </w:tc>
        <w:tc>
          <w:tcPr>
            <w:tcW w:w="30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w:t>
            </w:r>
          </w:p>
        </w:tc>
      </w:tr>
      <w:tr>
        <w:trPr>
          <w:trHeight w:val="229"/>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segments</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113</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4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88"/>
              </w:rPr>
              <w:t>Segment Income</w:t>
            </w:r>
          </w:p>
        </w:tc>
        <w:tc>
          <w:tcPr>
            <w:tcW w:w="360" w:type="dxa"/>
            <w:vAlign w:val="bottom"/>
            <w:tcBorders>
              <w:bottom w:val="single" w:sz="8" w:color="auto"/>
            </w:tcBorders>
          </w:tcPr>
          <w:p>
            <w:pPr>
              <w:spacing w:after="0"/>
              <w:rPr>
                <w:sz w:val="20"/>
                <w:szCs w:val="20"/>
                <w:color w:val="auto"/>
              </w:rPr>
            </w:pPr>
          </w:p>
        </w:tc>
      </w:tr>
      <w:tr>
        <w:trPr>
          <w:trHeight w:val="222"/>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435</w:t>
            </w:r>
          </w:p>
        </w:tc>
        <w:tc>
          <w:tcPr>
            <w:tcW w:w="24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317</w:t>
            </w:r>
          </w:p>
        </w:tc>
      </w:tr>
      <w:tr>
        <w:trPr>
          <w:trHeight w:val="21"/>
        </w:trPr>
        <w:tc>
          <w:tcPr>
            <w:tcW w:w="4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50"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 of other segments</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318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r>
      <w:tr>
        <w:trPr>
          <w:trHeight w:val="20"/>
        </w:trPr>
        <w:tc>
          <w:tcPr>
            <w:tcW w:w="4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2021 and 2020, intercompany profits of $2 and less than $1 were eliminated within segment income of other segments.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unallocated items such as stock-based compensation.</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180" w:right="3680" w:hanging="179"/>
        <w:spacing w:after="0" w:line="282" w:lineRule="auto"/>
        <w:rPr>
          <w:sz w:val="20"/>
          <w:szCs w:val="20"/>
          <w:color w:val="auto"/>
        </w:rPr>
      </w:pPr>
      <w:r>
        <w:rPr>
          <w:rFonts w:ascii="Arial" w:cs="Arial" w:eastAsia="Arial" w:hAnsi="Arial"/>
          <w:sz w:val="18"/>
          <w:szCs w:val="18"/>
          <w:b w:val="1"/>
          <w:bCs w:val="1"/>
          <w:color w:val="auto"/>
        </w:rPr>
        <w:t>Item 2.</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months ended March 31, 2021 compared to 2020 and changes in financial condition and liquidity from December 31, 2020. This discussion should be read in conjunction with the consolidated financial statements and notes thereto included in the Company's Annual Report on Form 10-K for the year ended December 31, 2020,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56"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strategy is to grow its businesses in targeted growth markets, while improving operations and results in more mature markets through disciplined pricing, cost control and careful capital allocation.</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global beverage can business continues to be a major strategic focus for organic growth. Beverage cans are the world’s most sustainable and recycled beverage packaging and continue to gain market share in new beverage product launches. The Company continues to drive brand differentiation by increasing its ability to offer multiple product sizes.</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 In addition, markets such as Brazil, Europe, Mexico and Southeast Asia have also experienced higher volumes and market expansion, although volumes in certain of those markets were negatively affected by the impact of the coronavirus pandemic in 2020. The Company continues to invest in capacity expansion to meet the accelerating demand.</w:t>
      </w:r>
    </w:p>
    <w:p>
      <w:pPr>
        <w:spacing w:after="0" w:line="215"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The Company's primary capital allocation focus has been to reduce leverage, as was successfully accomplished following previous acquisitions, and to begin to return capital to its shareholders. In April 2021, the Company announced an agreement to sell its European Tinplate business (the "Business"). The Business comprises the Company’s European Food segment and its European Aerosol and Promotional Packaging reporting unit which is reported in the Company's other segments. The Company will receive pre-tax proceeds of approximately €1.9 billion ($2.2 billion at March 31, 2021) from the transaction and retain a 20% ownership stake in the business. The Company expects to use the net proceeds, after closing working capital adjustments, taxes and other transaction related costs, to further reduce debt, fund capital projects and repurchase shares over time under the $1.5 billion share repurchase program approved by its Board in February 2021.</w:t>
      </w:r>
    </w:p>
    <w:p>
      <w:pPr>
        <w:spacing w:after="0" w:line="193"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Beginning with the quarterly period ended June 30, 2021, the results of operations will be reported as discontinued operations in the Consolidated Statement of Operations. In connection with the sale, it is possible that the Company records additional charges that could be material.</w:t>
      </w:r>
    </w:p>
    <w:p>
      <w:pPr>
        <w:spacing w:after="0" w:line="15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response to the ongoing coronavirus pandemic, the Company continues to take actions to ensure the safety of its employees. The Company has increased safety measures in its manufacturing facilities to protect the safety of its employees and the products they produce. In addition, as many employees as possible are working remotely.</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Company’s products are a vital part of the support system to its customers and consumers. In addition to manufacturing containers that provide protection for food and beverages, the Company also produces closures for baby food, aerosol containers for cleaning and sanitizing products and numerous other products that provide for the safe and secure transportation of goods in transit.</w:t>
      </w:r>
    </w:p>
    <w:p>
      <w:pPr>
        <w:spacing w:after="0" w:line="21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is working to keep its manufacturing facilities around the world operational and equipped with the resources required to meet continually evolving customer demand by delivering high quality products in a safe and timely manner. The Company is actively monitoring and managing supply chain challenges, including coordinating with its suppliers to identify and mitigate potential areas of risk and manage inventories.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43" w:lineRule="exact"/>
        <w:rPr>
          <w:sz w:val="20"/>
          <w:szCs w:val="20"/>
          <w:color w:val="auto"/>
        </w:rPr>
      </w:pPr>
    </w:p>
    <w:p>
      <w:pPr>
        <w:jc w:val="both"/>
        <w:ind w:left="660"/>
        <w:spacing w:after="0" w:line="248" w:lineRule="auto"/>
        <w:rPr>
          <w:sz w:val="20"/>
          <w:szCs w:val="20"/>
          <w:color w:val="auto"/>
        </w:rPr>
      </w:pPr>
      <w:r>
        <w:rPr>
          <w:rFonts w:ascii="Arial" w:cs="Arial" w:eastAsia="Arial" w:hAnsi="Arial"/>
          <w:sz w:val="18"/>
          <w:szCs w:val="18"/>
          <w:color w:val="auto"/>
        </w:rPr>
        <w:t>The Company continues to actively elevate its industry-leading commitment to sustainability, which is a core value of the Company. In 2020, the Company debuted Twentyby30, a robust program that outlines twenty measurable environmental, social and governance goals to be completed by 2030 or sooner.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assessing performance, the key performance measure used by the Company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21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and Transit Packaging segments and the Canadian dollar and Mexican peso in the Company's Americas Beverage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Sales and Segment Income</w:t>
      </w:r>
    </w:p>
    <w:p>
      <w:pPr>
        <w:spacing w:after="0" w:line="54"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March 31,</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46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4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2021 compared to 2020</w:t>
      </w:r>
    </w:p>
    <w:p>
      <w:pPr>
        <w:spacing w:after="0" w:line="25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Net sales increased primarily due to higher sales unit volumes across each of the Company's businesses and $92 from the impact of foreign currency translation.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have experienced recent growth due to the introduction of new beverage products in cans versus other packaging formats. To meet volume requirements in these markets, the Company began commercial production on a new beverage can line at its Toronto, Ontario plant in January 2020 and on the third line at its Nichols, NY facility in June 2020. Additionally, the Company has announced a new beverage can facility in Bowling Green, Kentucky, with the first line expected to begin production in the second quarter of 2021 and a second line scheduled for a late third quarter 2021 start-up. To meet the expanding requirements of specialty cans in the Pacific Northwest, the Company will construct a third line in its Olympia, Washington plant which is scheduled to begin production during the third quarter of 2021. The Company also announced construction of a new facility in Henry County, Virginia which is expected to commence operations during the second quarter of 2022.</w:t>
      </w:r>
    </w:p>
    <w:p>
      <w:pPr>
        <w:spacing w:after="0" w:line="193"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In Brazil and Mexico, the Company's sales unit volumes have increased in recent years primarily due to market growth driven by increased per capita incomes and consumption, combined with an increased preference for cans over other forms of beverage packaging. The Company will construct a second line at its Rio Verde, Brazil facility that is expected to commence operations during the fourth quarter of 2021. The Company has also begun construction of a two-line facility in Minas Gerais, Brazil, with the first line expected to begin production during the second quarter of 2022 and the second line scheduled to start up during the fourth quarter of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993</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6"/>
              </w:rPr>
              <w:t>188</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134</w:t>
            </w:r>
          </w:p>
        </w:tc>
      </w:tr>
    </w:tbl>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2021 compared to 2020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increased primarily due to 9% higher sales unit volumes and the pass-through of higher aluminum costs.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 and improved pricing.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 In the second quarter of 2020, two beverage can lines in the Seville, Spain plant began commercial production of aluminum cans.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2021 compared to 2020</w:t>
      </w:r>
    </w:p>
    <w:p>
      <w:pPr>
        <w:spacing w:after="0" w:line="252" w:lineRule="exact"/>
        <w:rPr>
          <w:sz w:val="20"/>
          <w:szCs w:val="20"/>
          <w:color w:val="auto"/>
        </w:rPr>
      </w:pPr>
    </w:p>
    <w:p>
      <w:pPr>
        <w:ind w:left="660" w:right="520"/>
        <w:spacing w:after="0" w:line="277" w:lineRule="auto"/>
        <w:rPr>
          <w:sz w:val="20"/>
          <w:szCs w:val="20"/>
          <w:color w:val="auto"/>
        </w:rPr>
      </w:pPr>
      <w:r>
        <w:rPr>
          <w:rFonts w:ascii="Arial" w:cs="Arial" w:eastAsia="Arial" w:hAnsi="Arial"/>
          <w:sz w:val="18"/>
          <w:szCs w:val="18"/>
          <w:color w:val="auto"/>
        </w:rPr>
        <w:t>Net sales increased due to $21 from the impact of foreign currency translation, 6% higher sales unit volumes and the pass-through of higher aluminum costs.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 and improved cost performance.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Food</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European Food segment manufactures steel and aluminum food cans and ends and metal vacuum closures, and supplies a variety of customers from its operations throughout Europe and Africa. The European food can market is a mature market where consumer preference continues to favor the can due to product protection and food preservation.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Food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460</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402</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2021 compared to 2020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increased primarily due to $36 from the impact of foreign currency translation and 6% higher sales unit volumes.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162"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Segment income increased as the three months ended March 31, 2020 included charges of $18 from the carryover of higher tinplate costs from the prior year that did not recur in 2021. Additionally, segment income increased due to higher sales unit volumes and $5 from the impact of foreign currency translation.</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162"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In 2020, however, industry volumes decreased due to the impact of the coronavirus pandemic. The Company began commercial production at a one-line beverage can plant in Nong Khae, Thailand in July 2020. Additionally, the Company has begun construction of a one-line beverage can plant in Vung Tao, Vietnam, that is expected to begin commercial production in September 2021.</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331</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301</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2021 compared to 2020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increased due to 8% higher sales unit volumes and $6 from the impact of foreign currency translation.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Transit Packaging</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Transit Packaging segment includes the Company's global consumables and equipment and tools businesses. Consumables include steel strap, plastic strap and industrial film and other related products that are used in a wide range of industries, and transit protection products that help prevent movement during transport for a wide range of industrial and consumer products. Equipment and tools includes manual, semi-automatic and automatic equipment and tools used in end-of-line operations to apply industrial solutions consumables.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557</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522</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2021 compared to 2020</w:t>
      </w:r>
    </w:p>
    <w:p>
      <w:pPr>
        <w:spacing w:after="0" w:line="252"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Net sales increased primarily due to $17 from the impact of foreign currency translation, higher sales unit volumes and the pass-through of higher raw material prices.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Other Segments</w:t>
      </w:r>
    </w:p>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Company's other segments include its food can and closures businesses in North America, its aerosol can businesses in North America and Europe, and its tooling and equipment operations in the U.S. and U.K.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non-reportable segments were as follows: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04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9"/>
                <w:szCs w:val="19"/>
                <w:color w:val="auto"/>
              </w:rPr>
            </w:pPr>
          </w:p>
        </w:tc>
      </w:tr>
      <w:tr>
        <w:trPr>
          <w:trHeight w:val="230"/>
        </w:trPr>
        <w:tc>
          <w:tcPr>
            <w:tcW w:w="4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360" w:type="dxa"/>
            <w:vAlign w:val="bottom"/>
            <w:tcBorders>
              <w:bottom w:val="single" w:sz="8" w:color="auto"/>
            </w:tcBorders>
          </w:tcPr>
          <w:p>
            <w:pPr>
              <w:spacing w:after="0"/>
              <w:rPr>
                <w:sz w:val="19"/>
                <w:szCs w:val="19"/>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348</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315</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2021 compared to 2020</w:t>
      </w:r>
    </w:p>
    <w:p>
      <w:pPr>
        <w:spacing w:after="0" w:line="25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sales increased primarily due to higher sales in the Company's beverage can equipment operations, the pass-through of higher tinplate costs and $8 from the impact of foreign currency translation.</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Segment income increased due to higher sales in the Company's beverage can equipment operations and lower tinplate carryover costs as compared to the three months ended March 31, 2020.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Corporate and Unallocated Expense</w:t>
      </w:r>
    </w:p>
    <w:p>
      <w:pPr>
        <w:spacing w:after="0" w:line="297"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22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1465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5" w:lineRule="exact"/>
        <w:rPr>
          <w:sz w:val="20"/>
          <w:szCs w:val="20"/>
          <w:color w:val="auto"/>
        </w:rPr>
      </w:pPr>
    </w:p>
    <w:p>
      <w:pPr>
        <w:ind w:left="5420"/>
        <w:spacing w:after="0"/>
        <w:tabs>
          <w:tab w:leader="none" w:pos="6660"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427736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3" w:lineRule="exact"/>
        <w:rPr>
          <w:sz w:val="20"/>
          <w:szCs w:val="20"/>
          <w:color w:val="auto"/>
        </w:rPr>
      </w:pPr>
    </w:p>
    <w:p>
      <w:pPr>
        <w:ind w:left="680"/>
        <w:spacing w:after="0"/>
        <w:tabs>
          <w:tab w:leader="none" w:pos="5080" w:val="left"/>
          <w:tab w:leader="none" w:pos="5760" w:val="left"/>
          <w:tab w:leader="none" w:pos="6340" w:val="left"/>
          <w:tab w:leader="none" w:pos="7040" w:val="left"/>
        </w:tabs>
        <w:rPr>
          <w:sz w:val="20"/>
          <w:szCs w:val="20"/>
          <w:color w:val="auto"/>
        </w:rPr>
      </w:pPr>
      <w:r>
        <w:rPr>
          <w:rFonts w:ascii="Arial" w:cs="Arial" w:eastAsia="Arial" w:hAnsi="Arial"/>
          <w:sz w:val="18"/>
          <w:szCs w:val="18"/>
          <w:color w:val="auto"/>
        </w:rPr>
        <w:t>Corporate and unallocated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(38)</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and unallocated expenses were comparable for the three months ended March 31, 2021 compared to 2020.</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months ended March 31, 2021 compared to 2020, interest expense decreased from $80 to $71 due to lower interest rates and outstanding debt balances.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Interests</w:t>
      </w:r>
    </w:p>
    <w:p>
      <w:pPr>
        <w:spacing w:after="0" w:line="2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the three months ended March 31, 2021 compared to 2020, net income attributable to noncontrolling interests increased from $26 to $34 due to higher earnings in the Company's beverage can operations in Brazil.</w:t>
      </w:r>
    </w:p>
    <w:p>
      <w:pPr>
        <w:spacing w:after="0" w:line="193"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Cash used for operating activities decreased from $607 for the three months ended March 31, 2020 to $385 for the three months ended March 31, 2021. The decrease in cash used for operating activities was primarily due to higher earnings and changes in working capital.</w:t>
      </w:r>
    </w:p>
    <w:p>
      <w:pPr>
        <w:spacing w:after="0" w:line="17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was 36 days as of March 31, 2020 compared to 37 days as of March 31, 2021.</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Inventory turnover was 65 days at March 31, 2020 compared to 63 days at March 31, 2021. Inventory turnover at March 31, 2021 was comparable to 64 days at December 31, 2020.</w:t>
      </w:r>
    </w:p>
    <w:p>
      <w:pPr>
        <w:sectPr>
          <w:pgSz w:w="11900" w:h="16838" w:orient="portrait"/>
          <w:cols w:equalWidth="0" w:num="1">
            <w:col w:w="11240"/>
          </w:cols>
          <w:pgMar w:left="320" w:top="121" w:right="339" w:bottom="111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114"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Days outstanding for trade payables was 85 days at March 31, 2020 compared to 88 days at March 31, 2021.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Cash used for investing activities increased from $96 for the three months ended March 31, 2020 to $120 for the three months ended March 31, 2021 primarily due to increased capital expenditures related to capacity expansion projects in the Americas Beverage segment.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capital expenditures in 2021 to be approximately $900.</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Financing activities provided cash of $882 for the three months ended March 31, 2020 and used cash of $55 for the three months ended March 31, 2021. The Company had higher net borrowings and repurchased $57 of capital stock in 2020. During the three months ended March 31, 2021, the Company paid dividends to stockholders of $27.</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of March 31, 2021, $525 of the Company's $588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$447 was held by subsidiaries for which earnings are considered indefinitely reinvested. While based on current operating plans the Company does not foresee a need to repatriate these funds, if such earnings were repatriated the Company would be required to record any incremental taxes on the repatriated funds.</w:t>
      </w:r>
    </w:p>
    <w:p>
      <w:pPr>
        <w:spacing w:after="0" w:line="21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March 31, 2021, the Company had $1,561 of borrowing capacity available under its revolving credit facility, equal to the total facility of $1,650 less borrowings of $26 and outstanding standby letters of credit of $63. The Company could have borrowed this amount at March 31, 2021 and still have been in compliance with its leverage ratio covenants. The Company's net total leverage ratio, as defined by the credit agreement, of 3.71 to 1.0 at March 31, 2021 was in compliance with the covenant requiring a ratio of no greater than 5.0 to 1.0. The required net total leverage ratio under the agreement reduces to 4.5 to 1.0 at December 31, 2022.</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As of March 31, 2021, the Company had approximately $215 of capital commitments primarily related to its Americas Beverage segment. The Company expects to fund these commitments primarily through cash flows from operations and proceeds from the sale of its European Tinplate business.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During the three months ended March 31, 2021 there were no material changes to the Company's contractual obligations provided within Part II, Item 7, “Management's Discussion and Analysis of Financial Condition and Results of Operations” of the Company's Annual Report on Form 10-K for the year ended December 31, 2020, which information is incorporated herein by reference.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ind w:left="660"/>
        <w:spacing w:after="0" w:line="275" w:lineRule="auto"/>
        <w:rPr>
          <w:rFonts w:ascii="Arial" w:cs="Arial" w:eastAsia="Arial" w:hAnsi="Arial"/>
          <w:sz w:val="17"/>
          <w:szCs w:val="17"/>
          <w:color w:val="auto"/>
        </w:rPr>
      </w:pPr>
      <w:r>
        <w:rPr>
          <w:rFonts w:ascii="Arial" w:cs="Arial" w:eastAsia="Arial" w:hAnsi="Arial"/>
          <w:sz w:val="17"/>
          <w:szCs w:val="17"/>
          <w:color w:val="auto"/>
        </w:rPr>
        <w:t xml:space="preserve">As disclosed in </w:t>
      </w:r>
      <w:hyperlink w:anchor="page17">
        <w:r>
          <w:rPr>
            <w:rFonts w:ascii="Arial" w:cs="Arial" w:eastAsia="Arial" w:hAnsi="Arial"/>
            <w:sz w:val="17"/>
            <w:szCs w:val="17"/>
            <w:u w:val="single" w:color="auto"/>
            <w:color w:val="0000FF"/>
          </w:rPr>
          <w:t>Note L</w:t>
        </w:r>
      </w:hyperlink>
      <w:r>
        <w:rPr>
          <w:rFonts w:ascii="Arial" w:cs="Arial" w:eastAsia="Arial" w:hAnsi="Arial"/>
          <w:sz w:val="17"/>
          <w:szCs w:val="17"/>
          <w:color w:val="auto"/>
        </w:rPr>
        <w:t>, 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03"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IV, Crown Americas Capital Corp. V, Crown Americas Capital Corp. VI, the Parent, and substantially all of the Company’s subsidiaries in the United States.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480" w:type="dxa"/>
            <w:vAlign w:val="bottom"/>
            <w:gridSpan w:val="4"/>
          </w:tcPr>
          <w:p>
            <w:pPr>
              <w:spacing w:after="0"/>
              <w:rPr>
                <w:sz w:val="20"/>
                <w:szCs w:val="20"/>
                <w:color w:val="auto"/>
              </w:rPr>
            </w:pPr>
            <w:r>
              <w:rPr>
                <w:rFonts w:ascii="Arial" w:cs="Arial" w:eastAsia="Arial" w:hAnsi="Arial"/>
                <w:sz w:val="18"/>
                <w:szCs w:val="18"/>
                <w:i w:val="1"/>
                <w:iCs w:val="1"/>
                <w:color w:val="auto"/>
              </w:rPr>
              <w:t>Crown Cork Obligor Group</w:t>
            </w:r>
          </w:p>
        </w:tc>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76"/>
        </w:trPr>
        <w:tc>
          <w:tcPr>
            <w:tcW w:w="20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0"/>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92"/>
              </w:rPr>
              <w:t>March 31, 2021</w:t>
            </w:r>
          </w:p>
        </w:tc>
        <w:tc>
          <w:tcPr>
            <w:tcW w:w="5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23"/>
        </w:trPr>
        <w:tc>
          <w:tcPr>
            <w:tcW w:w="4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70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4480" w:type="dxa"/>
            <w:vAlign w:val="bottom"/>
            <w:gridSpan w:val="4"/>
          </w:tcPr>
          <w:p>
            <w:pPr>
              <w:ind w:left="20"/>
              <w:spacing w:after="0"/>
              <w:rPr>
                <w:sz w:val="20"/>
                <w:szCs w:val="20"/>
                <w:color w:val="auto"/>
              </w:rPr>
            </w:pPr>
            <w:r>
              <w:rPr>
                <w:rFonts w:ascii="Arial" w:cs="Arial" w:eastAsia="Arial" w:hAnsi="Arial"/>
                <w:sz w:val="18"/>
                <w:szCs w:val="18"/>
                <w:color w:val="auto"/>
              </w:rPr>
              <w:t>Gross Profit</w:t>
            </w:r>
          </w:p>
        </w:tc>
        <w:tc>
          <w:tcPr>
            <w:tcW w:w="1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4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7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448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1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448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1</w:t>
            </w:r>
          </w:p>
        </w:tc>
        <w:tc>
          <w:tcPr>
            <w:tcW w:w="17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72"/>
        </w:trPr>
        <w:tc>
          <w:tcPr>
            <w:tcW w:w="6180" w:type="dxa"/>
            <w:vAlign w:val="bottom"/>
            <w:gridSpan w:val="5"/>
          </w:tcPr>
          <w:p>
            <w:pPr>
              <w:spacing w:after="0"/>
              <w:rPr>
                <w:sz w:val="20"/>
                <w:szCs w:val="20"/>
                <w:color w:val="auto"/>
              </w:rPr>
            </w:pPr>
            <w:r>
              <w:rPr>
                <w:rFonts w:ascii="Arial" w:cs="Arial" w:eastAsia="Arial" w:hAnsi="Arial"/>
                <w:sz w:val="14"/>
                <w:szCs w:val="14"/>
                <w:color w:val="auto"/>
              </w:rPr>
              <w:t>(1) Includes $9 of expense related to intercompany interest with non-guarantor subsidiaries</w:t>
            </w: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498"/>
        </w:trPr>
        <w:tc>
          <w:tcPr>
            <w:tcW w:w="20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31, 2021</w:t>
            </w: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December 31, 2020</w:t>
            </w:r>
          </w:p>
        </w:tc>
      </w:tr>
      <w:tr>
        <w:trPr>
          <w:trHeight w:val="223"/>
        </w:trPr>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32"/>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480" w:type="dxa"/>
            <w:vAlign w:val="bottom"/>
            <w:gridSpan w:val="4"/>
          </w:tcPr>
          <w:p>
            <w:pPr>
              <w:ind w:left="20"/>
              <w:spacing w:after="0"/>
              <w:rPr>
                <w:sz w:val="20"/>
                <w:szCs w:val="20"/>
                <w:color w:val="auto"/>
              </w:rPr>
            </w:pPr>
            <w:r>
              <w:rPr>
                <w:rFonts w:ascii="Arial" w:cs="Arial" w:eastAsia="Arial" w:hAnsi="Arial"/>
                <w:sz w:val="18"/>
                <w:szCs w:val="18"/>
                <w:color w:val="auto"/>
              </w:rPr>
              <w:t>Non-current assets</w:t>
            </w:r>
          </w:p>
        </w:tc>
        <w:tc>
          <w:tcPr>
            <w:tcW w:w="17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29"/>
        </w:trPr>
        <w:tc>
          <w:tcPr>
            <w:tcW w:w="44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7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304"/>
        </w:trPr>
        <w:tc>
          <w:tcPr>
            <w:tcW w:w="4480" w:type="dxa"/>
            <w:vAlign w:val="bottom"/>
            <w:gridSpan w:val="4"/>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170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w w:val="88"/>
              </w:rPr>
              <w:t>4,345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4,305</w:t>
            </w:r>
          </w:p>
        </w:tc>
      </w:tr>
      <w:tr>
        <w:trPr>
          <w:trHeight w:val="197"/>
        </w:trPr>
        <w:tc>
          <w:tcPr>
            <w:tcW w:w="7340" w:type="dxa"/>
            <w:vAlign w:val="bottom"/>
            <w:gridSpan w:val="8"/>
          </w:tcPr>
          <w:p>
            <w:pPr>
              <w:spacing w:after="0"/>
              <w:rPr>
                <w:sz w:val="20"/>
                <w:szCs w:val="20"/>
                <w:color w:val="auto"/>
              </w:rPr>
            </w:pPr>
            <w:r>
              <w:rPr>
                <w:rFonts w:ascii="Arial" w:cs="Arial" w:eastAsia="Arial" w:hAnsi="Arial"/>
                <w:sz w:val="14"/>
                <w:szCs w:val="14"/>
                <w:color w:val="auto"/>
                <w:w w:val="94"/>
              </w:rPr>
              <w:t>(1) Includes payables of $3,663 and $3,623 due to non-guarantor subsidiaries as of March 31, 2021 and December 31, 2020</w:t>
            </w:r>
          </w:p>
        </w:tc>
        <w:tc>
          <w:tcPr>
            <w:tcW w:w="2000" w:type="dxa"/>
            <w:vAlign w:val="bottom"/>
          </w:tcPr>
          <w:p>
            <w:pPr>
              <w:spacing w:after="0"/>
              <w:rPr>
                <w:sz w:val="17"/>
                <w:szCs w:val="17"/>
                <w:color w:val="auto"/>
              </w:rPr>
            </w:pPr>
          </w:p>
        </w:tc>
      </w:tr>
      <w:tr>
        <w:trPr>
          <w:trHeight w:val="417"/>
        </w:trPr>
        <w:tc>
          <w:tcPr>
            <w:tcW w:w="4480" w:type="dxa"/>
            <w:vAlign w:val="bottom"/>
            <w:gridSpan w:val="4"/>
          </w:tcPr>
          <w:p>
            <w:pPr>
              <w:spacing w:after="0"/>
              <w:rPr>
                <w:sz w:val="20"/>
                <w:szCs w:val="20"/>
                <w:color w:val="auto"/>
              </w:rPr>
            </w:pPr>
            <w:r>
              <w:rPr>
                <w:rFonts w:ascii="Arial" w:cs="Arial" w:eastAsia="Arial" w:hAnsi="Arial"/>
                <w:sz w:val="18"/>
                <w:szCs w:val="18"/>
                <w:i w:val="1"/>
                <w:iCs w:val="1"/>
                <w:color w:val="auto"/>
              </w:rPr>
              <w:t>Crown Americas Obligor Group</w:t>
            </w: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19"/>
        </w:trPr>
        <w:tc>
          <w:tcPr>
            <w:tcW w:w="2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30"/>
        </w:trPr>
        <w:tc>
          <w:tcPr>
            <w:tcW w:w="20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92"/>
              </w:rPr>
              <w:t>March 31, 2021</w:t>
            </w:r>
          </w:p>
        </w:tc>
        <w:tc>
          <w:tcPr>
            <w:tcW w:w="5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23"/>
        </w:trPr>
        <w:tc>
          <w:tcPr>
            <w:tcW w:w="4480" w:type="dxa"/>
            <w:vAlign w:val="bottom"/>
            <w:gridSpan w:val="4"/>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w w:val="79"/>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448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1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448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17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30"/>
        </w:trPr>
        <w:tc>
          <w:tcPr>
            <w:tcW w:w="4480" w:type="dxa"/>
            <w:vAlign w:val="bottom"/>
            <w:gridSpan w:val="4"/>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3</w:t>
            </w:r>
          </w:p>
        </w:tc>
        <w:tc>
          <w:tcPr>
            <w:tcW w:w="1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448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3</w:t>
            </w:r>
          </w:p>
        </w:tc>
        <w:tc>
          <w:tcPr>
            <w:tcW w:w="1700" w:type="dxa"/>
            <w:vAlign w:val="bottom"/>
            <w:shd w:val="clear" w:color="auto" w:fill="CCEEFF"/>
          </w:tcPr>
          <w:p>
            <w:pPr>
              <w:spacing w:after="0"/>
              <w:rPr>
                <w:sz w:val="19"/>
                <w:szCs w:val="19"/>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89" w:lineRule="exact"/>
        <w:rPr>
          <w:sz w:val="20"/>
          <w:szCs w:val="20"/>
          <w:color w:val="auto"/>
        </w:rPr>
      </w:pPr>
    </w:p>
    <w:p>
      <w:pPr>
        <w:ind w:left="860" w:hanging="204"/>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$110 of sales to non-guarantor subsidiaries</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$11 of gross profit related to sales to non-guarantor subsidiaries</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$17 of income related to intercompany interest and technology royalties with non-guarantor subsidiaries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tc>
        <w:tc>
          <w:tcPr>
            <w:tcW w:w="1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499"/>
        </w:trPr>
        <w:tc>
          <w:tcPr>
            <w:tcW w:w="660" w:type="dxa"/>
            <w:vAlign w:val="bottom"/>
          </w:tcPr>
          <w:p>
            <w:pPr>
              <w:spacing w:after="0"/>
              <w:rPr>
                <w:sz w:val="24"/>
                <w:szCs w:val="24"/>
                <w:color w:val="auto"/>
              </w:rPr>
            </w:pPr>
          </w:p>
        </w:tc>
        <w:tc>
          <w:tcPr>
            <w:tcW w:w="446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March 31, 2021</w:t>
            </w:r>
          </w:p>
        </w:tc>
        <w:tc>
          <w:tcPr>
            <w:tcW w:w="520" w:type="dxa"/>
            <w:vAlign w:val="bottom"/>
            <w:tcBorders>
              <w:bottom w:val="single" w:sz="8" w:color="auto"/>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8"/>
              </w:rPr>
              <w:t>December 31, 2020</w:t>
            </w:r>
          </w:p>
        </w:tc>
      </w:tr>
      <w:tr>
        <w:trPr>
          <w:trHeight w:val="223"/>
        </w:trPr>
        <w:tc>
          <w:tcPr>
            <w:tcW w:w="660" w:type="dxa"/>
            <w:vAlign w:val="bottom"/>
          </w:tcPr>
          <w:p>
            <w:pPr>
              <w:spacing w:after="0"/>
              <w:rPr>
                <w:sz w:val="19"/>
                <w:szCs w:val="19"/>
                <w:color w:val="auto"/>
              </w:rPr>
            </w:pPr>
          </w:p>
        </w:tc>
        <w:tc>
          <w:tcPr>
            <w:tcW w:w="44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17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r>
      <w:tr>
        <w:trPr>
          <w:trHeight w:val="229"/>
        </w:trPr>
        <w:tc>
          <w:tcPr>
            <w:tcW w:w="660" w:type="dxa"/>
            <w:vAlign w:val="bottom"/>
          </w:tcPr>
          <w:p>
            <w:pPr>
              <w:spacing w:after="0"/>
              <w:rPr>
                <w:sz w:val="19"/>
                <w:szCs w:val="19"/>
                <w:color w:val="auto"/>
              </w:rPr>
            </w:pPr>
          </w:p>
        </w:tc>
        <w:tc>
          <w:tcPr>
            <w:tcW w:w="4460" w:type="dxa"/>
            <w:vAlign w:val="bottom"/>
          </w:tcPr>
          <w:p>
            <w:pPr>
              <w:ind w:left="20"/>
              <w:spacing w:after="0" w:line="230"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17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3,307</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3,248</w:t>
            </w:r>
          </w:p>
        </w:tc>
      </w:tr>
      <w:tr>
        <w:trPr>
          <w:trHeight w:val="229"/>
        </w:trPr>
        <w:tc>
          <w:tcPr>
            <w:tcW w:w="660" w:type="dxa"/>
            <w:vAlign w:val="bottom"/>
          </w:tcPr>
          <w:p>
            <w:pPr>
              <w:spacing w:after="0"/>
              <w:rPr>
                <w:sz w:val="19"/>
                <w:szCs w:val="19"/>
                <w:color w:val="auto"/>
              </w:rPr>
            </w:pPr>
          </w:p>
        </w:tc>
        <w:tc>
          <w:tcPr>
            <w:tcW w:w="4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17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1,028</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304"/>
        </w:trPr>
        <w:tc>
          <w:tcPr>
            <w:tcW w:w="66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17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4,561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4,491</w:t>
            </w:r>
          </w:p>
        </w:tc>
      </w:tr>
    </w:tbl>
    <w:p>
      <w:pPr>
        <w:spacing w:after="0" w:line="14" w:lineRule="exact"/>
        <w:rPr>
          <w:sz w:val="20"/>
          <w:szCs w:val="20"/>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receivables of $42 and $45 due from non-guarantor subsidiaries as of March 31, 2021 and December 31, 2020</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receivables of $157 and $142 due from non-guarantor subsidiaries as of March 31, 2021 and December 31, 2020</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payables of $46 and $54 due to non-guarantor subsidiaries as of March 31, 2021 and December 31, 2020</w:t>
      </w:r>
    </w:p>
    <w:p>
      <w:pPr>
        <w:spacing w:after="0" w:line="1" w:lineRule="exact"/>
        <w:rPr>
          <w:rFonts w:ascii="Arial" w:cs="Arial" w:eastAsia="Arial" w:hAnsi="Arial"/>
          <w:sz w:val="14"/>
          <w:szCs w:val="14"/>
          <w:color w:val="auto"/>
        </w:rPr>
      </w:pPr>
    </w:p>
    <w:p>
      <w:pPr>
        <w:ind w:left="860" w:hanging="204"/>
        <w:spacing w:after="0"/>
        <w:tabs>
          <w:tab w:leader="none" w:pos="8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payables of $130 and $31 due to non-guarantor subsidiaries as of March 31, 2021 and December 31, 2020</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1">
        <w:r>
          <w:rPr>
            <w:rFonts w:ascii="Arial" w:cs="Arial" w:eastAsia="Arial" w:hAnsi="Arial"/>
            <w:sz w:val="18"/>
            <w:szCs w:val="18"/>
            <w:u w:val="single" w:color="auto"/>
            <w:color w:val="0000FF"/>
          </w:rPr>
          <w:t>Note J</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38" w:lineRule="exact"/>
        <w:rPr>
          <w:sz w:val="20"/>
          <w:szCs w:val="20"/>
          <w:color w:val="auto"/>
        </w:rPr>
      </w:pP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2020 describe the significant accounting estimates and policies used in the preparation of the consolidated financial statements. Updates to the Company's accounting policies related to new accounting pronouncements are included in </w:t>
      </w:r>
      <w:hyperlink w:anchor="page7">
        <w:r>
          <w:rPr>
            <w:rFonts w:ascii="Arial" w:cs="Arial" w:eastAsia="Arial" w:hAnsi="Arial"/>
            <w:sz w:val="18"/>
            <w:szCs w:val="18"/>
            <w:u w:val="single" w:color="auto"/>
            <w:color w:val="0000FF"/>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Statements included herein, including, but not limited to, those in “Management's Discussion and Analysis of Financial Condition and Results of Operations” (such as statements regarding the Company's expectation and ability to pay quarterly dividends in the future or statements regarding the Company's initiation of a share repurchase program) and in the discussions of asbestos in </w:t>
      </w:r>
      <w:hyperlink w:anchor="page9">
        <w:r>
          <w:rPr>
            <w:rFonts w:ascii="Arial" w:cs="Arial" w:eastAsia="Arial" w:hAnsi="Arial"/>
            <w:sz w:val="16"/>
            <w:szCs w:val="16"/>
            <w:u w:val="single" w:color="auto"/>
            <w:color w:val="0000FF"/>
          </w:rPr>
          <w:t>Note I</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commitments and contingencies in </w:t>
      </w:r>
      <w:hyperlink w:anchor="page11">
        <w:r>
          <w:rPr>
            <w:rFonts w:ascii="Arial" w:cs="Arial" w:eastAsia="Arial" w:hAnsi="Arial"/>
            <w:sz w:val="16"/>
            <w:szCs w:val="16"/>
            <w:u w:val="single" w:color="auto"/>
            <w:color w:val="0000FF"/>
          </w:rPr>
          <w:t>Note J</w:t>
        </w:r>
      </w:hyperlink>
      <w:r>
        <w:rPr>
          <w:rFonts w:ascii="Arial" w:cs="Arial" w:eastAsia="Arial" w:hAnsi="Arial"/>
          <w:sz w:val="16"/>
          <w:szCs w:val="16"/>
          <w:color w:val="auto"/>
        </w:rPr>
        <w:t xml:space="preserve"> 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2020, which are not historical facts (including any statements concerning the direct or indirect impact of coronavirus, plans, the sale of the Company's European tinplate business (including whether the sale will ultimately be consummated within the expected timeframe or at all and whether the sale will ultimately prove to be beneficial to the Company)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19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56"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2020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March 31, 2021, see </w:t>
      </w:r>
      <w:hyperlink w:anchor="page12">
        <w:r>
          <w:rPr>
            <w:rFonts w:ascii="Arial" w:cs="Arial" w:eastAsia="Arial" w:hAnsi="Arial"/>
            <w:sz w:val="17"/>
            <w:szCs w:val="17"/>
            <w:u w:val="single" w:color="auto"/>
            <w:color w:val="0000FF"/>
          </w:rPr>
          <w:t>Note 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2021, the Company had $1.5 billion principal floating interest rate debt. A change of 0.25% in these floating interest rates would change annual interest expense by approximately $4 million before tax.</w:t>
      </w:r>
    </w:p>
    <w:p>
      <w:pPr>
        <w:spacing w:after="0" w:line="200" w:lineRule="exact"/>
        <w:rPr>
          <w:sz w:val="20"/>
          <w:szCs w:val="20"/>
          <w:color w:val="auto"/>
        </w:rPr>
      </w:pPr>
    </w:p>
    <w:p>
      <w:pPr>
        <w:spacing w:after="0" w:line="2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left="66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9">
        <w:r>
          <w:rPr>
            <w:rFonts w:ascii="Arial" w:cs="Arial" w:eastAsia="Arial" w:hAnsi="Arial"/>
            <w:sz w:val="18"/>
            <w:szCs w:val="18"/>
            <w:u w:val="single" w:color="auto"/>
            <w:color w:val="0000FF"/>
          </w:rPr>
          <w:t>Note I</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1">
        <w:r>
          <w:rPr>
            <w:rFonts w:ascii="Arial" w:cs="Arial" w:eastAsia="Arial" w:hAnsi="Arial"/>
            <w:sz w:val="18"/>
            <w:szCs w:val="18"/>
            <w:u w:val="single" w:color="auto"/>
            <w:color w:val="0000FF"/>
          </w:rPr>
          <w:t>Note J</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2020.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jc w:val="both"/>
        <w:ind w:left="660"/>
        <w:spacing w:after="0" w:line="308" w:lineRule="auto"/>
        <w:rPr>
          <w:sz w:val="20"/>
          <w:szCs w:val="20"/>
          <w:color w:val="auto"/>
        </w:rPr>
      </w:pPr>
      <w:r>
        <w:rPr>
          <w:rFonts w:ascii="Arial" w:cs="Arial" w:eastAsia="Arial" w:hAnsi="Arial"/>
          <w:sz w:val="16"/>
          <w:szCs w:val="16"/>
          <w:color w:val="auto"/>
        </w:rPr>
        <w:t>The following table provides information about the Company's purchases of equity securities during the three months ended March 31, 2021. The table excludes 117,296 shares surrendered to cover taxes on the vesting of restricted stock during the three months ended March 31, 2021.</w:t>
      </w:r>
    </w:p>
    <w:tbl>
      <w:tblPr>
        <w:tblLayout w:type="fixed"/>
        <w:tblInd w:w="660" w:type="dxa"/>
        <w:tblCellMar>
          <w:top w:w="0" w:type="dxa"/>
          <w:left w:w="0" w:type="dxa"/>
          <w:bottom w:w="0" w:type="dxa"/>
          <w:right w:w="0" w:type="dxa"/>
        </w:tblCellMar>
      </w:tblPr>
      <w:tr>
        <w:trPr>
          <w:trHeight w:val="177"/>
        </w:trPr>
        <w:tc>
          <w:tcPr>
            <w:tcW w:w="15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Average</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89"/>
              </w:rPr>
              <w:t>Total number of shares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Approximate dollar value of shares that</w:t>
            </w:r>
          </w:p>
        </w:tc>
        <w:tc>
          <w:tcPr>
            <w:tcW w:w="0" w:type="dxa"/>
            <w:vAlign w:val="bottom"/>
          </w:tcPr>
          <w:p>
            <w:pPr>
              <w:spacing w:after="0"/>
              <w:rPr>
                <w:sz w:val="1"/>
                <w:szCs w:val="1"/>
                <w:color w:val="auto"/>
              </w:rPr>
            </w:pPr>
          </w:p>
        </w:tc>
      </w:tr>
      <w:tr>
        <w:trPr>
          <w:trHeight w:val="176"/>
        </w:trPr>
        <w:tc>
          <w:tcPr>
            <w:tcW w:w="15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6"/>
              </w:rPr>
              <w:t>Total number of</w:t>
            </w: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88"/>
              </w:rPr>
              <w:t>purchased as part of</w:t>
            </w:r>
          </w:p>
        </w:tc>
        <w:tc>
          <w:tcPr>
            <w:tcW w:w="220" w:type="dxa"/>
            <w:vAlign w:val="bottom"/>
          </w:tcPr>
          <w:p>
            <w:pPr>
              <w:spacing w:after="0"/>
              <w:rPr>
                <w:sz w:val="15"/>
                <w:szCs w:val="15"/>
                <w:color w:val="auto"/>
              </w:rPr>
            </w:pPr>
          </w:p>
        </w:tc>
        <w:tc>
          <w:tcPr>
            <w:tcW w:w="31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8"/>
              </w:rPr>
              <w:t>may yet be purchased under the programs</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91"/>
              </w:rPr>
              <w:t>price per</w:t>
            </w: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92"/>
              </w:rPr>
              <w:t>publicly announced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89"/>
              </w:rPr>
              <w:t>as of the end of the period</w:t>
            </w:r>
          </w:p>
        </w:tc>
        <w:tc>
          <w:tcPr>
            <w:tcW w:w="0" w:type="dxa"/>
            <w:vAlign w:val="bottom"/>
          </w:tcPr>
          <w:p>
            <w:pPr>
              <w:spacing w:after="0"/>
              <w:rPr>
                <w:sz w:val="1"/>
                <w:szCs w:val="1"/>
                <w:color w:val="auto"/>
              </w:rPr>
            </w:pPr>
          </w:p>
        </w:tc>
      </w:tr>
      <w:tr>
        <w:trPr>
          <w:trHeight w:val="230"/>
        </w:trPr>
        <w:tc>
          <w:tcPr>
            <w:tcW w:w="1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88"/>
              </w:rPr>
              <w:t>shares purchased</w:t>
            </w:r>
          </w:p>
        </w:tc>
        <w:tc>
          <w:tcPr>
            <w:tcW w:w="22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w:t>
            </w:r>
          </w:p>
        </w:tc>
        <w:tc>
          <w:tcPr>
            <w:tcW w:w="2020" w:type="dxa"/>
            <w:vAlign w:val="bottom"/>
          </w:tcPr>
          <w:p>
            <w:pPr>
              <w:jc w:val="center"/>
              <w:spacing w:after="0"/>
              <w:rPr>
                <w:sz w:val="20"/>
                <w:szCs w:val="20"/>
                <w:color w:val="auto"/>
              </w:rPr>
            </w:pPr>
            <w:r>
              <w:rPr>
                <w:rFonts w:ascii="Arial" w:cs="Arial" w:eastAsia="Arial" w:hAnsi="Arial"/>
                <w:sz w:val="18"/>
                <w:szCs w:val="18"/>
                <w:color w:val="auto"/>
                <w:w w:val="89"/>
              </w:rPr>
              <w:t>programs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Pr>
          <w:p>
            <w:pPr>
              <w:jc w:val="center"/>
              <w:ind w:right="30"/>
              <w:spacing w:after="0"/>
              <w:rPr>
                <w:sz w:val="20"/>
                <w:szCs w:val="20"/>
                <w:color w:val="auto"/>
              </w:rPr>
            </w:pPr>
            <w:r>
              <w:rPr>
                <w:rFonts w:ascii="Arial" w:cs="Arial" w:eastAsia="Arial" w:hAnsi="Arial"/>
                <w:sz w:val="18"/>
                <w:szCs w:val="18"/>
                <w:color w:val="auto"/>
                <w:w w:val="95"/>
              </w:rPr>
              <w:t>(millions of dollars)</w:t>
            </w:r>
          </w:p>
        </w:tc>
        <w:tc>
          <w:tcPr>
            <w:tcW w:w="0" w:type="dxa"/>
            <w:vAlign w:val="bottom"/>
          </w:tcPr>
          <w:p>
            <w:pPr>
              <w:spacing w:after="0"/>
              <w:rPr>
                <w:sz w:val="1"/>
                <w:szCs w:val="1"/>
                <w:color w:val="auto"/>
              </w:rPr>
            </w:pPr>
          </w:p>
        </w:tc>
      </w:tr>
      <w:tr>
        <w:trPr>
          <w:trHeight w:val="223"/>
        </w:trPr>
        <w:tc>
          <w:tcPr>
            <w:tcW w:w="1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30"/>
        </w:trPr>
        <w:tc>
          <w:tcPr>
            <w:tcW w:w="1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March</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ind w:left="74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15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2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February 2021, the Company's Board of Directors authorized the repurchase of an aggregate amount of $1.5 billion of Company common stock through the end of 2023. Share repurchases under the Company's program may be made in the open market or through privately negotiated transactions, and at times and in such amounts as management deems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events required to be reported under Item 3 for the three months ended March 31, 2021.</w:t>
      </w:r>
    </w:p>
    <w:p>
      <w:pPr>
        <w:spacing w:after="0" w:line="248"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ind w:left="660" w:right="260"/>
        <w:spacing w:after="0" w:line="282" w:lineRule="auto"/>
        <w:rPr>
          <w:sz w:val="20"/>
          <w:szCs w:val="20"/>
          <w:color w:val="auto"/>
        </w:rPr>
      </w:pP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jc w:val="both"/>
        <w:ind w:left="660"/>
        <w:spacing w:after="0" w:line="275" w:lineRule="auto"/>
        <w:rPr>
          <w:sz w:val="20"/>
          <w:szCs w:val="20"/>
          <w:color w:val="auto"/>
        </w:rPr>
      </w:pPr>
      <w:r>
        <w:rPr>
          <w:rFonts w:ascii="Arial" w:cs="Arial" w:eastAsia="Arial" w:hAnsi="Arial"/>
          <w:sz w:val="17"/>
          <w:szCs w:val="17"/>
          <w:color w:val="auto"/>
        </w:rPr>
        <w:t>On April 21, 2021, the Company entered into Amendment No. 1 to the Senior Executive Retirement Agreement with Didier Sourisseau, dated April 1, 2017 (the “SERP Amendment”). The SERP Amendment provides that Mr. Sourisseau’s retirement benefit under the Company’s Senior Executive Retirement Plan will become fully vested upon the completion of the sale of the Company’s European tinplate business (the “Transaction”), provided that Mr. Sourisseau remains in continuous employment with the Company through the completion of the Transaction. The SERP Amendment is attached as an exhibit to this Form 10-Q and is incorporated herein by reference.</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Submission of Matters to a Vote of Security Holders</w:t>
      </w:r>
    </w:p>
    <w:p>
      <w:pPr>
        <w:spacing w:after="0" w:line="256" w:lineRule="exact"/>
        <w:rPr>
          <w:sz w:val="20"/>
          <w:szCs w:val="20"/>
          <w:color w:val="auto"/>
        </w:rPr>
      </w:pPr>
    </w:p>
    <w:p>
      <w:pPr>
        <w:ind w:left="980" w:right="20" w:hanging="324"/>
        <w:spacing w:after="0" w:line="286" w:lineRule="auto"/>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Crown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held its Annual Meeting of Shareholders on April 22, 2021 (the “</w:t>
      </w:r>
      <w:r>
        <w:rPr>
          <w:rFonts w:ascii="Arial" w:cs="Arial" w:eastAsia="Arial" w:hAnsi="Arial"/>
          <w:sz w:val="17"/>
          <w:szCs w:val="17"/>
          <w:u w:val="single" w:color="auto"/>
          <w:color w:val="auto"/>
        </w:rPr>
        <w:t>Annual Meeting</w:t>
      </w:r>
      <w:r>
        <w:rPr>
          <w:rFonts w:ascii="Arial" w:cs="Arial" w:eastAsia="Arial" w:hAnsi="Arial"/>
          <w:sz w:val="17"/>
          <w:szCs w:val="17"/>
          <w:color w:val="auto"/>
        </w:rPr>
        <w:t>”). As of March 2, 2021, the record date for the meeting, 134,912,097 shares of Common Stock, par value $5.00 per share, of the Company (“</w:t>
      </w:r>
      <w:r>
        <w:rPr>
          <w:rFonts w:ascii="Arial" w:cs="Arial" w:eastAsia="Arial" w:hAnsi="Arial"/>
          <w:sz w:val="17"/>
          <w:szCs w:val="17"/>
          <w:u w:val="single" w:color="auto"/>
          <w:color w:val="auto"/>
        </w:rPr>
        <w:t>Common Stock</w:t>
      </w:r>
      <w:r>
        <w:rPr>
          <w:rFonts w:ascii="Arial" w:cs="Arial" w:eastAsia="Arial" w:hAnsi="Arial"/>
          <w:sz w:val="17"/>
          <w:szCs w:val="17"/>
          <w:color w:val="auto"/>
        </w:rPr>
        <w:t>”) were issued and outstanding. A quorum of 116,307,905 shares of Common Stock were present or represented at the meeting.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(b) The following individuals were nominated and elected to serve as directors:</w:t>
      </w:r>
    </w:p>
    <w:p>
      <w:pPr>
        <w:spacing w:after="0" w:line="252" w:lineRule="exact"/>
        <w:rPr>
          <w:sz w:val="20"/>
          <w:szCs w:val="20"/>
          <w:color w:val="auto"/>
        </w:rPr>
      </w:pPr>
    </w:p>
    <w:p>
      <w:pPr>
        <w:ind w:left="320" w:right="20"/>
        <w:spacing w:after="0" w:line="277" w:lineRule="auto"/>
        <w:rPr>
          <w:sz w:val="20"/>
          <w:szCs w:val="20"/>
          <w:color w:val="auto"/>
        </w:rPr>
      </w:pPr>
      <w:r>
        <w:rPr>
          <w:rFonts w:ascii="Arial" w:cs="Arial" w:eastAsia="Arial" w:hAnsi="Arial"/>
          <w:sz w:val="18"/>
          <w:szCs w:val="18"/>
          <w:color w:val="auto"/>
        </w:rPr>
        <w:t>John W. Conway, Timothy J. Donahue, Richared H. Fearon, Andrea J. Funk, Stephen J. Hagge, Rose Lee, James H. Miller, Josef M. Müller, B. Craig Owens, Caesar F. Sweitzer, Jim L. Turner, William S. Urkiel and Dwayne A. Wilson.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the Company’s shareholders voted on the three matters below as follows:</w:t>
      </w:r>
    </w:p>
    <w:p>
      <w:pPr>
        <w:spacing w:after="0" w:line="252" w:lineRule="exact"/>
        <w:rPr>
          <w:sz w:val="20"/>
          <w:szCs w:val="20"/>
          <w:color w:val="auto"/>
        </w:rPr>
      </w:pPr>
    </w:p>
    <w:p>
      <w:pPr>
        <w:ind w:left="1280" w:hanging="636"/>
        <w:spacing w:after="0"/>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Company's shareholders elected the following directors pursuant to the following vote:</w:t>
      </w:r>
    </w:p>
    <w:p>
      <w:pPr>
        <w:spacing w:after="0" w:line="113"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12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Directors</w:t>
            </w:r>
          </w:p>
        </w:tc>
        <w:tc>
          <w:tcPr>
            <w:tcW w:w="280" w:type="dxa"/>
            <w:vAlign w:val="bottom"/>
            <w:vMerge w:val="restart"/>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Votes</w:t>
            </w:r>
          </w:p>
        </w:tc>
        <w:tc>
          <w:tcPr>
            <w:tcW w:w="17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Votes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c>
          <w:tcPr>
            <w:tcW w:w="0" w:type="dxa"/>
            <w:vAlign w:val="bottom"/>
          </w:tcPr>
          <w:p>
            <w:pPr>
              <w:spacing w:after="0"/>
              <w:rPr>
                <w:sz w:val="1"/>
                <w:szCs w:val="1"/>
                <w:color w:val="auto"/>
              </w:rPr>
            </w:pPr>
          </w:p>
        </w:tc>
      </w:tr>
      <w:tr>
        <w:trPr>
          <w:trHeight w:val="237"/>
        </w:trPr>
        <w:tc>
          <w:tcPr>
            <w:tcW w:w="2120" w:type="dxa"/>
            <w:vAlign w:val="bottom"/>
            <w:tcBorders>
              <w:bottom w:val="single" w:sz="8" w:color="auto"/>
            </w:tcBorders>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Withheld</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Non-Vote</w:t>
            </w:r>
          </w:p>
        </w:tc>
        <w:tc>
          <w:tcPr>
            <w:tcW w:w="0" w:type="dxa"/>
            <w:vAlign w:val="bottom"/>
          </w:tcPr>
          <w:p>
            <w:pPr>
              <w:spacing w:after="0"/>
              <w:rPr>
                <w:sz w:val="1"/>
                <w:szCs w:val="1"/>
                <w:color w:val="auto"/>
              </w:rPr>
            </w:pPr>
          </w:p>
        </w:tc>
      </w:tr>
      <w:tr>
        <w:trPr>
          <w:trHeight w:val="486"/>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John W. Conway</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109,708,730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2,045,739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Timothy J. Donahue</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110,698,696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1,055,773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Richard H. Fearon</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110,582,131</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1,172,338</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Andrea J. Funk</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110,805,454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949,015</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Stephen J. Hagge</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110,663,553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1,090,916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Rose Lee</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110,623,770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1,130,699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James H. Miller</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105,149,913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6,604,556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Josef M. Müller</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110,284,493</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1,469,976</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B. Craig Owens</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111,066,059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688,410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Caesar F. Sweitzer</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110,346,109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1,408,360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499"/>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Jim L. Turner</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106,250,758</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5,503,711</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William S. Urkiel</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107,682,585</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4,071,884</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r>
        <w:trPr>
          <w:trHeight w:val="500"/>
        </w:trPr>
        <w:tc>
          <w:tcPr>
            <w:tcW w:w="2400" w:type="dxa"/>
            <w:vAlign w:val="bottom"/>
            <w:gridSpan w:val="2"/>
          </w:tcPr>
          <w:p>
            <w:pPr>
              <w:ind w:left="20"/>
              <w:spacing w:after="0"/>
              <w:rPr>
                <w:sz w:val="20"/>
                <w:szCs w:val="20"/>
                <w:color w:val="auto"/>
              </w:rPr>
            </w:pPr>
            <w:r>
              <w:rPr>
                <w:rFonts w:ascii="Arial" w:cs="Arial" w:eastAsia="Arial" w:hAnsi="Arial"/>
                <w:sz w:val="18"/>
                <w:szCs w:val="18"/>
                <w:color w:val="auto"/>
              </w:rPr>
              <w:t>Dwayne A. Wilson</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111,361,209</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393,260</w:t>
            </w:r>
          </w:p>
        </w:tc>
        <w:tc>
          <w:tcPr>
            <w:tcW w:w="28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4,553,436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1300" w:hanging="656"/>
        <w:spacing w:after="0" w:line="277" w:lineRule="auto"/>
        <w:tabs>
          <w:tab w:leader="none" w:pos="128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Company's shareholders ratified the appointment of PricewaterhouseCoopers LLP as the Company's independent auditor for the fiscal year ending December 31, 2021 pursuant to the following vote:</w:t>
      </w:r>
    </w:p>
    <w:p>
      <w:pPr>
        <w:spacing w:after="0" w:line="45"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Votes</w:t>
            </w: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Votes</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Votes</w:t>
            </w: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96"/>
              </w:rPr>
              <w:t>Broker</w:t>
            </w:r>
          </w:p>
        </w:tc>
      </w:tr>
      <w:tr>
        <w:trPr>
          <w:trHeight w:val="236"/>
        </w:trPr>
        <w:tc>
          <w:tcPr>
            <w:tcW w:w="2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17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Against</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Abstaining</w:t>
            </w:r>
          </w:p>
        </w:tc>
        <w:tc>
          <w:tcPr>
            <w:tcW w:w="156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Non-Vote</w:t>
            </w:r>
          </w:p>
        </w:tc>
      </w:tr>
      <w:tr>
        <w:trPr>
          <w:trHeight w:val="230"/>
        </w:trPr>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108,816,878</w:t>
            </w:r>
          </w:p>
        </w:tc>
        <w:tc>
          <w:tcPr>
            <w:tcW w:w="200" w:type="dxa"/>
            <w:vAlign w:val="bottom"/>
          </w:tcPr>
          <w:p>
            <w:pPr>
              <w:spacing w:after="0"/>
              <w:rPr>
                <w:sz w:val="20"/>
                <w:szCs w:val="20"/>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7,355,330</w:t>
            </w:r>
          </w:p>
        </w:tc>
        <w:tc>
          <w:tcPr>
            <w:tcW w:w="260" w:type="dxa"/>
            <w:vAlign w:val="bottom"/>
          </w:tcPr>
          <w:p>
            <w:pPr>
              <w:spacing w:after="0"/>
              <w:rPr>
                <w:sz w:val="20"/>
                <w:szCs w:val="20"/>
                <w:color w:val="auto"/>
              </w:rPr>
            </w:pPr>
          </w:p>
        </w:tc>
        <w:tc>
          <w:tcPr>
            <w:tcW w:w="16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2"/>
              </w:rPr>
              <w:t>135,697</w:t>
            </w:r>
          </w:p>
        </w:tc>
        <w:tc>
          <w:tcPr>
            <w:tcW w:w="156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7" w:lineRule="exact"/>
        <w:rPr>
          <w:sz w:val="20"/>
          <w:szCs w:val="20"/>
          <w:color w:val="auto"/>
        </w:rPr>
      </w:pPr>
    </w:p>
    <w:p>
      <w:pPr>
        <w:ind w:left="1960" w:hanging="656"/>
        <w:spacing w:after="0" w:line="277" w:lineRule="auto"/>
        <w:tabs>
          <w:tab w:leader="none" w:pos="19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shareholders approved by non-binding advisory vote, the resolution on executive compensation (as further described in the Company's 2021 Proxy Statement) pursuant to the following vote:</w:t>
      </w:r>
    </w:p>
    <w:p>
      <w:pPr>
        <w:spacing w:after="0" w:line="248"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Votes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Votes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Votes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7"/>
        </w:trPr>
        <w:tc>
          <w:tcPr>
            <w:tcW w:w="18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For</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Against</w:t>
            </w:r>
          </w:p>
        </w:tc>
        <w:tc>
          <w:tcPr>
            <w:tcW w:w="19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Abstaining</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Non-Vote</w:t>
            </w:r>
          </w:p>
        </w:tc>
      </w:tr>
      <w:tr>
        <w:trPr>
          <w:trHeight w:val="311"/>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103,795,888</w:t>
            </w:r>
          </w:p>
        </w:tc>
        <w:tc>
          <w:tcPr>
            <w:tcW w:w="30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7,776,515</w:t>
            </w:r>
          </w:p>
        </w:tc>
        <w:tc>
          <w:tcPr>
            <w:tcW w:w="320" w:type="dxa"/>
            <w:vAlign w:val="bottom"/>
          </w:tcPr>
          <w:p>
            <w:pPr>
              <w:spacing w:after="0"/>
              <w:rPr>
                <w:sz w:val="24"/>
                <w:szCs w:val="24"/>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182,066</w:t>
            </w:r>
          </w:p>
        </w:tc>
        <w:tc>
          <w:tcPr>
            <w:tcW w:w="320" w:type="dxa"/>
            <w:vAlign w:val="bottom"/>
          </w:tcPr>
          <w:p>
            <w:pPr>
              <w:spacing w:after="0"/>
              <w:rPr>
                <w:sz w:val="24"/>
                <w:szCs w:val="24"/>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4,553,436</w:t>
            </w: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97" w:lineRule="exact"/>
        <w:rPr>
          <w:sz w:val="20"/>
          <w:szCs w:val="20"/>
          <w:color w:val="auto"/>
        </w:rPr>
      </w:pPr>
    </w:p>
    <w:p>
      <w:pPr>
        <w:jc w:val="both"/>
        <w:ind w:left="980" w:right="500" w:hanging="944"/>
        <w:spacing w:after="0" w:line="263"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10.w</w:t>
      </w:r>
      <w:r>
        <w:rPr>
          <w:sz w:val="20"/>
          <w:szCs w:val="20"/>
          <w:color w:val="auto"/>
        </w:rPr>
        <w:tab/>
      </w:r>
      <w:hyperlink r:id="rId46">
        <w:r>
          <w:rPr>
            <w:rFonts w:ascii="Arial" w:cs="Arial" w:eastAsia="Arial" w:hAnsi="Arial"/>
            <w:sz w:val="18"/>
            <w:szCs w:val="18"/>
            <w:u w:val="single" w:color="auto"/>
            <w:color w:val="0000FF"/>
          </w:rPr>
          <w:t>Share and Asset Purchase Agreement, dated as of April 8, 2021, by and among the Company, Crown Cork &amp; Seal Deutschland</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Holdings GmbH, Blitz F21-387 GmbH, Kouti B.V. and Macsco 20.10 Limited (incorporated by reference to Exhibit 2.1 of the</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Registrant's Current Report on Form 8-K dated April 13, 2021 (File No. 000-50189)).</w:t>
        </w:r>
      </w:hyperlink>
    </w:p>
    <w:p>
      <w:pPr>
        <w:spacing w:after="0" w:line="292" w:lineRule="exact"/>
        <w:rPr>
          <w:rFonts w:ascii="Arial" w:cs="Arial" w:eastAsia="Arial" w:hAnsi="Arial"/>
          <w:sz w:val="18"/>
          <w:szCs w:val="18"/>
          <w:u w:val="single" w:color="auto"/>
          <w:color w:val="0000FF"/>
        </w:rPr>
      </w:pPr>
    </w:p>
    <w:p>
      <w:pPr>
        <w:ind w:left="20"/>
        <w:spacing w:after="0"/>
        <w:tabs>
          <w:tab w:leader="none" w:pos="960" w:val="left"/>
        </w:tabs>
        <w:rPr>
          <w:rFonts w:ascii="Arial" w:cs="Arial" w:eastAsia="Arial" w:hAnsi="Arial"/>
          <w:sz w:val="16"/>
          <w:szCs w:val="16"/>
          <w:u w:val="single" w:color="auto"/>
          <w:color w:val="0000FF"/>
        </w:rPr>
      </w:pPr>
      <w:r>
        <w:rPr>
          <w:rFonts w:ascii="Arial" w:cs="Arial" w:eastAsia="Arial" w:hAnsi="Arial"/>
          <w:sz w:val="18"/>
          <w:szCs w:val="18"/>
          <w:color w:val="auto"/>
        </w:rPr>
        <w:t>10(d) (11)</w:t>
      </w:r>
      <w:r>
        <w:rPr>
          <w:sz w:val="20"/>
          <w:szCs w:val="20"/>
          <w:color w:val="auto"/>
        </w:rPr>
        <w:tab/>
      </w:r>
      <w:hyperlink w:anchor="page36">
        <w:r>
          <w:rPr>
            <w:rFonts w:ascii="Arial" w:cs="Arial" w:eastAsia="Arial" w:hAnsi="Arial"/>
            <w:sz w:val="16"/>
            <w:szCs w:val="16"/>
            <w:u w:val="single" w:color="auto"/>
            <w:color w:val="0000FF"/>
          </w:rPr>
          <w:t>Amendment No. 1 to Senior Executive Retirement Agreement, effective as of April 21, 2021, by and between Crown Holdings, Inc.</w:t>
        </w:r>
      </w:hyperlink>
    </w:p>
    <w:p>
      <w:pPr>
        <w:spacing w:after="0" w:line="37" w:lineRule="exact"/>
        <w:rPr>
          <w:rFonts w:ascii="Arial" w:cs="Arial" w:eastAsia="Arial" w:hAnsi="Arial"/>
          <w:sz w:val="18"/>
          <w:szCs w:val="18"/>
          <w:u w:val="single" w:color="auto"/>
          <w:color w:val="0000FF"/>
        </w:rPr>
      </w:pPr>
    </w:p>
    <w:p>
      <w:pPr>
        <w:ind w:left="98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and Didier Sourisseau.</w:t>
        </w:r>
      </w:hyperlink>
    </w:p>
    <w:p>
      <w:pPr>
        <w:spacing w:after="0" w:line="319" w:lineRule="exact"/>
        <w:rPr>
          <w:rFonts w:ascii="Arial" w:cs="Arial" w:eastAsia="Arial" w:hAnsi="Arial"/>
          <w:sz w:val="18"/>
          <w:szCs w:val="18"/>
          <w:u w:val="single" w:color="auto"/>
          <w:color w:val="0000FF"/>
        </w:rPr>
      </w:pPr>
    </w:p>
    <w:p>
      <w:pPr>
        <w:ind w:left="980" w:hanging="954"/>
        <w:spacing w:after="0"/>
        <w:tabs>
          <w:tab w:leader="none" w:pos="980" w:val="left"/>
        </w:tabs>
        <w:numPr>
          <w:ilvl w:val="0"/>
          <w:numId w:val="22"/>
        </w:numPr>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List of Guarantor Subsidiaries</w:t>
        </w:r>
      </w:hyperlink>
    </w:p>
    <w:p>
      <w:pPr>
        <w:spacing w:after="0" w:line="266" w:lineRule="exact"/>
        <w:rPr>
          <w:rFonts w:ascii="Arial" w:cs="Arial" w:eastAsia="Arial" w:hAnsi="Arial"/>
          <w:sz w:val="18"/>
          <w:szCs w:val="18"/>
          <w:u w:val="single" w:color="auto"/>
          <w:color w:val="0000FF"/>
        </w:rPr>
      </w:pPr>
    </w:p>
    <w:p>
      <w:pPr>
        <w:ind w:left="980" w:right="500" w:hanging="944"/>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39">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39">
        <w:r>
          <w:rPr>
            <w:rFonts w:ascii="Arial" w:cs="Arial" w:eastAsia="Arial" w:hAnsi="Arial"/>
            <w:sz w:val="18"/>
            <w:szCs w:val="18"/>
            <w:u w:val="single" w:color="auto"/>
            <w:color w:val="0000FF"/>
          </w:rPr>
          <w:t>pursuant to Section 302 of the Sarbanes-Oxley Act of 2002.</w:t>
        </w:r>
      </w:hyperlink>
    </w:p>
    <w:p>
      <w:pPr>
        <w:spacing w:after="0" w:line="224" w:lineRule="exact"/>
        <w:rPr>
          <w:sz w:val="20"/>
          <w:szCs w:val="20"/>
          <w:color w:val="auto"/>
        </w:rPr>
      </w:pPr>
    </w:p>
    <w:p>
      <w:pPr>
        <w:ind w:left="980" w:right="500" w:hanging="944"/>
        <w:spacing w:after="0" w:line="277" w:lineRule="auto"/>
        <w:tabs>
          <w:tab w:leader="none" w:pos="9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40">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40">
        <w:r>
          <w:rPr>
            <w:rFonts w:ascii="Arial" w:cs="Arial" w:eastAsia="Arial" w:hAnsi="Arial"/>
            <w:sz w:val="18"/>
            <w:szCs w:val="18"/>
            <w:u w:val="single" w:color="auto"/>
            <w:color w:val="0000FF"/>
          </w:rPr>
          <w:t>pursuant to Section 302 of the Sarbanes-Oxley Act of 2002.</w:t>
        </w:r>
      </w:hyperlink>
    </w:p>
    <w:p>
      <w:pPr>
        <w:spacing w:after="0" w:line="238" w:lineRule="exact"/>
        <w:rPr>
          <w:sz w:val="20"/>
          <w:szCs w:val="20"/>
          <w:color w:val="auto"/>
        </w:rPr>
      </w:pPr>
    </w:p>
    <w:p>
      <w:pPr>
        <w:jc w:val="both"/>
        <w:ind w:left="980" w:right="500" w:hanging="954"/>
        <w:spacing w:after="0" w:line="263" w:lineRule="auto"/>
        <w:tabs>
          <w:tab w:leader="none" w:pos="980" w:val="left"/>
        </w:tabs>
        <w:numPr>
          <w:ilvl w:val="0"/>
          <w:numId w:val="23"/>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Timothy J. Donahue, President and Chief Executive Officer of Crown Holdings, Inc. and Thomas A. Kelly, Senior Vice President and</w:t>
        </w:r>
      </w:hyperlink>
      <w:r>
        <w:rPr>
          <w:rFonts w:ascii="Arial" w:cs="Arial" w:eastAsia="Arial" w:hAnsi="Arial"/>
          <w:sz w:val="18"/>
          <w:szCs w:val="18"/>
          <w:u w:val="single" w:color="auto"/>
          <w:color w:val="0000FF"/>
        </w:rPr>
        <w:t xml:space="preserve"> </w:t>
      </w:r>
      <w:hyperlink w:anchor="page41">
        <w:r>
          <w:rPr>
            <w:rFonts w:ascii="Arial" w:cs="Arial" w:eastAsia="Arial" w:hAnsi="Arial"/>
            <w:sz w:val="18"/>
            <w:szCs w:val="18"/>
            <w:u w:val="single" w:color="auto"/>
            <w:color w:val="0000FF"/>
          </w:rPr>
          <w:t>Chief Financial Officer of Crown Holdings, Inc.</w:t>
        </w:r>
      </w:hyperlink>
    </w:p>
    <w:p>
      <w:pPr>
        <w:spacing w:after="0" w:line="238" w:lineRule="exact"/>
        <w:rPr>
          <w:rFonts w:ascii="Arial" w:cs="Arial" w:eastAsia="Arial" w:hAnsi="Arial"/>
          <w:sz w:val="18"/>
          <w:szCs w:val="18"/>
          <w:u w:val="single" w:color="auto"/>
          <w:color w:val="0000FF"/>
        </w:rPr>
      </w:pPr>
    </w:p>
    <w:p>
      <w:pPr>
        <w:jc w:val="both"/>
        <w:ind w:left="980" w:right="500" w:hanging="954"/>
        <w:spacing w:after="0" w:line="273"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March 31, 2021 formatted in inline XBRL (eXtensible Business Reporting Language): (i) Consolidated Statements of Operations for the three months ended March 31, 2021 and 2020, (ii) Consolidated Statements of Comprehensive Income for the three months ended March 31, 2021 and 2020, (iii) Consolidated Balance Sheets as of March 31, 2021 and December 31, 2020, (iv) Consolidated Statements of Cash Flows for the three months ended March 31, 2021 and 2020, (v) Consolidated Statements of Changes in Equity for the three months ended March 31, 2021 and 2020 and (vi) Notes to Consolidated Financial Statements.</w:t>
      </w:r>
    </w:p>
    <w:p>
      <w:pPr>
        <w:spacing w:after="0" w:line="232" w:lineRule="exact"/>
        <w:rPr>
          <w:rFonts w:ascii="Arial" w:cs="Arial" w:eastAsia="Arial" w:hAnsi="Arial"/>
          <w:sz w:val="18"/>
          <w:szCs w:val="18"/>
          <w:u w:val="single" w:color="auto"/>
          <w:color w:val="0000FF"/>
        </w:rPr>
      </w:pPr>
    </w:p>
    <w:p>
      <w:pPr>
        <w:ind w:left="980" w:hanging="95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58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Crown Holdings, Inc.</w:t>
            </w:r>
          </w:p>
        </w:tc>
      </w:tr>
      <w:tr>
        <w:trPr>
          <w:trHeight w:val="224"/>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440" w:type="dxa"/>
            <w:vAlign w:val="bottom"/>
          </w:tcPr>
          <w:p>
            <w:pPr>
              <w:spacing w:after="0"/>
              <w:rPr>
                <w:sz w:val="19"/>
                <w:szCs w:val="19"/>
                <w:color w:val="auto"/>
              </w:rPr>
            </w:pPr>
          </w:p>
        </w:tc>
      </w:tr>
      <w:tr>
        <w:trPr>
          <w:trHeight w:val="47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A. Beaver</w:t>
            </w:r>
          </w:p>
        </w:tc>
      </w:tr>
      <w:tr>
        <w:trPr>
          <w:trHeight w:val="222"/>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David A. Beaver</w:t>
            </w:r>
          </w:p>
        </w:tc>
      </w:tr>
      <w:tr>
        <w:trPr>
          <w:trHeight w:val="229"/>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Vice President and Corporate Controller</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80"/>
          </w:cols>
          <w:pgMar w:left="98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SENIOR EXECUTIVE RETIREMENT AGREEMENT</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This is Amendment No. 1 (this “Amendment”), effective as of April 21, 2021, to the Senior Executive Retirement Agreement by and between Crown Holdings, Inc. (the “Company”) and Didier Sourisseau (the “Participant”), dated April 1, 2017 (the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Background</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Agreement sets forth the terms and conditions under which the Participant participates in the Crown Senior Executive Retirement Plan, as amended and restated January 1, 2008; 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the Company and the Participant desire to amend the Agreement as hereinafter set forth.</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NOW, THEREFORE, for good and valuable consideration the sufficiency of which is hereby acknowledged, the</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Company and the Participant, intending to be legally bound, hereby agree as follows: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 Section 2 of the Agreement is hereby amended to add the following sentence to the end thereof:</w:t>
      </w:r>
    </w:p>
    <w:p>
      <w:pPr>
        <w:spacing w:after="0" w:line="233" w:lineRule="exact"/>
        <w:rPr>
          <w:sz w:val="20"/>
          <w:szCs w:val="20"/>
          <w:color w:val="auto"/>
        </w:rPr>
      </w:pPr>
    </w:p>
    <w:p>
      <w:pPr>
        <w:jc w:val="both"/>
        <w:ind w:left="1140"/>
        <w:spacing w:after="0" w:line="282" w:lineRule="auto"/>
        <w:rPr>
          <w:sz w:val="20"/>
          <w:szCs w:val="20"/>
          <w:color w:val="auto"/>
        </w:rPr>
      </w:pPr>
      <w:r>
        <w:rPr>
          <w:rFonts w:ascii="Arial" w:cs="Arial" w:eastAsia="Arial" w:hAnsi="Arial"/>
          <w:sz w:val="19"/>
          <w:szCs w:val="19"/>
          <w:color w:val="auto"/>
        </w:rPr>
        <w:t>“Notwithstanding anything in the Plan or this Agreement to the contrary, the Participant shall not accrue any additional Years of Service after the “Completion” (as defined in the Share and Asset Purchase Agreement, dated as of April 8, 2021, by and among the Company, Crown Cork &amp; Seal Deutschland Holdings GmbH, Kouti B.V., Blitz F21-387 GmbH and Macsco 20.10 Limited). Therefore, for purposes of the Plan and this Agreement, the Participant’s Years of Service shall be counted from January 1, 1991 until the date of Completion.”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 Section 4 of the Agreement is hereby amended to add the following paragraph to the end thereof:</w:t>
      </w:r>
    </w:p>
    <w:p>
      <w:pPr>
        <w:spacing w:after="0" w:line="233" w:lineRule="exact"/>
        <w:rPr>
          <w:sz w:val="20"/>
          <w:szCs w:val="20"/>
          <w:color w:val="auto"/>
        </w:rPr>
      </w:pPr>
    </w:p>
    <w:p>
      <w:pPr>
        <w:jc w:val="both"/>
        <w:ind w:left="1140"/>
        <w:spacing w:after="0"/>
        <w:rPr>
          <w:sz w:val="20"/>
          <w:szCs w:val="20"/>
          <w:color w:val="auto"/>
        </w:rPr>
      </w:pPr>
      <w:r>
        <w:rPr>
          <w:rFonts w:ascii="Arial" w:cs="Arial" w:eastAsia="Arial" w:hAnsi="Arial"/>
          <w:sz w:val="22"/>
          <w:szCs w:val="22"/>
          <w:color w:val="auto"/>
        </w:rPr>
        <w:t>“Notwithstanding the foregoing, provided that the Participant remains in continuous employment with the Company through the “Completion” (as defined in Section 2 above), the Participant shall become 100% vested in his Retirement Benefit upon the Completion.”</w:t>
      </w:r>
    </w:p>
    <w:p>
      <w:pPr>
        <w:spacing w:after="0" w:line="213"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Except 4 as expressly modified herein, the Agreement is hereby ratified and affirmed in its entirety.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4580"/>
        <w:spacing w:after="0"/>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1240"/>
          </w:cols>
          <w:pgMar w:left="320" w:top="882"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9"/>
          <w:szCs w:val="19"/>
          <w:color w:val="auto"/>
        </w:rPr>
        <w:t>IN WITNESS WHEREOF, the parties hereto have duly executed this Amendment as of the day and year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90" w:lineRule="exact"/>
        <w:rPr>
          <w:sz w:val="20"/>
          <w:szCs w:val="20"/>
          <w:color w:val="auto"/>
        </w:rPr>
      </w:pPr>
    </w:p>
    <w:p>
      <w:pPr>
        <w:ind w:left="1740"/>
        <w:spacing w:after="0"/>
        <w:rPr>
          <w:sz w:val="20"/>
          <w:szCs w:val="20"/>
          <w:color w:val="auto"/>
        </w:rPr>
      </w:pPr>
      <w:r>
        <w:rPr>
          <w:rFonts w:ascii="Arial" w:cs="Arial" w:eastAsia="Arial" w:hAnsi="Arial"/>
          <w:sz w:val="22"/>
          <w:szCs w:val="22"/>
          <w:u w:val="single" w:color="auto"/>
          <w:color w:val="auto"/>
        </w:rPr>
        <w:t>/s/ Timothy J. Donahue</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TIMOTHY J. DONAHUE</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72"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Didier Sourisseau</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DIDIER SOURISSEAU</w:t>
      </w:r>
    </w:p>
    <w:p>
      <w:pPr>
        <w:sectPr>
          <w:pgSz w:w="11900" w:h="16838" w:orient="portrait"/>
          <w:cols w:equalWidth="0" w:num="1">
            <w:col w:w="10780"/>
          </w:cols>
          <w:pgMar w:left="320" w:top="1131" w:right="799" w:bottom="1440" w:gutter="0" w:footer="0" w:header="0"/>
        </w:sectPr>
      </w:pPr>
    </w:p>
    <w:bookmarkStart w:id="37" w:name="page38"/>
    <w:bookmarkEnd w:id="37"/>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640"/>
        <w:spacing w:after="0" w:line="260" w:lineRule="auto"/>
        <w:rPr>
          <w:sz w:val="20"/>
          <w:szCs w:val="20"/>
          <w:color w:val="auto"/>
        </w:rPr>
      </w:pPr>
      <w:r>
        <w:rPr>
          <w:rFonts w:ascii="Arial" w:cs="Arial" w:eastAsia="Arial" w:hAnsi="Arial"/>
          <w:sz w:val="20"/>
          <w:szCs w:val="20"/>
          <w:color w:val="auto"/>
        </w:rPr>
        <w:t>The following subsidiaries of Crown Holdings, Inc. (the "Company") were, as of March 31, 2021,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1"/>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subsidiaries of the Company were, as of March 31, 2021, guarantors of the Company's $1,000 principal 4.5% senior notes due 2023, $400 principal 4.25% senior notes due 2026, and $875 principal 4.75% senior notes due 2026: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89"/>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89"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03"/>
        </w:trPr>
        <w:tc>
          <w:tcPr>
            <w:tcW w:w="7900" w:type="dxa"/>
            <w:vAlign w:val="bottom"/>
            <w:tcBorders>
              <w:left w:val="single" w:sz="8" w:color="auto"/>
              <w:right w:val="single" w:sz="8" w:color="auto"/>
            </w:tcBorders>
            <w:gridSpan w:val="3"/>
            <w:vMerge w:val="continue"/>
          </w:tcPr>
          <w:p>
            <w:pPr>
              <w:spacing w:after="0"/>
              <w:rPr>
                <w:sz w:val="17"/>
                <w:szCs w:val="17"/>
                <w:color w:val="auto"/>
              </w:rPr>
            </w:pPr>
          </w:p>
        </w:tc>
        <w:tc>
          <w:tcPr>
            <w:tcW w:w="3160" w:type="dxa"/>
            <w:vAlign w:val="bottom"/>
            <w:tcBorders>
              <w:right w:val="single" w:sz="8" w:color="auto"/>
            </w:tcBorders>
            <w:gridSpan w:val="3"/>
          </w:tcPr>
          <w:p>
            <w:pPr>
              <w:jc w:val="center"/>
              <w:ind w:right="20"/>
              <w:spacing w:after="0" w:line="203"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20"/>
        </w:trPr>
        <w:tc>
          <w:tcPr>
            <w:tcW w:w="364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60" w:type="dxa"/>
            <w:vAlign w:val="bottom"/>
            <w:tcBorders>
              <w:bottom w:val="single" w:sz="8" w:color="auto"/>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36"/>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3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Kiwiplan Inc.</w:t>
            </w:r>
          </w:p>
        </w:tc>
        <w:tc>
          <w:tcPr>
            <w:tcW w:w="7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bl>
    <w:p>
      <w:pPr>
        <w:sectPr>
          <w:pgSz w:w="11900" w:h="16838" w:orient="portrait"/>
          <w:cols w:equalWidth="0" w:num="1">
            <w:col w:w="11180"/>
          </w:cols>
          <w:pgMar w:left="320" w:top="886" w:right="399" w:bottom="1440" w:gutter="0" w:footer="0" w:header="0"/>
        </w:sectPr>
      </w:pPr>
    </w:p>
    <w:bookmarkStart w:id="38" w:name="page39"/>
    <w:bookmarkEnd w:id="38"/>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100" w:hanging="332"/>
        <w:spacing w:after="0" w:line="256"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100" w:hanging="324"/>
        <w:spacing w:after="0" w:line="256" w:lineRule="auto"/>
        <w:tabs>
          <w:tab w:leader="none" w:pos="9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right="80" w:hanging="324"/>
        <w:spacing w:after="0" w:line="256" w:lineRule="auto"/>
        <w:tabs>
          <w:tab w:leader="none" w:pos="97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right="80" w:hanging="332"/>
        <w:spacing w:after="0" w:line="256"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right="80" w:hanging="324"/>
        <w:spacing w:after="0" w:line="256" w:lineRule="auto"/>
        <w:tabs>
          <w:tab w:leader="none" w:pos="89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53"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Date: April 23, 2021</w:t>
      </w:r>
      <w:r>
        <w:rPr>
          <w:sz w:val="20"/>
          <w:szCs w:val="20"/>
          <w:color w:val="auto"/>
        </w:rPr>
        <w:tab/>
      </w:r>
      <w:r>
        <w:rPr>
          <w:rFonts w:ascii="Arial" w:cs="Arial" w:eastAsia="Arial" w:hAnsi="Arial"/>
          <w:sz w:val="17"/>
          <w:szCs w:val="17"/>
          <w:u w:val="single" w:color="auto"/>
          <w:color w:val="auto"/>
        </w:rPr>
        <w:t>/s/ Timothy J. Donahue</w:t>
      </w:r>
    </w:p>
    <w:p>
      <w:pPr>
        <w:spacing w:after="0" w:line="9"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Timothy J. Donahue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920"/>
          </w:cols>
          <w:pgMar w:left="320" w:top="1129" w:right="6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52"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340" w:right="2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980" w:right="20" w:hanging="324"/>
        <w:spacing w:after="0" w:line="256" w:lineRule="auto"/>
        <w:tabs>
          <w:tab w:leader="none" w:pos="968"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980" w:hanging="324"/>
        <w:spacing w:after="0" w:line="256" w:lineRule="auto"/>
        <w:tabs>
          <w:tab w:leader="none" w:pos="978"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980" w:hanging="324"/>
        <w:spacing w:after="0" w:line="256" w:lineRule="auto"/>
        <w:tabs>
          <w:tab w:leader="none" w:pos="893"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980" w:hanging="324"/>
        <w:spacing w:after="0" w:line="261" w:lineRule="auto"/>
        <w:tabs>
          <w:tab w:leader="none" w:pos="113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Date: April 23, 2021</w:t>
      </w:r>
      <w:r>
        <w:rPr>
          <w:sz w:val="20"/>
          <w:szCs w:val="20"/>
          <w:color w:val="auto"/>
        </w:rPr>
        <w:tab/>
      </w:r>
      <w:r>
        <w:rPr>
          <w:rFonts w:ascii="Arial" w:cs="Arial" w:eastAsia="Arial" w:hAnsi="Arial"/>
          <w:sz w:val="17"/>
          <w:szCs w:val="17"/>
          <w:u w:val="single" w:color="auto"/>
          <w:color w:val="auto"/>
        </w:rPr>
        <w:t>/s/ Thomas A. Kelly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40"/>
          </w:cols>
          <w:pgMar w:left="320" w:top="1129" w:right="7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66" w:lineRule="exact"/>
        <w:rPr>
          <w:sz w:val="20"/>
          <w:szCs w:val="20"/>
          <w:color w:val="auto"/>
        </w:rPr>
      </w:pPr>
    </w:p>
    <w:p>
      <w:pPr>
        <w:jc w:val="both"/>
        <w:ind w:firstLine="351"/>
        <w:spacing w:after="0" w:line="246"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March 31, 2021 (the “Report”), each of the undersigned officers certify, pursuant to 18 U.S.C. § 1350, as adopted pursuant to § 906 of the Sarbanes-Oxley Act of 2002, that:</w:t>
      </w:r>
    </w:p>
    <w:p>
      <w:pPr>
        <w:spacing w:after="0" w:line="235" w:lineRule="exact"/>
        <w:rPr>
          <w:sz w:val="20"/>
          <w:szCs w:val="20"/>
          <w:color w:val="auto"/>
        </w:rPr>
      </w:pPr>
    </w:p>
    <w:p>
      <w:pPr>
        <w:ind w:firstLine="8"/>
        <w:spacing w:after="0" w:line="249" w:lineRule="auto"/>
        <w:tabs>
          <w:tab w:leader="none" w:pos="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231" w:lineRule="exact"/>
        <w:rPr>
          <w:rFonts w:ascii="Arial" w:cs="Arial" w:eastAsia="Arial" w:hAnsi="Arial"/>
          <w:sz w:val="22"/>
          <w:szCs w:val="22"/>
          <w:color w:val="auto"/>
        </w:rPr>
      </w:pPr>
    </w:p>
    <w:p>
      <w:pPr>
        <w:ind w:firstLine="8"/>
        <w:spacing w:after="0" w:line="249" w:lineRule="auto"/>
        <w:tabs>
          <w:tab w:leader="none" w:pos="51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400" w:type="dxa"/>
            <w:vAlign w:val="bottom"/>
          </w:tcPr>
          <w:p>
            <w:pPr>
              <w:ind w:left="120"/>
              <w:spacing w:after="0"/>
              <w:rPr>
                <w:sz w:val="20"/>
                <w:szCs w:val="20"/>
                <w:color w:val="auto"/>
              </w:rPr>
            </w:pPr>
            <w:r>
              <w:rPr>
                <w:rFonts w:ascii="Arial" w:cs="Arial" w:eastAsia="Arial" w:hAnsi="Arial"/>
                <w:sz w:val="22"/>
                <w:szCs w:val="22"/>
                <w:color w:val="auto"/>
              </w:rPr>
              <w:t>April 23, 2021</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2860" w:type="dxa"/>
            <w:vAlign w:val="bottom"/>
          </w:tcPr>
          <w:p>
            <w:pPr>
              <w:spacing w:after="0"/>
              <w:rPr>
                <w:sz w:val="21"/>
                <w:szCs w:val="21"/>
                <w:color w:val="auto"/>
              </w:rPr>
            </w:pPr>
          </w:p>
        </w:tc>
      </w:tr>
      <w:tr>
        <w:trPr>
          <w:trHeight w:val="284"/>
        </w:trPr>
        <w:tc>
          <w:tcPr>
            <w:tcW w:w="6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5080" w:type="dxa"/>
            <w:vAlign w:val="bottom"/>
            <w:gridSpan w:val="3"/>
          </w:tcPr>
          <w:p>
            <w:pPr>
              <w:ind w:left="1500"/>
              <w:spacing w:after="0"/>
              <w:rPr>
                <w:sz w:val="20"/>
                <w:szCs w:val="20"/>
                <w:color w:val="auto"/>
              </w:rPr>
            </w:pPr>
            <w:r>
              <w:rPr>
                <w:rFonts w:ascii="Arial" w:cs="Arial" w:eastAsia="Arial" w:hAnsi="Arial"/>
                <w:sz w:val="22"/>
                <w:szCs w:val="22"/>
                <w:color w:val="auto"/>
              </w:rPr>
              <w:t>Timothy J. Donahue</w:t>
            </w:r>
          </w:p>
        </w:tc>
      </w:tr>
      <w:tr>
        <w:trPr>
          <w:trHeight w:val="259"/>
        </w:trPr>
        <w:tc>
          <w:tcPr>
            <w:tcW w:w="6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080" w:type="dxa"/>
            <w:vAlign w:val="bottom"/>
            <w:gridSpan w:val="3"/>
          </w:tcPr>
          <w:p>
            <w:pPr>
              <w:ind w:left="1500"/>
              <w:spacing w:after="0"/>
              <w:rPr>
                <w:sz w:val="20"/>
                <w:szCs w:val="20"/>
                <w:color w:val="auto"/>
              </w:rPr>
            </w:pPr>
            <w:r>
              <w:rPr>
                <w:rFonts w:ascii="Arial" w:cs="Arial" w:eastAsia="Arial" w:hAnsi="Arial"/>
                <w:sz w:val="22"/>
                <w:szCs w:val="22"/>
                <w:color w:val="auto"/>
                <w:w w:val="97"/>
              </w:rPr>
              <w:t>President and Chief Executive Officer</w:t>
            </w:r>
          </w:p>
        </w:tc>
      </w:tr>
      <w:tr>
        <w:trPr>
          <w:trHeight w:val="449"/>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400" w:type="dxa"/>
            <w:vAlign w:val="bottom"/>
          </w:tcPr>
          <w:p>
            <w:pPr>
              <w:ind w:left="120"/>
              <w:spacing w:after="0"/>
              <w:rPr>
                <w:sz w:val="20"/>
                <w:szCs w:val="20"/>
                <w:color w:val="auto"/>
              </w:rPr>
            </w:pPr>
            <w:r>
              <w:rPr>
                <w:rFonts w:ascii="Arial" w:cs="Arial" w:eastAsia="Arial" w:hAnsi="Arial"/>
                <w:sz w:val="22"/>
                <w:szCs w:val="22"/>
                <w:color w:val="auto"/>
              </w:rPr>
              <w:t>April 23, 2021</w:t>
            </w:r>
          </w:p>
        </w:tc>
        <w:tc>
          <w:tcPr>
            <w:tcW w:w="5080" w:type="dxa"/>
            <w:vAlign w:val="bottom"/>
            <w:gridSpan w:val="3"/>
          </w:tcPr>
          <w:p>
            <w:pPr>
              <w:spacing w:after="0"/>
              <w:rPr>
                <w:sz w:val="20"/>
                <w:szCs w:val="20"/>
                <w:color w:val="auto"/>
              </w:rPr>
            </w:pPr>
            <w:r>
              <w:rPr>
                <w:rFonts w:ascii="Arial" w:cs="Arial" w:eastAsia="Arial" w:hAnsi="Arial"/>
                <w:sz w:val="22"/>
                <w:szCs w:val="22"/>
                <w:color w:val="auto"/>
              </w:rPr>
              <w:t>/s/ Thomas A. Kelly</w:t>
            </w:r>
          </w:p>
        </w:tc>
      </w:tr>
      <w:tr>
        <w:trPr>
          <w:trHeight w:val="20"/>
        </w:trPr>
        <w:tc>
          <w:tcPr>
            <w:tcW w:w="6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bl>
    <w:p>
      <w:pPr>
        <w:spacing w:after="0" w:line="34"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Thomas A. Kelly</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1680"/>
        <w:spacing w:after="0"/>
        <w:rPr>
          <w:sz w:val="20"/>
          <w:szCs w:val="20"/>
          <w:color w:val="auto"/>
        </w:rPr>
      </w:pPr>
      <w:r>
        <w:rPr>
          <w:rFonts w:ascii="Arial" w:cs="Arial" w:eastAsia="Arial" w:hAnsi="Arial"/>
          <w:sz w:val="22"/>
          <w:szCs w:val="22"/>
          <w:color w:val="auto"/>
        </w:rPr>
        <w:t>and Chief Financial Officer</w:t>
      </w:r>
    </w:p>
    <w:p>
      <w:pPr>
        <w:spacing w:after="0" w:line="200" w:lineRule="exact"/>
        <w:rPr>
          <w:sz w:val="20"/>
          <w:szCs w:val="20"/>
          <w:color w:val="auto"/>
        </w:rPr>
      </w:pPr>
    </w:p>
    <w:p>
      <w:pPr>
        <w:spacing w:after="0" w:line="29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31"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upperLetter"/>
      <w:start w:val="1"/>
    </w:lvl>
  </w:abstractNum>
  <w:abstractNum w:abstractNumId="3">
    <w:nsid w:val="4E6AFB66"/>
    <w:multiLevelType w:val="hybridMultilevel"/>
    <w:lvl w:ilvl="0">
      <w:lvlJc w:val="left"/>
      <w:lvlText w:val="%1."/>
      <w:numFmt w:val="upperLetter"/>
      <w:start w:val="4"/>
    </w:lvl>
  </w:abstractNum>
  <w:abstractNum w:abstractNumId="4">
    <w:nsid w:val="25E45D32"/>
    <w:multiLevelType w:val="hybridMultilevel"/>
    <w:lvl w:ilvl="0">
      <w:lvlJc w:val="left"/>
      <w:lvlText w:val="%1."/>
      <w:numFmt w:val="upperLetter"/>
      <w:start w:val="6"/>
    </w:lvl>
  </w:abstractNum>
  <w:abstractNum w:abstractNumId="5">
    <w:nsid w:val="519B500D"/>
    <w:multiLevelType w:val="hybridMultilevel"/>
    <w:lvl w:ilvl="0">
      <w:lvlJc w:val="left"/>
      <w:lvlText w:val="%1."/>
      <w:numFmt w:val="upperLetter"/>
      <w:start w:val="7"/>
    </w:lvl>
  </w:abstractNum>
  <w:abstractNum w:abstractNumId="6">
    <w:nsid w:val="431BD7B7"/>
    <w:multiLevelType w:val="hybridMultilevel"/>
    <w:lvl w:ilvl="0">
      <w:lvlJc w:val="left"/>
      <w:lvlText w:val="%1."/>
      <w:numFmt w:val="upperLetter"/>
      <w:start w:val="8"/>
    </w:lvl>
  </w:abstractNum>
  <w:abstractNum w:abstractNumId="7">
    <w:nsid w:val="3F2DBA31"/>
    <w:multiLevelType w:val="hybridMultilevel"/>
    <w:lvl w:ilvl="0">
      <w:lvlJc w:val="left"/>
      <w:lvlText w:val="%1."/>
      <w:numFmt w:val="upperLetter"/>
      <w:start w:val="9"/>
    </w:lvl>
  </w:abstractNum>
  <w:abstractNum w:abstractNumId="8">
    <w:nsid w:val="7C83E458"/>
    <w:multiLevelType w:val="hybridMultilevel"/>
    <w:lvl w:ilvl="0">
      <w:lvlJc w:val="left"/>
      <w:lvlText w:val="%1."/>
      <w:numFmt w:val="upperLetter"/>
      <w:start w:val="10"/>
    </w:lvl>
  </w:abstractNum>
  <w:abstractNum w:abstractNumId="9">
    <w:nsid w:val="257130A3"/>
    <w:multiLevelType w:val="hybridMultilevel"/>
    <w:lvl w:ilvl="0">
      <w:lvlJc w:val="left"/>
      <w:lvlText w:val="%1."/>
      <w:numFmt w:val="upperLetter"/>
      <w:start w:val="11"/>
    </w:lvl>
  </w:abstractNum>
  <w:abstractNum w:abstractNumId="10">
    <w:nsid w:val="62BBD95A"/>
    <w:multiLevelType w:val="hybridMultilevel"/>
    <w:lvl w:ilvl="0">
      <w:lvlJc w:val="left"/>
      <w:lvlText w:val="%1."/>
      <w:numFmt w:val="upperLetter"/>
      <w:start w:val="13"/>
    </w:lvl>
  </w:abstractNum>
  <w:abstractNum w:abstractNumId="11">
    <w:nsid w:val="436C6125"/>
    <w:multiLevelType w:val="hybridMultilevel"/>
    <w:lvl w:ilvl="0">
      <w:lvlJc w:val="left"/>
      <w:lvlText w:val="%1."/>
      <w:numFmt w:val="upperLetter"/>
      <w:start w:val="14"/>
    </w:lvl>
  </w:abstractNum>
  <w:abstractNum w:abstractNumId="12">
    <w:nsid w:val="628C895D"/>
    <w:multiLevelType w:val="hybridMultilevel"/>
    <w:lvl w:ilvl="0">
      <w:lvlJc w:val="left"/>
      <w:lvlText w:val="%1."/>
      <w:numFmt w:val="upperLetter"/>
      <w:start w:val="15"/>
    </w:lvl>
  </w:abstractNum>
  <w:abstractNum w:abstractNumId="13">
    <w:nsid w:val="333AB105"/>
    <w:multiLevelType w:val="hybridMultilevel"/>
    <w:lvl w:ilvl="0">
      <w:lvlJc w:val="left"/>
      <w:lvlText w:val="%1."/>
      <w:numFmt w:val="upperLetter"/>
      <w:start w:val="16"/>
    </w:lvl>
  </w:abstractNum>
  <w:abstractNum w:abstractNumId="14">
    <w:nsid w:val="721DA317"/>
    <w:multiLevelType w:val="hybridMultilevel"/>
    <w:lvl w:ilvl="0">
      <w:lvlJc w:val="left"/>
      <w:lvlText w:val="%1."/>
      <w:numFmt w:val="upperLetter"/>
      <w:start w:val="17"/>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2"/>
    </w:lvl>
  </w:abstractNum>
  <w:abstractNum w:abstractNumId="20">
    <w:nsid w:val="79838CB2"/>
    <w:multiLevelType w:val="hybridMultilevel"/>
    <w:lvl w:ilvl="0">
      <w:lvlJc w:val="left"/>
      <w:lvlText w:val="%1)"/>
      <w:numFmt w:val="decimal"/>
      <w:start w:val="3"/>
    </w:lvl>
  </w:abstractNum>
  <w:abstractNum w:abstractNumId="21">
    <w:nsid w:val="4353D0CD"/>
    <w:multiLevelType w:val="hybridMultilevel"/>
    <w:lvl w:ilvl="0">
      <w:lvlJc w:val="left"/>
      <w:lvlText w:val="%1"/>
      <w:numFmt w:val="decimal"/>
      <w:start w:val="22"/>
    </w:lvl>
  </w:abstractNum>
  <w:abstractNum w:abstractNumId="22">
    <w:nsid w:val="B03E0C6"/>
    <w:multiLevelType w:val="hybridMultilevel"/>
    <w:lvl w:ilvl="0">
      <w:lvlJc w:val="left"/>
      <w:lvlText w:val="%1"/>
      <w:numFmt w:val="decimal"/>
      <w:start w:val="32"/>
    </w:lvl>
  </w:abstractNum>
  <w:abstractNum w:abstractNumId="23">
    <w:nsid w:val="189A769B"/>
    <w:multiLevelType w:val="hybridMultilevel"/>
    <w:lvl w:ilvl="0">
      <w:lvlJc w:val="left"/>
      <w:lvlText w:val="%1"/>
      <w:numFmt w:val="decimal"/>
      <w:start w:val="101"/>
    </w:lvl>
  </w:abstractNum>
  <w:abstractNum w:abstractNumId="24">
    <w:nsid w:val="54E49EB4"/>
    <w:multiLevelType w:val="hybridMultilevel"/>
    <w:lvl w:ilvl="0">
      <w:lvlJc w:val="left"/>
      <w:lvlText w:val="%1"/>
      <w:numFmt w:val="decimal"/>
      <w:start w:val="104"/>
    </w:lvl>
  </w:abstractNum>
  <w:abstractNum w:abstractNumId="25">
    <w:nsid w:val="71F32454"/>
    <w:multiLevelType w:val="hybridMultilevel"/>
    <w:lvl w:ilvl="0">
      <w:lvlJc w:val="left"/>
      <w:lvlText w:val="%1."/>
      <w:numFmt w:val="decimal"/>
      <w:start w:val="3"/>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6" Type="http://schemas.openxmlformats.org/officeDocument/2006/relationships/hyperlink" Target="https://www.sec.gov/Archives/edgar/data/1219601/000119312521114840/d155915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2021-04-23T12:47:02Z</dcterms:created>
  <dcterms:modified xsi:type="dcterms:W3CDTF">2021-04-23T12:47:02Z</dcterms:modified>
</cp:coreProperties>
</file>