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July 24, 2023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000-50189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14025 Riveredge Drive,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Tampa, Florida 33637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698-5100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3/8% Debentures Due 2026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2.02. Results of Operations and Financial Condition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July 24, 2023 Crown Holdings, Inc. issued a press release announcing its earnings for the second quarter ended June 30, 2023.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ans-serif" w:hAnsi="Times New Roman;sans-serif"/>
          <w:b w:val="false"/>
          <w:color w:val="000000"/>
          <w:sz w:val="24"/>
        </w:rPr>
        <w:t>99     </w:t>
      </w:r>
      <w:hyperlink w:anchor="ex99june2023.htm">
        <w:r>
          <w:rPr>
            <w:rStyle w:val="InternetLink"/>
            <w:rFonts w:ascii="Times New Roman;sans-serif" w:hAnsi="Times New Roman;sans-serif"/>
            <w:b w:val="false"/>
            <w:color w:val="0000FF"/>
            <w:sz w:val="24"/>
            <w:u w:val="single"/>
          </w:rPr>
          <w:t>Press release, dated July 24, 2023, issued by Crown Holdings, Inc.</w:t>
        </w:r>
      </w:hyperlink>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CROWN HOLDINGS, INC.</w:t>
            </w:r>
          </w:p>
        </w:tc>
      </w:tr>
    </w:tbl>
    <w:tbl>
      <w:tblPr>
        <w:tblW w:w="4750"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156"/>
        <w:gridCol w:w="1156"/>
        <w:gridCol w:w="1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and Corporate Controller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Dated: July 24, 2023</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552450"/>
                          </a:xfrm>
                          <a:prstGeom prst="rect">
                            <a:avLst/>
                          </a:prstGeom>
                        </pic:spPr>
                      </pic:pic>
                    </a:graphicData>
                  </a:graphic>
                </wp:inline>
              </w:drawing>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CROWN HOLDINGS, INC. REPORTS SECOND QUARTER 2023 RESULTS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2"/>
        </w:rPr>
        <w:t>Tampa, FL - July 24, 2023.</w:t>
      </w:r>
      <w:r>
        <w:rPr>
          <w:color w:val="000000"/>
        </w:rPr>
        <w:t xml:space="preserve"> </w:t>
      </w:r>
      <w:r>
        <w:rPr>
          <w:rFonts w:ascii="Times New Roman;sans-serif" w:hAnsi="Times New Roman;sans-serif"/>
          <w:b w:val="false"/>
          <w:color w:val="000000"/>
          <w:sz w:val="22"/>
        </w:rPr>
        <w:t>Crown Holdings, Inc. (NYSE: CCK) today announced its financial results for the second quarter ended June 30,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sales in the second quarter were $3,109 million compared to $3,510 million in the second quarter of 2022 reflecting higher beverage can volumes in Americas Beverage and favorable foreign currency translation of $11 million, offset by the pass through of $288 million in lower material costs and lower volumes across most other businesses.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Income from operations was $367 million in the second quarter compared to $466 million in the second quarter of 2022, which included a gain of $113 million for the sale of the Transit Packaging segment's Kiwiplan business. Segment income in the second quarter of 2023 was $414 million compared to $432 million in the prior year second quarter as benefits from the contractual recovery of prior years' inflationary cost increases in European Beverage and cost reduction initiatives in Transit Packaging were offset by lower volumes.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Commenting on the quarter, Timothy J. Donahue, Chairman, President and Chief Executive Officer, stated, “The Company performed well during the second quarter, as strong results in European Beverage and Transit Packaging offset softer than expected beverage can volumes in Asia and sluggish aerosol can demand in North America. Cumulative inflationary effects and challenging macroeconomic conditions in certain markets continue to adversely impact volumes. In North America, we anticipate increased second half beverage can shipment levels as retail promotional activity, while still somewhat limited, is expected for carbonated soft drinks. The benefits from actions taken in 2022 to negotiate more comprehensive raw material and other inflationary pass-through provisions in European Beverage and a significant overhead reduction program initiated in Transit Packaging are expected to continue to yield benefits throughout the remainder of the year.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2"/>
        </w:rPr>
        <w:t xml:space="preserve">Looking ahead, we believe that the beverage can remains the preferred packaging option for customers and consumers alike, in part due to its unmatched sustainability benefits and infinite recyclability. As we near completion in late 2023 of the multi-year program to profitably expand global beverage can production capacity to support expanded customer requirements, the Company expects capital expenditures to be significantly reduced in 2024 and 2025 from this year's $900 million to approximately $500 million and we plan to use increased cash flow to pay down debt and return capital to shareholders."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 was $110 million in the second quarter of 2023 compared to $64 million in the second quarter of 2022 reflecting higher outstanding debt and higher interest rates.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income attributable to Crown Holdings in the second quarter was $157 million compared to $295 million in the second quarter of 2022. Reported diluted earnings per share were $1.31 in the second quarter of 2023 compared to $2.43 in 2022 and adjusted diluted earnings per share were $1.68 compared to $2.10 in 2022.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Six Month Results</w:t>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sales for the first six months of 2023 were $6,083 million compared to $6,672 million in the first six months of 2022, primarily due to the pass through of $388 million in lower material costs, lower overall net volumes and unfavorable foreign currency translation of $25 million, partially offset by higher beverage can volumes in Americas Beverage. </w:t>
      </w:r>
    </w:p>
    <w:p>
      <w:pPr>
        <w:pStyle w:val="TextBody"/>
        <w:bidi w:val="0"/>
        <w:spacing w:before="0" w:after="0"/>
        <w:jc w:val="both"/>
        <w:rPr/>
      </w:pPr>
      <w:r>
        <w:rPr/>
      </w:r>
    </w:p>
    <w:p>
      <w:pPr>
        <w:pStyle w:val="TextBody"/>
        <w:bidi w:val="0"/>
        <w:spacing w:lineRule="auto" w:line="27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Income from operations was $636 million in the first half of 2023 compared to $810 million in the first half of 2022, which included a gain of $113 million for the sale of the Transit Packaging segment's Kiwiplan business. Segment income in the first half of 2023 was $734 million versus $815 million in the prior year period, reflecting benefits from the contractual recovery of prior year's inflationary cost increases in European Beverage and cost reduction initiatives in Transit Packaging, offset by $60 million of year over year inventory impact of steel repricing in the Other segment and lower volumes. </w:t>
      </w: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 was $212 million for the first six months of 2023 compared to $118 million in 2022 primarily due to higher outstanding debt balances and higher interest rates.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Crown Holdings in the first six months of 2023 was $259 million compared to $511 million in the first six months of 2022. Reported diluted earnings per share were $2.16 compared to $4.15 in 2022 and adjusted diluted earnings per share were $2.88 compared to $4.11 in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Outlook</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continue to expect full year improved operating results in global beverage as well as in Transit Packaging.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Third quarter adjusted diluted earnings per share are expected to be in the range of $1.70 to $1.80 and full year 2023 adjusted diluted earnings per share in the range of $6.10 to $6.30 reflecting the impacts of higher transactional foreign exchange expense and lower equity earnings from our previous guidance.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affirm our previously issued guidance of adjusted EBITDA growth between 8% and 12% for 2023 with an expected adjusted effective tax rate between 24% and 25%. Adjusted free cash flow is expected to be approximately $500 million after $900 million of capital expenditures and approximately $100 million in benefits from lower working capital. Through six months, working capital performance is on plan, as we realize efforts to reduce elevated inventory levels from the prior year end.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Non-GAAP Measures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Segment income, adjusted free cash flow,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the adjusted effective tax rate and adjusted diluted earnings per share are useful in evaluating the Company’s operations as these measures are adjusted for items that affect comparability between periods. Segment income, adjusted free cash flow,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adjusted net leverage ratio, adjusted net income, the adjusted effective tax rate, adjusted diluted earnings per share and adjusted EBITDA can be found within this release. Reconciliations of estimated adjusted diluted earnings per share for the third quarter and full year of 2023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We have not provided a reconciliation of the range of anticipated growth of projected adjusted </w:t>
      </w: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EBITDA to the most comparable GAAP measures due to the inherent difficulty in forecasting and quantifying certain amounts that are necessary for such reconciliation, including restructuring and other charges which are event-driven.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Conference Call</w:t>
      </w:r>
    </w:p>
    <w:p>
      <w:pPr>
        <w:pStyle w:val="TextBody"/>
        <w:bidi w:val="0"/>
        <w:spacing w:lineRule="auto" w:line="268" w:before="0" w:after="0"/>
        <w:jc w:val="both"/>
        <w:rPr/>
      </w:pPr>
      <w:r>
        <w:rPr>
          <w:rFonts w:ascii="Times New Roman;sans-serif" w:hAnsi="Times New Roman;sans-serif"/>
          <w:b w:val="false"/>
          <w:color w:val="000000"/>
          <w:sz w:val="22"/>
        </w:rPr>
        <w:t xml:space="preserve">The Company will hold a conference call tomorrow, July 25, 2023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sans-serif" w:hAnsi="Times New Roman;sans-serif"/>
          <w:b w:val="false"/>
          <w:color w:val="0000FF"/>
          <w:sz w:val="22"/>
        </w:rPr>
        <w:t>www.crowncork.com</w:t>
      </w:r>
      <w:r>
        <w:rPr>
          <w:rFonts w:ascii="Times New Roman;sans-serif" w:hAnsi="Times New Roman;sans-serif"/>
          <w:b w:val="false"/>
          <w:color w:val="000000"/>
          <w:sz w:val="22"/>
        </w:rPr>
        <w:t>. A replay of the conference call will be available for a one-week period ending at midnight on August 1, 2023. The telephone numbers for the replay are 203-369-3350 or toll free 800-819-5739.</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2023, including consumer preference for beverage cans and increasing global beverage can demand; the future impact of inflation, including the potential for higher interest rates and energy prices and the Company’s ability to recover raw material and other inflationary costs; future demand for food cans; the Company’s ability to successfully complete its previously announced capacity expansion projects and begin production within expected timelines; and the impact of overhead reduction efforts in the Transit Packaging business,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2022 and in subsequent filings made prior to or after the date hereof. The Company does not intend to review or revise any particular forward-looking statement in light of future events.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Crown Holdings, Inc., through its subsidiaries, is a worldwide leader in the design, manufacture and sale of packaging products for consumer goods and industrial products. World headquarters are located in Tampa, Florida.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more information, contact:</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Kevin C. Clothier, Senior Vice President and Chief Financial Officer, (215) 698-5281</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Thomas T. Fischer, Vice President, Investor Relations and Corporate Affairs, (215) 552-3720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Consolidated Statements of Operations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1510"/>
        <w:gridCol w:w="1311"/>
        <w:gridCol w:w="1326"/>
        <w:gridCol w:w="346"/>
        <w:gridCol w:w="840"/>
        <w:gridCol w:w="133"/>
        <w:gridCol w:w="133"/>
        <w:gridCol w:w="133"/>
        <w:gridCol w:w="133"/>
        <w:gridCol w:w="346"/>
        <w:gridCol w:w="840"/>
        <w:gridCol w:w="133"/>
        <w:gridCol w:w="109"/>
        <w:gridCol w:w="109"/>
        <w:gridCol w:w="109"/>
        <w:gridCol w:w="289"/>
        <w:gridCol w:w="701"/>
        <w:gridCol w:w="151"/>
        <w:gridCol w:w="121"/>
        <w:gridCol w:w="121"/>
        <w:gridCol w:w="121"/>
        <w:gridCol w:w="285"/>
        <w:gridCol w:w="691"/>
        <w:gridCol w:w="214"/>
      </w:tblGrid>
      <w:tr>
        <w:trPr/>
        <w:tc>
          <w:tcPr>
            <w:tcW w:w="151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021" w:type="dxa"/>
            <w:gridSpan w:val="12"/>
            <w:tcBorders/>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3,109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6,083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6,672</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Income from operations</w:t>
            </w:r>
            <w:r>
              <w:rPr>
                <w:color w:val="000000"/>
              </w:rPr>
              <w:t xml:space="preserve"> </w:t>
            </w:r>
            <w:r>
              <w:rPr>
                <w:rFonts w:ascii="Times New Roman;sans-serif" w:hAnsi="Times New Roman;sans-serif"/>
                <w:b/>
                <w:color w:val="000000"/>
                <w:sz w:val="13"/>
              </w:rPr>
              <w:t>(1)</w:t>
            </w:r>
            <w:r>
              <w:rPr>
                <w:color w:val="000000"/>
              </w:rPr>
              <w:t xml:space="preserve"> </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810</w:t>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pension and postretirement</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interest and taxes</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821</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before income taxes</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709</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earnings </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color w:val="000000"/>
                <w:sz w:val="20"/>
              </w:rPr>
            </w:pPr>
            <w:r>
              <w:rPr>
                <w:rFonts w:ascii="Times New Roman;sans-serif" w:hAnsi="Times New Roman;sans-serif"/>
                <w:b/>
                <w:color w:val="000000"/>
                <w:sz w:val="20"/>
              </w:rPr>
              <w:t>575</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Crown Holdings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511</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Crown</w:t>
              <w:br/>
              <w:t>  Holdings common shareholders:</w:t>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3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3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1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119,385,138 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120,980,821 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119,312,034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122,305,457</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119,641,646 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121,622,534 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119,620,100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122,991,134</w:t>
            </w:r>
          </w:p>
        </w:tc>
      </w:tr>
      <w:tr>
        <w:trPr/>
        <w:tc>
          <w:tcPr>
            <w:tcW w:w="41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common shares outstanding at quarter end</w:t>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120,102,654 </w:t>
            </w:r>
          </w:p>
        </w:tc>
        <w:tc>
          <w:tcPr>
            <w:tcW w:w="1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121,166,297 </w:t>
            </w:r>
          </w:p>
        </w:tc>
        <w:tc>
          <w:tcPr>
            <w:tcW w:w="1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120,102,654</w:t>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121,166,297</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16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Financial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from Income from Operations to Segment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tbl>
      <w:tblPr>
        <w:tblW w:w="7491" w:type="dxa"/>
        <w:jc w:val="center"/>
        <w:tblInd w:w="0" w:type="dxa"/>
        <w:tblLayout w:type="fixed"/>
        <w:tblCellMar>
          <w:top w:w="28" w:type="dxa"/>
          <w:left w:w="28" w:type="dxa"/>
          <w:bottom w:w="28" w:type="dxa"/>
          <w:right w:w="28" w:type="dxa"/>
        </w:tblCellMar>
      </w:tblPr>
      <w:tblGrid>
        <w:gridCol w:w="765"/>
        <w:gridCol w:w="674"/>
        <w:gridCol w:w="676"/>
        <w:gridCol w:w="287"/>
        <w:gridCol w:w="654"/>
        <w:gridCol w:w="148"/>
        <w:gridCol w:w="148"/>
        <w:gridCol w:w="148"/>
        <w:gridCol w:w="148"/>
        <w:gridCol w:w="287"/>
        <w:gridCol w:w="654"/>
        <w:gridCol w:w="148"/>
        <w:gridCol w:w="109"/>
        <w:gridCol w:w="109"/>
        <w:gridCol w:w="109"/>
        <w:gridCol w:w="259"/>
        <w:gridCol w:w="592"/>
        <w:gridCol w:w="134"/>
        <w:gridCol w:w="134"/>
        <w:gridCol w:w="134"/>
        <w:gridCol w:w="134"/>
        <w:gridCol w:w="259"/>
        <w:gridCol w:w="592"/>
        <w:gridCol w:w="189"/>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w:t>
            </w:r>
            <w:r>
              <w:rPr>
                <w:color w:val="000000"/>
              </w:rPr>
              <w:t>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432</w:t>
            </w:r>
            <w:r>
              <w:rPr>
                <w:color w:val="000000"/>
              </w:rPr>
              <w:t>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734</w:t>
            </w:r>
            <w:r>
              <w:rPr>
                <w:color w:val="000000"/>
              </w:rPr>
              <w:t>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815</w:t>
            </w:r>
            <w:r>
              <w:rPr>
                <w:color w:val="000000"/>
              </w:rPr>
              <w:t>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Segment Information</w:t>
      </w:r>
    </w:p>
    <w:tbl>
      <w:tblPr>
        <w:tblW w:w="7084" w:type="dxa"/>
        <w:jc w:val="center"/>
        <w:tblInd w:w="0" w:type="dxa"/>
        <w:tblLayout w:type="fixed"/>
        <w:tblCellMar>
          <w:top w:w="28" w:type="dxa"/>
          <w:left w:w="28" w:type="dxa"/>
          <w:bottom w:w="28" w:type="dxa"/>
          <w:right w:w="28" w:type="dxa"/>
        </w:tblCellMar>
      </w:tblPr>
      <w:tblGrid>
        <w:gridCol w:w="618"/>
        <w:gridCol w:w="544"/>
        <w:gridCol w:w="547"/>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Net Sales</w:t>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net sales</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3,109</w:t>
            </w:r>
            <w:r>
              <w:rPr>
                <w:color w:val="000000"/>
              </w:rPr>
              <w:t>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3,510</w:t>
            </w:r>
            <w:r>
              <w:rPr>
                <w:color w:val="000000"/>
              </w:rPr>
              <w:t>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6,083</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6,672</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454" w:type="dxa"/>
        <w:jc w:val="center"/>
        <w:tblInd w:w="0" w:type="dxa"/>
        <w:tblLayout w:type="fixed"/>
        <w:tblCellMar>
          <w:top w:w="28" w:type="dxa"/>
          <w:left w:w="28" w:type="dxa"/>
          <w:bottom w:w="28" w:type="dxa"/>
          <w:right w:w="28" w:type="dxa"/>
        </w:tblCellMar>
      </w:tblPr>
      <w:tblGrid>
        <w:gridCol w:w="1166"/>
        <w:gridCol w:w="1028"/>
        <w:gridCol w:w="1030"/>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 items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the Company’s food can, aerosol can and closures businesses in North America, and beverage tooling and equipment operations in the U.S. and United Kingdom.</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ind w:left="0" w:right="0" w:hanging="27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88" w:before="0" w:after="0"/>
        <w:ind w:left="0" w:right="0" w:hanging="27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366"/>
        <w:gridCol w:w="954"/>
        <w:gridCol w:w="960"/>
        <w:gridCol w:w="185"/>
        <w:gridCol w:w="185"/>
        <w:gridCol w:w="186"/>
        <w:gridCol w:w="114"/>
        <w:gridCol w:w="114"/>
        <w:gridCol w:w="114"/>
        <w:gridCol w:w="191"/>
        <w:gridCol w:w="191"/>
        <w:gridCol w:w="192"/>
        <w:gridCol w:w="114"/>
        <w:gridCol w:w="114"/>
        <w:gridCol w:w="114"/>
        <w:gridCol w:w="185"/>
        <w:gridCol w:w="185"/>
        <w:gridCol w:w="186"/>
        <w:gridCol w:w="114"/>
        <w:gridCol w:w="114"/>
        <w:gridCol w:w="114"/>
        <w:gridCol w:w="191"/>
        <w:gridCol w:w="191"/>
        <w:gridCol w:w="192"/>
        <w:gridCol w:w="109"/>
        <w:gridCol w:w="109"/>
        <w:gridCol w:w="109"/>
        <w:gridCol w:w="185"/>
        <w:gridCol w:w="185"/>
        <w:gridCol w:w="186"/>
        <w:gridCol w:w="110"/>
        <w:gridCol w:w="110"/>
        <w:gridCol w:w="110"/>
        <w:gridCol w:w="191"/>
        <w:gridCol w:w="191"/>
        <w:gridCol w:w="192"/>
        <w:gridCol w:w="110"/>
        <w:gridCol w:w="110"/>
        <w:gridCol w:w="110"/>
        <w:gridCol w:w="185"/>
        <w:gridCol w:w="185"/>
        <w:gridCol w:w="186"/>
        <w:gridCol w:w="110"/>
        <w:gridCol w:w="110"/>
        <w:gridCol w:w="110"/>
        <w:gridCol w:w="181"/>
        <w:gridCol w:w="181"/>
        <w:gridCol w:w="274"/>
      </w:tblGrid>
      <w:tr>
        <w:trPr/>
        <w:tc>
          <w:tcPr>
            <w:tcW w:w="136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5453" w:type="dxa"/>
            <w:gridSpan w:val="36"/>
            <w:tcBorders/>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income/diluted earnings per share attributable to Crown Holdings, as reported </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$157</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$295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$259</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$2.16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$511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$4.15</w:t>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Intangibles amortization </w:t>
            </w:r>
            <w:r>
              <w:rPr>
                <w:rFonts w:ascii="Times New Roman;sans-serif" w:hAnsi="Times New Roman;sans-serif"/>
                <w:b w:val="false"/>
                <w:color w:val="000000"/>
                <w:sz w:val="13"/>
              </w:rPr>
              <w:t>(1)</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81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0.68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79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0.64</w:t>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Restructuring and other </w:t>
            </w:r>
            <w:r>
              <w:rPr>
                <w:rFonts w:ascii="Times New Roman;sans-serif" w:hAnsi="Times New Roman;sans-serif"/>
                <w:b w:val="false"/>
                <w:color w:val="000000"/>
                <w:sz w:val="13"/>
              </w:rPr>
              <w:t>(2)</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0.14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(74)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(0.60)</w:t>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Other pension and postretirement </w:t>
            </w:r>
            <w:r>
              <w:rPr>
                <w:rFonts w:ascii="Times New Roman;sans-serif" w:hAnsi="Times New Roman;sans-serif"/>
                <w:b w:val="false"/>
                <w:color w:val="000000"/>
                <w:sz w:val="13"/>
              </w:rPr>
              <w:t>(3)</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Income taxes </w:t>
            </w:r>
            <w:r>
              <w:rPr>
                <w:rFonts w:ascii="Times New Roman;sans-serif" w:hAnsi="Times New Roman;sans-serif"/>
                <w:b w:val="false"/>
                <w:color w:val="000000"/>
                <w:sz w:val="13"/>
              </w:rPr>
              <w:t>(4)</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(0.19)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(0.12)</w:t>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Equity earnings </w:t>
            </w:r>
            <w:r>
              <w:rPr>
                <w:rFonts w:ascii="Times New Roman;sans-serif" w:hAnsi="Times New Roman;sans-serif"/>
                <w:b w:val="false"/>
                <w:color w:val="000000"/>
                <w:sz w:val="13"/>
              </w:rPr>
              <w:t>(5)</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0.04</w:t>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8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income/diluted earnings per share</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$255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$345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$2.88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$4.11</w:t>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Effective tax rate as reported</w:t>
            </w:r>
            <w:r>
              <w:rPr>
                <w:color w:val="000000"/>
              </w:rPr>
              <w:t xml:space="preserv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25.3%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effective tax rate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24.6%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24.9%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 the second quarter and first six months of 2023, the Company recorded charges of $41 million ($31 million net of tax) and $81 million ($61 million net of tax) for intangibles amortization arising from prior acquisitions. In the second quarter and first six months of 2022, the Company recorded charges of $39 million ($30 million net of tax) and $79 million ($61 million net of tax) for intangibles amortization arising from prior acquisitions.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In the second quarter and first six months of 2023, the Company recorded net restructuring and other charges of $6 million ($6 million net of tax) and $17 million ($15 million net of tax) primarily related to business reorganization activities in Europe. In the second quarter and first six months of 2022, the Company recorded net restructuring and other gains of $73 million ($72 million net of tax) and $74 million ($74 million net of tax) primarily related to a gain of $113 million ($102 million net of tax) for the sale of the Transit Packaging segment's Kiwiplan business, partially offset by a restructuring charge of $29 million ($22 million net of tax) related to an overhead cost reduction program in the Transit Packaging segment. </w:t>
      </w:r>
    </w:p>
    <w:p>
      <w:pPr>
        <w:pStyle w:val="TextBody"/>
        <w:bidi w:val="0"/>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In the second quarter of 2023, the Company recorded a one-time termination charge of $6 million ($5 million net of tax) related to business reorganization activities in Europe.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Company recorded income tax benefits of $11 million and $23 million in the second quarter and first six months of 2023 and $8 million and $15 million in the second quarter and first six months of 2022, primarily related to the items described above.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 the second quarters and first six months of 2023 and 2022, the Company recorded its proportional share of intangible amortization, net of tax, recorded by its European tinplate equity method investment, in the line Equity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tbl>
      <w:tblPr>
        <w:tblW w:w="7967" w:type="dxa"/>
        <w:jc w:val="center"/>
        <w:tblInd w:w="0" w:type="dxa"/>
        <w:tblLayout w:type="fixed"/>
        <w:tblCellMar>
          <w:top w:w="28" w:type="dxa"/>
          <w:left w:w="28" w:type="dxa"/>
          <w:bottom w:w="28" w:type="dxa"/>
          <w:right w:w="28" w:type="dxa"/>
        </w:tblCellMar>
      </w:tblPr>
      <w:tblGrid>
        <w:gridCol w:w="1369"/>
        <w:gridCol w:w="1198"/>
        <w:gridCol w:w="1198"/>
        <w:gridCol w:w="357"/>
        <w:gridCol w:w="1246"/>
        <w:gridCol w:w="184"/>
        <w:gridCol w:w="184"/>
        <w:gridCol w:w="184"/>
        <w:gridCol w:w="184"/>
        <w:gridCol w:w="357"/>
        <w:gridCol w:w="1246"/>
        <w:gridCol w:w="260"/>
      </w:tblGrid>
      <w:tr>
        <w:trPr/>
        <w:tc>
          <w:tcPr>
            <w:tcW w:w="13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 (Condensed &amp; Unaudited)</w:t>
            </w:r>
          </w:p>
        </w:tc>
      </w:tr>
      <w:tr>
        <w:trPr/>
        <w:tc>
          <w:tcPr>
            <w:tcW w:w="79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4,612</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14,589</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14,399</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3,574</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5,356</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14,589</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14,399</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(Condensed &amp;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7058" w:type="dxa"/>
        <w:jc w:val="center"/>
        <w:tblInd w:w="0" w:type="dxa"/>
        <w:tblLayout w:type="fixed"/>
        <w:tblCellMar>
          <w:top w:w="28" w:type="dxa"/>
          <w:left w:w="28" w:type="dxa"/>
          <w:bottom w:w="28" w:type="dxa"/>
          <w:right w:w="28" w:type="dxa"/>
        </w:tblCellMar>
      </w:tblPr>
      <w:tblGrid>
        <w:gridCol w:w="1838"/>
        <w:gridCol w:w="1616"/>
        <w:gridCol w:w="1630"/>
        <w:gridCol w:w="211"/>
        <w:gridCol w:w="481"/>
        <w:gridCol w:w="109"/>
        <w:gridCol w:w="109"/>
        <w:gridCol w:w="109"/>
        <w:gridCol w:w="109"/>
        <w:gridCol w:w="211"/>
        <w:gridCol w:w="48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expense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contributions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Working capital changes and other </w:t>
            </w:r>
            <w:r>
              <w:rPr>
                <w:rFonts w:ascii="Times New Roman;sans-serif" w:hAnsi="Times New Roman;sans-serif"/>
                <w:b/>
                <w:color w:val="000000"/>
                <w:sz w:val="13"/>
              </w:rPr>
              <w:t>(2)</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 xml:space="preserve">Net cash provided by operating activities </w:t>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Acquisitions and divestitures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Equity method investment distribution </w:t>
            </w:r>
            <w:r>
              <w:rPr>
                <w:rFonts w:ascii="Times New Roman;sans-serif" w:hAnsi="Times New Roman;sans-serif"/>
                <w:b/>
                <w:color w:val="000000"/>
                <w:sz w:val="13"/>
              </w:rPr>
              <w:t>(2)</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used for investing activities</w:t>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change in debt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shareholders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stock repurchased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noncontrolling interests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provided by\(used for) financing activities</w:t>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January 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Cash, cash equivalents and restricted cash at June 30 </w:t>
            </w:r>
            <w:r>
              <w:rPr>
                <w:rFonts w:ascii="Times New Roman;sans-serif" w:hAnsi="Times New Roman;sans-serif"/>
                <w:b/>
                <w:color w:val="000000"/>
                <w:sz w:val="13"/>
              </w:rPr>
              <w:t>(1)</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526</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and cash equivalents include $96 million and $88 million of restricted cash at June 30, 2023 and 2022.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Working capital changes and other includes $27 million of the total $83 million distribution received from our European tinplate equity method investment in 2023.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is defined by the Company as net cash from operating activities less capital expenditures and certain other items. A reconciliation of net cash from operating activities to adjusted free cash flow for the three and six months ended June 30, 2023 and 2022 follows. </w:t>
      </w:r>
    </w:p>
    <w:p>
      <w:pPr>
        <w:pStyle w:val="TextBody"/>
        <w:bidi w:val="0"/>
        <w:spacing w:before="0" w:after="0"/>
        <w:jc w:val="left"/>
        <w:rPr/>
      </w:pPr>
      <w:r>
        <w:rPr/>
      </w:r>
    </w:p>
    <w:p>
      <w:pPr>
        <w:pStyle w:val="TextBody"/>
        <w:bidi w:val="0"/>
        <w:spacing w:before="0" w:after="0"/>
        <w:jc w:val="left"/>
        <w:rPr/>
      </w:pPr>
      <w:r>
        <w:rPr/>
      </w:r>
    </w:p>
    <w:tbl>
      <w:tblPr>
        <w:tblW w:w="8944" w:type="dxa"/>
        <w:jc w:val="left"/>
        <w:tblInd w:w="0" w:type="dxa"/>
        <w:tblLayout w:type="fixed"/>
        <w:tblCellMar>
          <w:top w:w="28" w:type="dxa"/>
          <w:left w:w="28" w:type="dxa"/>
          <w:bottom w:w="28" w:type="dxa"/>
          <w:right w:w="28" w:type="dxa"/>
        </w:tblCellMar>
      </w:tblPr>
      <w:tblGrid>
        <w:gridCol w:w="1290"/>
        <w:gridCol w:w="1136"/>
        <w:gridCol w:w="1143"/>
        <w:gridCol w:w="287"/>
        <w:gridCol w:w="654"/>
        <w:gridCol w:w="148"/>
        <w:gridCol w:w="148"/>
        <w:gridCol w:w="148"/>
        <w:gridCol w:w="148"/>
        <w:gridCol w:w="287"/>
        <w:gridCol w:w="654"/>
        <w:gridCol w:w="148"/>
        <w:gridCol w:w="109"/>
        <w:gridCol w:w="109"/>
        <w:gridCol w:w="109"/>
        <w:gridCol w:w="244"/>
        <w:gridCol w:w="628"/>
        <w:gridCol w:w="126"/>
        <w:gridCol w:w="126"/>
        <w:gridCol w:w="126"/>
        <w:gridCol w:w="126"/>
        <w:gridCol w:w="244"/>
        <w:gridCol w:w="628"/>
        <w:gridCol w:w="178"/>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2753" w:type="dxa"/>
            <w:gridSpan w:val="1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497</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U.K. pension settlement </w:t>
            </w:r>
            <w:r>
              <w:rPr>
                <w:rFonts w:ascii="Times New Roman;sans-serif" w:hAnsi="Times New Roman;sans-serif"/>
                <w:b w:val="false"/>
                <w:color w:val="000000"/>
                <w:sz w:val="13"/>
              </w:rPr>
              <w:t>(3)</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included in investing activities </w:t>
            </w:r>
            <w:r>
              <w:rPr>
                <w:rFonts w:ascii="Times New Roman;sans-serif" w:hAnsi="Times New Roman;sans-serif"/>
                <w:b w:val="false"/>
                <w:color w:val="000000"/>
                <w:sz w:val="13"/>
              </w:rPr>
              <w:t>(4)</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Insurance receivable </w:t>
            </w:r>
            <w:r>
              <w:rPr>
                <w:rFonts w:ascii="Times New Roman;sans-serif" w:hAnsi="Times New Roman;sans-serif"/>
                <w:b w:val="false"/>
                <w:color w:val="000000"/>
                <w:sz w:val="13"/>
              </w:rPr>
              <w:t>(5)</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w:t>
            </w:r>
            <w:r>
              <w:rPr>
                <w:color w:val="000000"/>
              </w:rPr>
              <w:t>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w:t>
            </w:r>
            <w:r>
              <w:rPr>
                <w:color w:val="000000"/>
              </w:rPr>
              <w:t>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(172)</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 September 2021, the Company made a contribution of £196 million to its U.K. defined pension plan in advance of a full settlement of the plan’s obligations in November 2021. The Company has been repaid £103 million of the contribution as of June 30, 2023 and expects to receive another £24 million as the plan sells its remaining illiquid assets.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Interest benefit of cross currency swaps included in investing activities.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Insurance proceeds received in the first six months of 2023 related to the December 2021 tornado at the Bowling Green plant.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10</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u w:val="single"/>
        </w:rPr>
        <w:t>Impact of Foreign Currency Translation – Favorable/(Unfavorable)</w:t>
      </w:r>
      <w:r>
        <w:rPr>
          <w:color w:val="000000"/>
        </w:rPr>
        <w:t xml:space="preserve"> </w:t>
      </w:r>
      <w:r>
        <w:rPr>
          <w:rFonts w:ascii="Times New Roman;sans-serif" w:hAnsi="Times New Roman;sans-serif"/>
          <w:b/>
          <w:color w:val="000000"/>
          <w:sz w:val="13"/>
        </w:rPr>
        <w:t>(1)</w:t>
      </w:r>
    </w:p>
    <w:p>
      <w:pPr>
        <w:pStyle w:val="TextBody"/>
        <w:bidi w:val="0"/>
        <w:spacing w:before="0" w:after="0"/>
        <w:jc w:val="left"/>
        <w:rPr/>
      </w:pPr>
      <w:r>
        <w:rPr/>
      </w:r>
    </w:p>
    <w:tbl>
      <w:tblPr>
        <w:tblW w:w="8307" w:type="dxa"/>
        <w:jc w:val="left"/>
        <w:tblInd w:w="0" w:type="dxa"/>
        <w:tblLayout w:type="fixed"/>
        <w:tblCellMar>
          <w:top w:w="28" w:type="dxa"/>
          <w:left w:w="28" w:type="dxa"/>
          <w:bottom w:w="28" w:type="dxa"/>
          <w:right w:w="28" w:type="dxa"/>
        </w:tblCellMar>
      </w:tblPr>
      <w:tblGrid>
        <w:gridCol w:w="631"/>
        <w:gridCol w:w="554"/>
        <w:gridCol w:w="555"/>
        <w:gridCol w:w="264"/>
        <w:gridCol w:w="471"/>
        <w:gridCol w:w="135"/>
        <w:gridCol w:w="126"/>
        <w:gridCol w:w="126"/>
        <w:gridCol w:w="126"/>
        <w:gridCol w:w="534"/>
        <w:gridCol w:w="686"/>
        <w:gridCol w:w="279"/>
        <w:gridCol w:w="109"/>
        <w:gridCol w:w="109"/>
        <w:gridCol w:w="109"/>
        <w:gridCol w:w="290"/>
        <w:gridCol w:w="599"/>
        <w:gridCol w:w="149"/>
        <w:gridCol w:w="149"/>
        <w:gridCol w:w="149"/>
        <w:gridCol w:w="149"/>
        <w:gridCol w:w="486"/>
        <w:gridCol w:w="763"/>
        <w:gridCol w:w="250"/>
        <w:gridCol w:w="149"/>
        <w:gridCol w:w="149"/>
        <w:gridCol w:w="211"/>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Segment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Segment Income</w:t>
            </w:r>
          </w:p>
        </w:tc>
        <w:tc>
          <w:tcPr>
            <w:tcW w:w="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73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73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73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ans-serif" w:hAnsi="Times New Roman;sans-serif"/>
                <w:b/>
                <w:color w:val="000000"/>
                <w:sz w:val="20"/>
              </w:rPr>
              <w:t>11</w:t>
            </w:r>
            <w:r>
              <w:rPr>
                <w:color w:val="000000"/>
              </w:rPr>
              <w:t>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ans-serif" w:hAnsi="Times New Roman;sans-serif"/>
                <w:b/>
                <w:color w:val="000000"/>
                <w:sz w:val="20"/>
              </w:rPr>
              <w:t>3</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 </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Adjusted EBITDA and Adjusted Net Leverage Ratio</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8"/>
        <w:gridCol w:w="746"/>
        <w:gridCol w:w="748"/>
        <w:gridCol w:w="251"/>
        <w:gridCol w:w="573"/>
        <w:gridCol w:w="129"/>
        <w:gridCol w:w="109"/>
        <w:gridCol w:w="109"/>
        <w:gridCol w:w="109"/>
        <w:gridCol w:w="368"/>
        <w:gridCol w:w="841"/>
        <w:gridCol w:w="190"/>
        <w:gridCol w:w="109"/>
        <w:gridCol w:w="109"/>
        <w:gridCol w:w="109"/>
        <w:gridCol w:w="302"/>
        <w:gridCol w:w="904"/>
        <w:gridCol w:w="156"/>
        <w:gridCol w:w="109"/>
        <w:gridCol w:w="109"/>
        <w:gridCol w:w="109"/>
        <w:gridCol w:w="667"/>
        <w:gridCol w:w="1997"/>
        <w:gridCol w:w="494"/>
      </w:tblGrid>
      <w:tr>
        <w:trPr/>
        <w:tc>
          <w:tcPr>
            <w:tcW w:w="85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YTD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YTD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June 30, 2023</w:t>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636</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810</w:t>
            </w: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1,336</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1,162</w:t>
            </w:r>
            <w:r>
              <w:rPr>
                <w:color w:val="000000"/>
              </w:rPr>
              <w:t>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8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8"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8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8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8"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901</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967</w:t>
            </w: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1,744</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1,678</w:t>
            </w:r>
            <w:r>
              <w:rPr>
                <w:color w:val="000000"/>
              </w:rPr>
              <w:t>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w:t>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debt </w:t>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6,427</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6,685</w:t>
            </w:r>
            <w:r>
              <w:rPr>
                <w:color w:val="000000"/>
              </w:rPr>
              <w:t>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leverage ratio</w:t>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3.69x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 of 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4374</Words>
  <Characters>23382</Characters>
  <CharactersWithSpaces>27402</CharactersWithSpaces>
  <Paragraphs>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