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820" w:type="dxa"/>
        <w:tblCellMar>
          <w:top w:w="0" w:type="dxa"/>
          <w:left w:w="0" w:type="dxa"/>
          <w:bottom w:w="0" w:type="dxa"/>
          <w:right w:w="0" w:type="dxa"/>
        </w:tblCellMar>
      </w:tblPr>
      <w:tr>
        <w:trPr>
          <w:trHeight w:val="212"/>
        </w:trPr>
        <w:tc>
          <w:tcPr>
            <w:tcW w:w="3220" w:type="dxa"/>
            <w:vAlign w:val="bottom"/>
          </w:tcPr>
          <w:p>
            <w:pPr>
              <w:jc w:val="center"/>
              <w:ind w:right="1042"/>
              <w:spacing w:after="0"/>
              <w:rPr>
                <w:sz w:val="20"/>
                <w:szCs w:val="20"/>
                <w:color w:val="auto"/>
              </w:rPr>
            </w:pPr>
            <w:r>
              <w:rPr>
                <w:rFonts w:ascii="Arial" w:cs="Arial" w:eastAsia="Arial" w:hAnsi="Arial"/>
                <w:sz w:val="18"/>
                <w:szCs w:val="18"/>
                <w:b w:val="1"/>
                <w:bCs w:val="1"/>
                <w:color w:val="auto"/>
                <w:w w:val="88"/>
              </w:rPr>
              <w:t>Pennsylvania</w:t>
            </w:r>
          </w:p>
        </w:tc>
        <w:tc>
          <w:tcPr>
            <w:tcW w:w="3300" w:type="dxa"/>
            <w:vAlign w:val="bottom"/>
          </w:tcPr>
          <w:p>
            <w:pPr>
              <w:jc w:val="center"/>
              <w:ind w:right="142"/>
              <w:spacing w:after="0"/>
              <w:rPr>
                <w:sz w:val="20"/>
                <w:szCs w:val="20"/>
                <w:color w:val="auto"/>
              </w:rPr>
            </w:pPr>
            <w:r>
              <w:rPr>
                <w:rFonts w:ascii="Arial" w:cs="Arial" w:eastAsia="Arial" w:hAnsi="Arial"/>
                <w:sz w:val="18"/>
                <w:szCs w:val="18"/>
                <w:b w:val="1"/>
                <w:bCs w:val="1"/>
                <w:color w:val="auto"/>
                <w:w w:val="90"/>
              </w:rPr>
              <w:t>0-50189</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220" w:type="dxa"/>
            <w:vAlign w:val="bottom"/>
          </w:tcPr>
          <w:p>
            <w:pPr>
              <w:jc w:val="center"/>
              <w:ind w:right="106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30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1062"/>
              <w:spacing w:after="0"/>
              <w:rPr>
                <w:sz w:val="20"/>
                <w:szCs w:val="20"/>
                <w:color w:val="auto"/>
              </w:rPr>
            </w:pPr>
            <w:r>
              <w:rPr>
                <w:rFonts w:ascii="Arial" w:cs="Arial" w:eastAsia="Arial" w:hAnsi="Arial"/>
                <w:sz w:val="14"/>
                <w:szCs w:val="14"/>
                <w:b w:val="1"/>
                <w:bCs w:val="1"/>
                <w:color w:val="auto"/>
                <w:w w:val="94"/>
              </w:rPr>
              <w:t>of Incorporation or Organization)</w:t>
            </w:r>
          </w:p>
        </w:tc>
        <w:tc>
          <w:tcPr>
            <w:tcW w:w="3300" w:type="dxa"/>
            <w:vAlign w:val="bottom"/>
          </w:tcPr>
          <w:p>
            <w:pPr>
              <w:jc w:val="center"/>
              <w:ind w:right="142"/>
              <w:spacing w:after="0"/>
              <w:rPr>
                <w:sz w:val="20"/>
                <w:szCs w:val="20"/>
                <w:color w:val="auto"/>
              </w:rPr>
            </w:pPr>
            <w:r>
              <w:rPr>
                <w:rFonts w:ascii="Arial" w:cs="Arial" w:eastAsia="Arial" w:hAnsi="Arial"/>
                <w:sz w:val="14"/>
                <w:szCs w:val="14"/>
                <w:b w:val="1"/>
                <w:bCs w:val="1"/>
                <w:color w:val="auto"/>
                <w:w w:val="98"/>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tbl>
      <w:tblPr>
        <w:tblLayout w:type="fixed"/>
        <w:tblInd w:w="20" w:type="dxa"/>
        <w:tblCellMar>
          <w:top w:w="0" w:type="dxa"/>
          <w:left w:w="0" w:type="dxa"/>
          <w:bottom w:w="0" w:type="dxa"/>
          <w:right w:w="0" w:type="dxa"/>
        </w:tblCellMar>
      </w:tblPr>
      <w:tr>
        <w:trPr>
          <w:trHeight w:val="153"/>
        </w:trPr>
        <w:tc>
          <w:tcPr>
            <w:tcW w:w="4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40" w:type="dxa"/>
            <w:vAlign w:val="bottom"/>
          </w:tcPr>
          <w:p>
            <w:pPr>
              <w:spacing w:after="0"/>
              <w:rPr>
                <w:sz w:val="13"/>
                <w:szCs w:val="13"/>
                <w:color w:val="auto"/>
              </w:rPr>
            </w:pPr>
          </w:p>
        </w:tc>
        <w:tc>
          <w:tcPr>
            <w:tcW w:w="1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Trading</w:t>
            </w:r>
          </w:p>
        </w:tc>
        <w:tc>
          <w:tcPr>
            <w:tcW w:w="580" w:type="dxa"/>
            <w:vAlign w:val="bottom"/>
          </w:tcPr>
          <w:p>
            <w:pPr>
              <w:spacing w:after="0"/>
              <w:rPr>
                <w:sz w:val="13"/>
                <w:szCs w:val="13"/>
                <w:color w:val="auto"/>
              </w:rPr>
            </w:pPr>
          </w:p>
        </w:tc>
        <w:tc>
          <w:tcPr>
            <w:tcW w:w="4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580" w:type="dxa"/>
            <w:vAlign w:val="bottom"/>
          </w:tcPr>
          <w:p>
            <w:pPr>
              <w:spacing w:after="0"/>
              <w:rPr>
                <w:sz w:val="14"/>
                <w:szCs w:val="14"/>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4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540" w:type="dxa"/>
            <w:vAlign w:val="bottom"/>
          </w:tcPr>
          <w:p>
            <w:pPr>
              <w:spacing w:after="0"/>
              <w:rPr>
                <w:sz w:val="16"/>
                <w:szCs w:val="16"/>
                <w:color w:val="auto"/>
              </w:rPr>
            </w:pPr>
          </w:p>
        </w:tc>
        <w:tc>
          <w:tcPr>
            <w:tcW w:w="1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580" w:type="dxa"/>
            <w:vAlign w:val="bottom"/>
          </w:tcPr>
          <w:p>
            <w:pPr>
              <w:spacing w:after="0"/>
              <w:rPr>
                <w:sz w:val="16"/>
                <w:szCs w:val="16"/>
                <w:color w:val="auto"/>
              </w:rPr>
            </w:pPr>
          </w:p>
        </w:tc>
        <w:tc>
          <w:tcPr>
            <w:tcW w:w="4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7 3/8% Debentures Due 2026</w:t>
            </w:r>
          </w:p>
        </w:tc>
        <w:tc>
          <w:tcPr>
            <w:tcW w:w="5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CCK26</w:t>
            </w:r>
          </w:p>
        </w:tc>
        <w:tc>
          <w:tcPr>
            <w:tcW w:w="58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7 1/2% Debentures Due 2096</w:t>
            </w:r>
          </w:p>
        </w:tc>
        <w:tc>
          <w:tcPr>
            <w:tcW w:w="5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CCK96</w:t>
            </w:r>
          </w:p>
        </w:tc>
        <w:tc>
          <w:tcPr>
            <w:tcW w:w="5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35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17"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SECTION 1 – REGISTRANT’S BUSINESS AND OPERATIONS</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hereby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October 31, 2019,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completed its note offering of €550,000,000 aggregate principal amount of 0.750% senior unsecured notes due 2023 (the “</w:t>
      </w:r>
      <w:r>
        <w:rPr>
          <w:rFonts w:ascii="Arial" w:cs="Arial" w:eastAsia="Arial" w:hAnsi="Arial"/>
          <w:sz w:val="17"/>
          <w:szCs w:val="17"/>
          <w:u w:val="single" w:color="auto"/>
          <w:color w:val="auto"/>
        </w:rPr>
        <w:t>Offering</w:t>
      </w:r>
      <w:r>
        <w:rPr>
          <w:rFonts w:ascii="Arial" w:cs="Arial" w:eastAsia="Arial" w:hAnsi="Arial"/>
          <w:sz w:val="17"/>
          <w:szCs w:val="17"/>
          <w:color w:val="auto"/>
        </w:rPr>
        <w:t>”). In connection with the Offering, Crown European Holdings S.A., a wholly-owned subsidiary of the Company (the “</w:t>
      </w:r>
      <w:r>
        <w:rPr>
          <w:rFonts w:ascii="Arial" w:cs="Arial" w:eastAsia="Arial" w:hAnsi="Arial"/>
          <w:sz w:val="17"/>
          <w:szCs w:val="17"/>
          <w:u w:val="single" w:color="auto"/>
          <w:color w:val="auto"/>
        </w:rPr>
        <w:t>Issuer</w:t>
      </w:r>
      <w:r>
        <w:rPr>
          <w:rFonts w:ascii="Arial" w:cs="Arial" w:eastAsia="Arial" w:hAnsi="Arial"/>
          <w:sz w:val="17"/>
          <w:szCs w:val="17"/>
          <w:color w:val="auto"/>
        </w:rPr>
        <w:t>”), issued €550,000,000 aggregate principal amount of 0.750% senior unsecured notes due 2023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Notes will mature on February 15, 2023 and will accrue interest at a rate of 0.750% per year. Interest on the Notes will be payable semi-annually on February 15 and August 15 of each year, beginning on August 15, 2020. The Issuer may redeem some or all of the Notes at any time prior to January 15, 2023 by paying 100% of the principal amount, plus accrued and unpaid interest, if any, to the redemption date, and a make-whole premium.</w:t>
      </w:r>
    </w:p>
    <w:p>
      <w:pPr>
        <w:spacing w:after="0" w:line="12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Notes were sold in a private placement and resold by the initial purchasers to qualified institutional buyers pursuant to Rule 144A promulgated under the Securities Act of 1933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 The net proceeds from the Offering, together with cash on hand, will be used to pay down a portion of the outstanding Euro Term B Facility under the Company’s credit agreement and to pay related fees and expenses.</w:t>
      </w:r>
    </w:p>
    <w:p>
      <w:pPr>
        <w:spacing w:after="0" w:line="1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the repurchase date.</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England, France, Germany, Luxembourg, Mexico, the Netherlands, Spain and Switzerland that are obligors under the Company’s senior secured credit facilities or that guarantees or otherwise becomes liable with respect to any other indebtedness of the Company, the Issuer or another guarantor, and subject to applicable law and exceptions, each of the Issuer’s subsidiaries that guarantees or otherwise becomes liable with respect to any indebtedness of the Company, the Issuer or another guarantor or is otherwise an obligor under the Company’s senior secured credit facilities.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have been issued under an indenture with U.S. Bank National Association as trustee. The indenture governing the Notes contain covenants that will limit the ability of the Company and the ability of its subsidiaries (including the Issuers) to, among other things, create liens, engage in sale and leaseback transactions or merge or consolidate with or into other companies. If an event of default, as specified in the indentures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pacing w:after="0" w:line="153" w:lineRule="exact"/>
        <w:rPr>
          <w:sz w:val="20"/>
          <w:szCs w:val="20"/>
          <w:color w:val="auto"/>
        </w:rPr>
      </w:pPr>
    </w:p>
    <w:p>
      <w:pPr>
        <w:ind w:right="2060"/>
        <w:spacing w:after="0" w:line="461" w:lineRule="auto"/>
        <w:rPr>
          <w:sz w:val="20"/>
          <w:szCs w:val="20"/>
          <w:color w:val="auto"/>
        </w:rPr>
      </w:pPr>
      <w:r>
        <w:rPr>
          <w:rFonts w:ascii="Arial" w:cs="Arial" w:eastAsia="Arial" w:hAnsi="Arial"/>
          <w:sz w:val="18"/>
          <w:szCs w:val="18"/>
          <w:color w:val="auto"/>
        </w:rPr>
        <w:t xml:space="preserve">The description set forth above is qualified in its entirety by the indenture governing the Notes filed herewith as Exhibit 4.1. </w:t>
      </w:r>
      <w:r>
        <w:rPr>
          <w:rFonts w:ascii="Arial" w:cs="Arial" w:eastAsia="Arial" w:hAnsi="Arial"/>
          <w:sz w:val="18"/>
          <w:szCs w:val="18"/>
          <w:b w:val="1"/>
          <w:bCs w:val="1"/>
          <w:color w:val="auto"/>
        </w:rPr>
        <w:t>Cautionary Note Regarding Forward-Looking Statements</w:t>
      </w:r>
    </w:p>
    <w:p>
      <w:pPr>
        <w:spacing w:after="0" w:line="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w:t>
      </w:r>
    </w:p>
    <w:p>
      <w:pPr>
        <w:sectPr>
          <w:pgSz w:w="11900" w:h="16838" w:orient="portrait"/>
          <w:cols w:equalWidth="0" w:num="1">
            <w:col w:w="11000"/>
          </w:cols>
          <w:pgMar w:left="440" w:top="297" w:right="459" w:bottom="1440" w:gutter="0" w:footer="0" w:header="0"/>
        </w:sectPr>
      </w:pPr>
    </w:p>
    <w:bookmarkStart w:id="2" w:name="page3"/>
    <w:bookmarkEnd w:id="2"/>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review or revise any particular forward-looking statement in light of future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8" w:lineRule="exact"/>
        <w:rPr>
          <w:sz w:val="20"/>
          <w:szCs w:val="20"/>
          <w:color w:val="auto"/>
        </w:rPr>
      </w:pPr>
    </w:p>
    <w:p>
      <w:pPr>
        <w:ind w:left="1300" w:hanging="648"/>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39" w:lineRule="exact"/>
        <w:rPr>
          <w:sz w:val="20"/>
          <w:szCs w:val="20"/>
          <w:color w:val="auto"/>
        </w:rPr>
      </w:pPr>
    </w:p>
    <w:p>
      <w:pPr>
        <w:ind w:left="1400" w:hanging="1350"/>
        <w:spacing w:after="0" w:line="312" w:lineRule="auto"/>
        <w:tabs>
          <w:tab w:leader="none" w:pos="1380" w:val="left"/>
        </w:tabs>
        <w:rPr>
          <w:rFonts w:ascii="Arial" w:cs="Arial" w:eastAsia="Arial" w:hAnsi="Arial"/>
          <w:sz w:val="16"/>
          <w:szCs w:val="16"/>
          <w:u w:val="single" w:color="auto"/>
          <w:color w:val="0000EE"/>
        </w:rPr>
      </w:pPr>
      <w:r>
        <w:rPr>
          <w:rFonts w:ascii="Arial" w:cs="Arial" w:eastAsia="Arial" w:hAnsi="Arial"/>
          <w:sz w:val="18"/>
          <w:szCs w:val="18"/>
          <w:color w:val="auto"/>
        </w:rPr>
        <w:t>Exhibit 4.1</w:t>
      </w:r>
      <w:r>
        <w:rPr>
          <w:sz w:val="20"/>
          <w:szCs w:val="20"/>
          <w:color w:val="auto"/>
        </w:rPr>
        <w:tab/>
      </w:r>
      <w:hyperlink w:anchor="page5">
        <w:r>
          <w:rPr>
            <w:rFonts w:ascii="Arial" w:cs="Arial" w:eastAsia="Arial" w:hAnsi="Arial"/>
            <w:sz w:val="16"/>
            <w:szCs w:val="16"/>
            <w:u w:val="single" w:color="auto"/>
            <w:color w:val="0000EE"/>
          </w:rPr>
          <w:t>Indenture, dated as of October 31, 2019, among the Issuer, the Company, the other guarantors party thereto, BNP Paribas, as</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representative of the several initial purchases party thereto, U.S. Bank National Association, as Trustee, Elavon Financial Services</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DAC, as paying agent, registrar and transfer agent, relating to the €550,000,000 0.750% senior unsecured notes due 2023.</w:t>
        </w:r>
      </w:hyperlink>
    </w:p>
    <w:p>
      <w:pPr>
        <w:spacing w:after="0" w:line="147" w:lineRule="exact"/>
        <w:rPr>
          <w:rFonts w:ascii="Arial" w:cs="Arial" w:eastAsia="Arial" w:hAnsi="Arial"/>
          <w:sz w:val="16"/>
          <w:szCs w:val="16"/>
          <w:u w:val="single" w:color="auto"/>
          <w:color w:val="0000EE"/>
        </w:rPr>
      </w:pPr>
    </w:p>
    <w:p>
      <w:pPr>
        <w:ind w:left="60"/>
        <w:spacing w:after="0"/>
        <w:tabs>
          <w:tab w:leader="none" w:pos="13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800"/>
          </w:cols>
          <w:pgMar w:left="440" w:top="301"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189"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2019</w:t>
      </w:r>
    </w:p>
    <w:p>
      <w:pPr>
        <w:spacing w:after="0" w:line="1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08" w:lineRule="exact"/>
        <w:rPr>
          <w:sz w:val="20"/>
          <w:szCs w:val="20"/>
          <w:color w:val="auto"/>
        </w:rPr>
      </w:pPr>
    </w:p>
    <w:tbl>
      <w:tblPr>
        <w:tblLayout w:type="fixed"/>
        <w:tblInd w:w="66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c>
          <w:tcPr>
            <w:tcW w:w="300" w:type="dxa"/>
            <w:vAlign w:val="bottom"/>
          </w:tcPr>
          <w:p>
            <w:pPr>
              <w:spacing w:after="0"/>
              <w:rPr>
                <w:sz w:val="17"/>
                <w:szCs w:val="17"/>
                <w:color w:val="auto"/>
              </w:rPr>
            </w:pPr>
          </w:p>
        </w:tc>
      </w:tr>
      <w:tr>
        <w:trPr>
          <w:trHeight w:val="236"/>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2900" w:type="dxa"/>
            <w:vAlign w:val="bottom"/>
            <w:gridSpan w:val="2"/>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gridSpan w:val="2"/>
          </w:tcPr>
          <w:p>
            <w:pPr>
              <w:spacing w:after="0"/>
              <w:rPr>
                <w:sz w:val="20"/>
                <w:szCs w:val="20"/>
                <w:color w:val="auto"/>
              </w:rPr>
            </w:pPr>
            <w:r>
              <w:rPr>
                <w:rFonts w:ascii="Arial" w:cs="Arial" w:eastAsia="Arial" w:hAnsi="Arial"/>
                <w:sz w:val="18"/>
                <w:szCs w:val="18"/>
                <w:color w:val="auto"/>
                <w:w w:val="90"/>
              </w:rPr>
              <w:t>Vice President and Corporate Controller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1606550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1623695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CROWN EUROPEAN HOLDINGS S.A.</w:t>
      </w: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as Issuer</w:t>
      </w:r>
    </w:p>
    <w:p>
      <w:pPr>
        <w:spacing w:after="0" w:line="200" w:lineRule="exact"/>
        <w:rPr>
          <w:sz w:val="20"/>
          <w:szCs w:val="20"/>
          <w:color w:val="auto"/>
        </w:rPr>
      </w:pPr>
    </w:p>
    <w:p>
      <w:pPr>
        <w:spacing w:after="0" w:line="22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the Guarantors named herein</w:t>
      </w:r>
    </w:p>
    <w:p>
      <w:pPr>
        <w:spacing w:after="0" w:line="200" w:lineRule="exact"/>
        <w:rPr>
          <w:sz w:val="20"/>
          <w:szCs w:val="20"/>
          <w:color w:val="auto"/>
        </w:rPr>
      </w:pPr>
    </w:p>
    <w:p>
      <w:pPr>
        <w:spacing w:after="0" w:line="222"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U.S. BANK NATIONAL ASSOCIATION</w:t>
      </w:r>
    </w:p>
    <w:p>
      <w:pPr>
        <w:spacing w:after="0" w:line="314"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as Trustee</w:t>
      </w:r>
    </w:p>
    <w:p>
      <w:pPr>
        <w:spacing w:after="0" w:line="314" w:lineRule="exact"/>
        <w:rPr>
          <w:sz w:val="20"/>
          <w:szCs w:val="20"/>
          <w:color w:val="auto"/>
        </w:rPr>
      </w:pPr>
    </w:p>
    <w:p>
      <w:pPr>
        <w:jc w:val="center"/>
        <w:ind w:right="1000"/>
        <w:spacing w:after="0"/>
        <w:rPr>
          <w:sz w:val="20"/>
          <w:szCs w:val="20"/>
          <w:color w:val="auto"/>
        </w:rPr>
      </w:pPr>
      <w:r>
        <w:rPr>
          <w:rFonts w:ascii="Arial" w:cs="Arial" w:eastAsia="Arial" w:hAnsi="Arial"/>
          <w:sz w:val="22"/>
          <w:szCs w:val="22"/>
          <w:color w:val="auto"/>
        </w:rPr>
        <w:t>ELAVON FINANCIAL SERVICES DAC</w:t>
      </w:r>
    </w:p>
    <w:p>
      <w:pPr>
        <w:spacing w:after="0" w:line="31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as Paying Agent, 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401955</wp:posOffset>
            </wp:positionV>
            <wp:extent cx="258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INDENTURE</w:t>
      </w: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Dated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230505</wp:posOffset>
            </wp:positionV>
            <wp:extent cx="258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0.750%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333375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350520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1593850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1610995</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12"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22"/>
                <w:szCs w:val="22"/>
                <w:color w:val="auto"/>
              </w:rPr>
              <w:t>TIA</w:t>
            </w:r>
          </w:p>
        </w:tc>
        <w:tc>
          <w:tcPr>
            <w:tcW w:w="1700" w:type="dxa"/>
            <w:vAlign w:val="bottom"/>
          </w:tcPr>
          <w:p>
            <w:pPr>
              <w:spacing w:after="0"/>
              <w:rPr>
                <w:sz w:val="23"/>
                <w:szCs w:val="23"/>
                <w:color w:val="auto"/>
              </w:rPr>
            </w:pPr>
          </w:p>
        </w:tc>
        <w:tc>
          <w:tcPr>
            <w:tcW w:w="6640" w:type="dxa"/>
            <w:vAlign w:val="bottom"/>
          </w:tcPr>
          <w:p>
            <w:pPr>
              <w:ind w:left="1520"/>
              <w:spacing w:after="0"/>
              <w:rPr>
                <w:sz w:val="20"/>
                <w:szCs w:val="20"/>
                <w:color w:val="auto"/>
              </w:rPr>
            </w:pPr>
            <w:r>
              <w:rPr>
                <w:rFonts w:ascii="Arial" w:cs="Arial" w:eastAsia="Arial" w:hAnsi="Arial"/>
                <w:sz w:val="22"/>
                <w:szCs w:val="22"/>
                <w:color w:val="auto"/>
              </w:rPr>
              <w:t>CROSS-REFERENCE TABLE</w:t>
            </w:r>
          </w:p>
        </w:tc>
        <w:tc>
          <w:tcPr>
            <w:tcW w:w="1760" w:type="dxa"/>
            <w:vAlign w:val="bottom"/>
            <w:gridSpan w:val="3"/>
            <w:vMerge w:val="restart"/>
          </w:tcPr>
          <w:p>
            <w:pPr>
              <w:ind w:left="100"/>
              <w:spacing w:after="0"/>
              <w:rPr>
                <w:sz w:val="20"/>
                <w:szCs w:val="20"/>
                <w:color w:val="auto"/>
              </w:rPr>
            </w:pPr>
            <w:r>
              <w:rPr>
                <w:rFonts w:ascii="Arial" w:cs="Arial" w:eastAsia="Arial" w:hAnsi="Arial"/>
                <w:sz w:val="22"/>
                <w:szCs w:val="22"/>
                <w:color w:val="auto"/>
              </w:rPr>
              <w:t>Indenture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Section</w:t>
            </w: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Section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1"/>
        </w:trPr>
        <w:tc>
          <w:tcPr>
            <w:tcW w:w="940" w:type="dxa"/>
            <w:vAlign w:val="bottom"/>
            <w:gridSpan w:val="3"/>
          </w:tcPr>
          <w:p>
            <w:pPr>
              <w:spacing w:after="0"/>
              <w:rPr>
                <w:sz w:val="20"/>
                <w:szCs w:val="20"/>
                <w:color w:val="auto"/>
              </w:rPr>
            </w:pPr>
            <w:r>
              <w:rPr>
                <w:rFonts w:ascii="Arial" w:cs="Arial" w:eastAsia="Arial" w:hAnsi="Arial"/>
                <w:sz w:val="22"/>
                <w:szCs w:val="22"/>
                <w:color w:val="auto"/>
                <w:w w:val="95"/>
              </w:rPr>
              <w:t>310 (a)(1)</w:t>
            </w:r>
          </w:p>
        </w:tc>
        <w:tc>
          <w:tcPr>
            <w:tcW w:w="17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22"/>
                <w:szCs w:val="22"/>
                <w:color w:val="auto"/>
              </w:rPr>
              <w:t>7.10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(a)(2)</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7.10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(a)(3)</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(a)(4)</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(a)(5)</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9"/>
              </w:rPr>
              <w:t>7.08; 7.10; 11.02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(b)(1)</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7.10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rPr>
              <w:t>311 (a)</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7.11</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7.11</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rPr>
              <w:t>312 (a)</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2.06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11.03</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11.03</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rPr>
              <w:t>313 (a)</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7.06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(b)(1)</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(b)(2)</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7.06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7.06; 11.02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(d)</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7.06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rPr>
              <w:t>314 (a)</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9"/>
              </w:rPr>
              <w:t>4.06; 4.16; 11.02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(c)(1)</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11.04</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(c)(2)</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11.04</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(c)(3)</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(d)</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(e)</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11.05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(f)</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rPr>
              <w:t>315 (a)</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7.01(b)</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7.05; 11.02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7.01(a)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(d)</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7.01(c)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(e)</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6.12</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80" w:type="dxa"/>
            <w:vAlign w:val="bottom"/>
            <w:gridSpan w:val="5"/>
          </w:tcPr>
          <w:p>
            <w:pPr>
              <w:spacing w:after="0" w:line="243" w:lineRule="exact"/>
              <w:rPr>
                <w:sz w:val="20"/>
                <w:szCs w:val="20"/>
                <w:color w:val="auto"/>
              </w:rPr>
            </w:pPr>
            <w:r>
              <w:rPr>
                <w:rFonts w:ascii="Arial" w:cs="Arial" w:eastAsia="Arial" w:hAnsi="Arial"/>
                <w:sz w:val="22"/>
                <w:szCs w:val="22"/>
                <w:color w:val="auto"/>
              </w:rPr>
              <w:t>316 (a) (last sentence)</w:t>
            </w: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2.10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60" w:type="dxa"/>
            <w:vAlign w:val="bottom"/>
            <w:gridSpan w:val="4"/>
          </w:tcPr>
          <w:p>
            <w:pPr>
              <w:ind w:left="360"/>
              <w:spacing w:after="0" w:line="243" w:lineRule="exact"/>
              <w:rPr>
                <w:sz w:val="20"/>
                <w:szCs w:val="20"/>
                <w:color w:val="auto"/>
              </w:rPr>
            </w:pPr>
            <w:r>
              <w:rPr>
                <w:rFonts w:ascii="Arial" w:cs="Arial" w:eastAsia="Arial" w:hAnsi="Arial"/>
                <w:sz w:val="22"/>
                <w:szCs w:val="22"/>
                <w:color w:val="auto"/>
              </w:rPr>
              <w:t>(a)(1)(A)</w:t>
            </w: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6.05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60" w:type="dxa"/>
            <w:vAlign w:val="bottom"/>
            <w:gridSpan w:val="4"/>
          </w:tcPr>
          <w:p>
            <w:pPr>
              <w:ind w:left="360"/>
              <w:spacing w:after="0" w:line="243" w:lineRule="exact"/>
              <w:rPr>
                <w:sz w:val="20"/>
                <w:szCs w:val="20"/>
                <w:color w:val="auto"/>
              </w:rPr>
            </w:pPr>
            <w:r>
              <w:rPr>
                <w:rFonts w:ascii="Arial" w:cs="Arial" w:eastAsia="Arial" w:hAnsi="Arial"/>
                <w:sz w:val="22"/>
                <w:szCs w:val="22"/>
                <w:color w:val="auto"/>
              </w:rPr>
              <w:t>(a)(1)(B)</w:t>
            </w: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6.04</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(a)(2)</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6.08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(c)</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8.04</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line="243" w:lineRule="exact"/>
              <w:rPr>
                <w:sz w:val="20"/>
                <w:szCs w:val="20"/>
                <w:color w:val="auto"/>
              </w:rPr>
            </w:pPr>
            <w:r>
              <w:rPr>
                <w:rFonts w:ascii="Arial" w:cs="Arial" w:eastAsia="Arial" w:hAnsi="Arial"/>
                <w:sz w:val="22"/>
                <w:szCs w:val="22"/>
                <w:color w:val="auto"/>
                <w:w w:val="95"/>
              </w:rPr>
              <w:t>317 (a)(1)</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6.09</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(a)(2)</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6.10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(b)</w:t>
            </w:r>
          </w:p>
        </w:tc>
        <w:tc>
          <w:tcPr>
            <w:tcW w:w="17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5"/>
              </w:rPr>
              <w:t>2.05; 7.12</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40" w:type="dxa"/>
            <w:vAlign w:val="bottom"/>
            <w:gridSpan w:val="3"/>
          </w:tcPr>
          <w:p>
            <w:pPr>
              <w:spacing w:after="0"/>
              <w:rPr>
                <w:sz w:val="20"/>
                <w:szCs w:val="20"/>
                <w:color w:val="auto"/>
              </w:rPr>
            </w:pPr>
            <w:r>
              <w:rPr>
                <w:rFonts w:ascii="Arial" w:cs="Arial" w:eastAsia="Arial" w:hAnsi="Arial"/>
                <w:sz w:val="22"/>
                <w:szCs w:val="22"/>
                <w:color w:val="auto"/>
              </w:rPr>
              <w:t>318 (a)</w:t>
            </w:r>
          </w:p>
        </w:tc>
        <w:tc>
          <w:tcPr>
            <w:tcW w:w="170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2"/>
                <w:szCs w:val="22"/>
                <w:color w:val="auto"/>
              </w:rPr>
              <w:t>11.01</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280" w:type="dxa"/>
            <w:vAlign w:val="bottom"/>
            <w:gridSpan w:val="5"/>
          </w:tcPr>
          <w:p>
            <w:pPr>
              <w:spacing w:after="0"/>
              <w:rPr>
                <w:sz w:val="20"/>
                <w:szCs w:val="20"/>
                <w:color w:val="auto"/>
              </w:rPr>
            </w:pPr>
            <w:r>
              <w:rPr>
                <w:rFonts w:ascii="Arial" w:cs="Arial" w:eastAsia="Arial" w:hAnsi="Arial"/>
                <w:sz w:val="22"/>
                <w:szCs w:val="22"/>
                <w:color w:val="auto"/>
              </w:rPr>
              <w:t>N.A. means Not Applicable</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940" w:type="dxa"/>
            <w:vAlign w:val="bottom"/>
            <w:gridSpan w:val="3"/>
          </w:tcPr>
          <w:p>
            <w:pPr>
              <w:spacing w:after="0"/>
              <w:rPr>
                <w:sz w:val="20"/>
                <w:szCs w:val="20"/>
                <w:color w:val="auto"/>
              </w:rPr>
            </w:pPr>
            <w:r>
              <w:rPr>
                <w:rFonts w:ascii="Arial" w:cs="Arial" w:eastAsia="Arial" w:hAnsi="Arial"/>
                <w:sz w:val="22"/>
                <w:szCs w:val="22"/>
                <w:color w:val="auto"/>
              </w:rPr>
              <w:t>Note:</w:t>
            </w:r>
          </w:p>
        </w:tc>
        <w:tc>
          <w:tcPr>
            <w:tcW w:w="8340" w:type="dxa"/>
            <w:vAlign w:val="bottom"/>
            <w:gridSpan w:val="2"/>
          </w:tcPr>
          <w:p>
            <w:pPr>
              <w:ind w:left="40"/>
              <w:spacing w:after="0"/>
              <w:rPr>
                <w:sz w:val="20"/>
                <w:szCs w:val="20"/>
                <w:color w:val="auto"/>
              </w:rPr>
            </w:pPr>
            <w:r>
              <w:rPr>
                <w:rFonts w:ascii="Arial" w:cs="Arial" w:eastAsia="Arial" w:hAnsi="Arial"/>
                <w:sz w:val="22"/>
                <w:szCs w:val="22"/>
                <w:color w:val="auto"/>
                <w:w w:val="88"/>
              </w:rPr>
              <w:t>This Cross-Reference Table shall not, for any purpose, be deemed to be a part of this Indenture</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6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665"/>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6"/>
          </w:tcPr>
          <w:p>
            <w:pPr>
              <w:jc w:val="center"/>
              <w:ind w:right="2740"/>
              <w:spacing w:after="0"/>
              <w:rPr>
                <w:sz w:val="20"/>
                <w:szCs w:val="20"/>
                <w:color w:val="auto"/>
              </w:rPr>
            </w:pPr>
            <w:r>
              <w:rPr>
                <w:rFonts w:ascii="Arial" w:cs="Arial" w:eastAsia="Arial" w:hAnsi="Arial"/>
                <w:sz w:val="22"/>
                <w:szCs w:val="22"/>
                <w:color w:val="auto"/>
                <w:w w:val="95"/>
              </w:rPr>
              <w:t>ARTICLE ONE</w:t>
            </w:r>
          </w:p>
        </w:tc>
        <w:tc>
          <w:tcPr>
            <w:tcW w:w="1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1"/>
          </w:tcPr>
          <w:p>
            <w:pPr>
              <w:jc w:val="center"/>
              <w:ind w:right="1080"/>
              <w:spacing w:after="0"/>
              <w:rPr>
                <w:sz w:val="20"/>
                <w:szCs w:val="20"/>
                <w:color w:val="auto"/>
              </w:rPr>
            </w:pPr>
            <w:r>
              <w:rPr>
                <w:rFonts w:ascii="Arial" w:cs="Arial" w:eastAsia="Arial" w:hAnsi="Arial"/>
                <w:sz w:val="22"/>
                <w:szCs w:val="22"/>
                <w:color w:val="auto"/>
                <w:w w:val="94"/>
              </w:rPr>
              <w:t>DEFINITIONS AND INCORPORATION BY REFERENCE</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420" w:type="dxa"/>
            <w:vAlign w:val="bottom"/>
            <w:gridSpan w:val="2"/>
          </w:tcPr>
          <w:p>
            <w:pPr>
              <w:spacing w:after="0"/>
              <w:rPr>
                <w:sz w:val="20"/>
                <w:szCs w:val="20"/>
                <w:color w:val="auto"/>
              </w:rPr>
            </w:pPr>
            <w:r>
              <w:rPr>
                <w:rFonts w:ascii="Arial" w:cs="Arial" w:eastAsia="Arial" w:hAnsi="Arial"/>
                <w:sz w:val="22"/>
                <w:szCs w:val="22"/>
                <w:color w:val="auto"/>
                <w:w w:val="91"/>
              </w:rPr>
              <w:t>SECTION 1.01.</w:t>
            </w: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3"/>
              </w:rPr>
              <w:t>Definitions</w:t>
            </w:r>
          </w:p>
        </w:tc>
        <w:tc>
          <w:tcPr>
            <w:tcW w:w="6740" w:type="dxa"/>
            <w:vAlign w:val="bottom"/>
            <w:gridSpan w:val="22"/>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1.02.  Incorporation by Reference of Trust Indenture Act</w:t>
            </w: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1.03.  Rules of Construction</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6"/>
          </w:tcPr>
          <w:p>
            <w:pPr>
              <w:jc w:val="center"/>
              <w:ind w:right="2740"/>
              <w:spacing w:after="0"/>
              <w:rPr>
                <w:sz w:val="20"/>
                <w:szCs w:val="20"/>
                <w:color w:val="auto"/>
              </w:rPr>
            </w:pPr>
            <w:r>
              <w:rPr>
                <w:rFonts w:ascii="Arial" w:cs="Arial" w:eastAsia="Arial" w:hAnsi="Arial"/>
                <w:sz w:val="22"/>
                <w:szCs w:val="22"/>
                <w:color w:val="auto"/>
                <w:w w:val="95"/>
              </w:rPr>
              <w:t>ARTICLE TWO</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6"/>
          </w:tcPr>
          <w:p>
            <w:pPr>
              <w:jc w:val="center"/>
              <w:ind w:right="2720"/>
              <w:spacing w:after="0"/>
              <w:rPr>
                <w:sz w:val="20"/>
                <w:szCs w:val="20"/>
                <w:color w:val="auto"/>
              </w:rPr>
            </w:pPr>
            <w:r>
              <w:rPr>
                <w:rFonts w:ascii="Arial" w:cs="Arial" w:eastAsia="Arial" w:hAnsi="Arial"/>
                <w:sz w:val="22"/>
                <w:szCs w:val="22"/>
                <w:color w:val="auto"/>
                <w:w w:val="93"/>
              </w:rPr>
              <w:t>THE SECURITIES</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420" w:type="dxa"/>
            <w:vAlign w:val="bottom"/>
            <w:gridSpan w:val="2"/>
          </w:tcPr>
          <w:p>
            <w:pPr>
              <w:spacing w:after="0"/>
              <w:rPr>
                <w:sz w:val="20"/>
                <w:szCs w:val="20"/>
                <w:color w:val="auto"/>
              </w:rPr>
            </w:pPr>
            <w:r>
              <w:rPr>
                <w:rFonts w:ascii="Arial" w:cs="Arial" w:eastAsia="Arial" w:hAnsi="Arial"/>
                <w:sz w:val="22"/>
                <w:szCs w:val="22"/>
                <w:color w:val="auto"/>
                <w:w w:val="91"/>
              </w:rPr>
              <w:t>SECTION 2.01.</w:t>
            </w:r>
          </w:p>
        </w:tc>
        <w:tc>
          <w:tcPr>
            <w:tcW w:w="7920" w:type="dxa"/>
            <w:vAlign w:val="bottom"/>
            <w:gridSpan w:val="23"/>
          </w:tcPr>
          <w:p>
            <w:pPr>
              <w:ind w:left="180"/>
              <w:spacing w:after="0"/>
              <w:rPr>
                <w:sz w:val="20"/>
                <w:szCs w:val="20"/>
                <w:color w:val="auto"/>
              </w:rPr>
            </w:pPr>
            <w:r>
              <w:rPr>
                <w:rFonts w:ascii="Arial" w:cs="Arial" w:eastAsia="Arial" w:hAnsi="Arial"/>
                <w:sz w:val="22"/>
                <w:szCs w:val="22"/>
                <w:color w:val="auto"/>
              </w:rPr>
              <w:t>Amount of Notes</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2.02.  Form and Dating; Legends</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2.03.  Execution and Authentication</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2.04.  Registrar, Paying Agent and Transfer Agent</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2.05.  Paying Agent To Hold Money</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2.06.</w:t>
            </w:r>
          </w:p>
        </w:tc>
        <w:tc>
          <w:tcPr>
            <w:tcW w:w="2820" w:type="dxa"/>
            <w:vAlign w:val="bottom"/>
            <w:tcBorders>
              <w:top w:val="single" w:sz="8" w:color="auto"/>
            </w:tcBorders>
            <w:gridSpan w:val="16"/>
          </w:tcPr>
          <w:p>
            <w:pPr>
              <w:ind w:left="200"/>
              <w:spacing w:after="0" w:line="223" w:lineRule="exact"/>
              <w:rPr>
                <w:sz w:val="20"/>
                <w:szCs w:val="20"/>
                <w:color w:val="auto"/>
              </w:rPr>
            </w:pPr>
            <w:r>
              <w:rPr>
                <w:rFonts w:ascii="Arial" w:cs="Arial" w:eastAsia="Arial" w:hAnsi="Arial"/>
                <w:sz w:val="22"/>
                <w:szCs w:val="22"/>
                <w:color w:val="auto"/>
              </w:rPr>
              <w:t>Noteholder Lists</w:t>
            </w:r>
          </w:p>
        </w:tc>
        <w:tc>
          <w:tcPr>
            <w:tcW w:w="5100" w:type="dxa"/>
            <w:vAlign w:val="bottom"/>
            <w:gridSpan w:val="7"/>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2.07.  Transfer and Exchange</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2.08.</w:t>
            </w:r>
          </w:p>
        </w:tc>
        <w:tc>
          <w:tcPr>
            <w:tcW w:w="2200" w:type="dxa"/>
            <w:vAlign w:val="bottom"/>
            <w:tcBorders>
              <w:top w:val="single" w:sz="8" w:color="auto"/>
            </w:tcBorders>
            <w:gridSpan w:val="11"/>
          </w:tcPr>
          <w:p>
            <w:pPr>
              <w:ind w:left="200"/>
              <w:spacing w:after="0" w:line="223" w:lineRule="exact"/>
              <w:rPr>
                <w:sz w:val="20"/>
                <w:szCs w:val="20"/>
                <w:color w:val="auto"/>
              </w:rPr>
            </w:pPr>
            <w:r>
              <w:rPr>
                <w:rFonts w:ascii="Arial" w:cs="Arial" w:eastAsia="Arial" w:hAnsi="Arial"/>
                <w:sz w:val="22"/>
                <w:szCs w:val="22"/>
                <w:color w:val="auto"/>
              </w:rPr>
              <w:t>Replacement Notes</w:t>
            </w:r>
          </w:p>
        </w:tc>
        <w:tc>
          <w:tcPr>
            <w:tcW w:w="5720" w:type="dxa"/>
            <w:vAlign w:val="bottom"/>
            <w:gridSpan w:val="12"/>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2.09.</w:t>
            </w:r>
          </w:p>
        </w:tc>
        <w:tc>
          <w:tcPr>
            <w:tcW w:w="1820" w:type="dxa"/>
            <w:vAlign w:val="bottom"/>
            <w:tcBorders>
              <w:top w:val="single" w:sz="8" w:color="auto"/>
              <w:bottom w:val="single" w:sz="8" w:color="auto"/>
            </w:tcBorders>
            <w:gridSpan w:val="6"/>
          </w:tcPr>
          <w:p>
            <w:pPr>
              <w:ind w:left="200"/>
              <w:spacing w:after="0" w:line="223" w:lineRule="exact"/>
              <w:rPr>
                <w:sz w:val="20"/>
                <w:szCs w:val="20"/>
                <w:color w:val="auto"/>
              </w:rPr>
            </w:pPr>
            <w:r>
              <w:rPr>
                <w:rFonts w:ascii="Arial" w:cs="Arial" w:eastAsia="Arial" w:hAnsi="Arial"/>
                <w:sz w:val="22"/>
                <w:szCs w:val="22"/>
                <w:color w:val="auto"/>
                <w:w w:val="87"/>
              </w:rPr>
              <w:t>Outstanding Notes</w:t>
            </w:r>
          </w:p>
        </w:tc>
        <w:tc>
          <w:tcPr>
            <w:tcW w:w="60" w:type="dxa"/>
            <w:vAlign w:val="bottom"/>
            <w:tcBorders>
              <w:top w:val="single" w:sz="8" w:color="auto"/>
            </w:tcBorders>
            <w:gridSpan w:val="2"/>
          </w:tcPr>
          <w:p>
            <w:pPr>
              <w:spacing w:after="0"/>
              <w:rPr>
                <w:sz w:val="19"/>
                <w:szCs w:val="19"/>
                <w:color w:val="auto"/>
              </w:rPr>
            </w:pPr>
          </w:p>
        </w:tc>
        <w:tc>
          <w:tcPr>
            <w:tcW w:w="6040" w:type="dxa"/>
            <w:vAlign w:val="bottom"/>
            <w:gridSpan w:val="15"/>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2"/>
                <w:szCs w:val="22"/>
                <w:color w:val="auto"/>
                <w:w w:val="90"/>
              </w:rPr>
              <w:t>SECTION 2.10.</w:t>
            </w: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200"/>
              <w:spacing w:after="0" w:line="223" w:lineRule="exact"/>
              <w:rPr>
                <w:sz w:val="20"/>
                <w:szCs w:val="20"/>
                <w:color w:val="auto"/>
              </w:rPr>
            </w:pPr>
            <w:r>
              <w:rPr>
                <w:rFonts w:ascii="Arial" w:cs="Arial" w:eastAsia="Arial" w:hAnsi="Arial"/>
                <w:sz w:val="22"/>
                <w:szCs w:val="22"/>
                <w:color w:val="auto"/>
                <w:w w:val="86"/>
              </w:rPr>
              <w:t>Treasury Notes</w:t>
            </w:r>
          </w:p>
        </w:tc>
        <w:tc>
          <w:tcPr>
            <w:tcW w:w="6400" w:type="dxa"/>
            <w:vAlign w:val="bottom"/>
            <w:gridSpan w:val="20"/>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2"/>
                <w:szCs w:val="22"/>
                <w:color w:val="auto"/>
                <w:w w:val="90"/>
              </w:rPr>
              <w:t>SECTION 2.11.</w:t>
            </w:r>
          </w:p>
        </w:tc>
        <w:tc>
          <w:tcPr>
            <w:tcW w:w="20" w:type="dxa"/>
            <w:vAlign w:val="bottom"/>
          </w:tcPr>
          <w:p>
            <w:pPr>
              <w:spacing w:after="0"/>
              <w:rPr>
                <w:sz w:val="19"/>
                <w:szCs w:val="19"/>
                <w:color w:val="auto"/>
              </w:rPr>
            </w:pPr>
          </w:p>
        </w:tc>
        <w:tc>
          <w:tcPr>
            <w:tcW w:w="7920" w:type="dxa"/>
            <w:vAlign w:val="bottom"/>
            <w:gridSpan w:val="23"/>
          </w:tcPr>
          <w:p>
            <w:pPr>
              <w:ind w:left="180"/>
              <w:spacing w:after="0" w:line="223" w:lineRule="exact"/>
              <w:rPr>
                <w:sz w:val="20"/>
                <w:szCs w:val="20"/>
                <w:color w:val="auto"/>
              </w:rPr>
            </w:pPr>
            <w:r>
              <w:rPr>
                <w:rFonts w:ascii="Arial" w:cs="Arial" w:eastAsia="Arial" w:hAnsi="Arial"/>
                <w:sz w:val="22"/>
                <w:szCs w:val="22"/>
                <w:color w:val="auto"/>
              </w:rPr>
              <w:t>Temporary Notes</w:t>
            </w: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2"/>
                <w:szCs w:val="22"/>
                <w:color w:val="auto"/>
                <w:w w:val="90"/>
              </w:rPr>
              <w:t>SECTION 2.12.</w:t>
            </w:r>
          </w:p>
        </w:tc>
        <w:tc>
          <w:tcPr>
            <w:tcW w:w="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ind w:left="200"/>
              <w:spacing w:after="0" w:line="223" w:lineRule="exact"/>
              <w:rPr>
                <w:sz w:val="20"/>
                <w:szCs w:val="20"/>
                <w:color w:val="auto"/>
              </w:rPr>
            </w:pPr>
            <w:r>
              <w:rPr>
                <w:rFonts w:ascii="Arial" w:cs="Arial" w:eastAsia="Arial" w:hAnsi="Arial"/>
                <w:sz w:val="22"/>
                <w:szCs w:val="22"/>
                <w:color w:val="auto"/>
                <w:w w:val="89"/>
              </w:rPr>
              <w:t>Cancellation</w:t>
            </w:r>
          </w:p>
        </w:tc>
        <w:tc>
          <w:tcPr>
            <w:tcW w:w="340" w:type="dxa"/>
            <w:vAlign w:val="bottom"/>
            <w:tcBorders>
              <w:top w:val="single" w:sz="8" w:color="auto"/>
            </w:tcBorders>
            <w:gridSpan w:val="2"/>
          </w:tcPr>
          <w:p>
            <w:pPr>
              <w:spacing w:after="0"/>
              <w:rPr>
                <w:sz w:val="19"/>
                <w:szCs w:val="19"/>
                <w:color w:val="auto"/>
              </w:rPr>
            </w:pPr>
          </w:p>
        </w:tc>
        <w:tc>
          <w:tcPr>
            <w:tcW w:w="6280" w:type="dxa"/>
            <w:vAlign w:val="bottom"/>
            <w:gridSpan w:val="19"/>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2.13.</w:t>
            </w:r>
          </w:p>
        </w:tc>
        <w:tc>
          <w:tcPr>
            <w:tcW w:w="1760" w:type="dxa"/>
            <w:vAlign w:val="bottom"/>
            <w:tcBorders>
              <w:bottom w:val="single" w:sz="8" w:color="auto"/>
            </w:tcBorders>
            <w:gridSpan w:val="5"/>
          </w:tcPr>
          <w:p>
            <w:pPr>
              <w:ind w:left="200"/>
              <w:spacing w:after="0" w:line="223" w:lineRule="exact"/>
              <w:rPr>
                <w:sz w:val="20"/>
                <w:szCs w:val="20"/>
                <w:color w:val="auto"/>
              </w:rPr>
            </w:pPr>
            <w:r>
              <w:rPr>
                <w:rFonts w:ascii="Arial" w:cs="Arial" w:eastAsia="Arial" w:hAnsi="Arial"/>
                <w:sz w:val="22"/>
                <w:szCs w:val="22"/>
                <w:color w:val="auto"/>
                <w:w w:val="88"/>
              </w:rPr>
              <w:t>Defaulted Interest</w:t>
            </w:r>
          </w:p>
        </w:tc>
        <w:tc>
          <w:tcPr>
            <w:tcW w:w="6160" w:type="dxa"/>
            <w:vAlign w:val="bottom"/>
            <w:gridSpan w:val="18"/>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2.14.  CUSIP, ISIN and Common Code Numbers</w:t>
            </w: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860" w:type="dxa"/>
            <w:vAlign w:val="bottom"/>
            <w:gridSpan w:val="7"/>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2.15.  Deposit of Moneys</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860" w:type="dxa"/>
            <w:vAlign w:val="bottom"/>
            <w:gridSpan w:val="7"/>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2.16.  Book-Entry Provisions for Global Notes</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10"/>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2.17.  Transfer and Exchange of Notes</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10"/>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2.18.  Computation of Interest</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6"/>
          </w:tcPr>
          <w:p>
            <w:pPr>
              <w:jc w:val="center"/>
              <w:ind w:right="2720"/>
              <w:spacing w:after="0"/>
              <w:rPr>
                <w:sz w:val="20"/>
                <w:szCs w:val="20"/>
                <w:color w:val="auto"/>
              </w:rPr>
            </w:pPr>
            <w:r>
              <w:rPr>
                <w:rFonts w:ascii="Arial" w:cs="Arial" w:eastAsia="Arial" w:hAnsi="Arial"/>
                <w:sz w:val="22"/>
                <w:szCs w:val="22"/>
                <w:color w:val="auto"/>
                <w:w w:val="95"/>
              </w:rPr>
              <w:t>ARTICLE THREE</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6"/>
          </w:tcPr>
          <w:p>
            <w:pPr>
              <w:jc w:val="center"/>
              <w:ind w:right="2720"/>
              <w:spacing w:after="0"/>
              <w:rPr>
                <w:sz w:val="20"/>
                <w:szCs w:val="20"/>
                <w:color w:val="auto"/>
              </w:rPr>
            </w:pPr>
            <w:r>
              <w:rPr>
                <w:rFonts w:ascii="Arial" w:cs="Arial" w:eastAsia="Arial" w:hAnsi="Arial"/>
                <w:sz w:val="22"/>
                <w:szCs w:val="22"/>
                <w:color w:val="auto"/>
                <w:w w:val="94"/>
              </w:rPr>
              <w:t>REDEMPTION</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340" w:type="dxa"/>
            <w:vAlign w:val="bottom"/>
            <w:gridSpan w:val="25"/>
          </w:tcPr>
          <w:p>
            <w:pPr>
              <w:spacing w:after="0"/>
              <w:rPr>
                <w:sz w:val="20"/>
                <w:szCs w:val="20"/>
                <w:color w:val="auto"/>
              </w:rPr>
            </w:pPr>
            <w:r>
              <w:rPr>
                <w:rFonts w:ascii="Arial" w:cs="Arial" w:eastAsia="Arial" w:hAnsi="Arial"/>
                <w:sz w:val="22"/>
                <w:szCs w:val="22"/>
                <w:color w:val="auto"/>
              </w:rPr>
              <w:t>SECTION 3.01.  Election To Redeem; Notices to Trustee</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10"/>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3.02.  Selection by Trustee of Notes To Be Redeemed</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10"/>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360" w:type="dxa"/>
            <w:vAlign w:val="bottom"/>
            <w:tcBorders>
              <w:left w:val="single" w:sz="8" w:color="auto"/>
            </w:tcBorders>
            <w:gridSpan w:val="4"/>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3.03.  Notice of Redemption</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10"/>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3.04.  Effect of Notice of Redemption</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300" w:type="dxa"/>
            <w:vAlign w:val="bottom"/>
            <w:gridSpan w:val="13"/>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6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line="20" w:lineRule="exact"/>
              <w:rPr>
                <w:sz w:val="1"/>
                <w:szCs w:val="1"/>
                <w:color w:val="auto"/>
              </w:rPr>
            </w:pPr>
          </w:p>
        </w:tc>
      </w:tr>
      <w:tr>
        <w:trPr>
          <w:trHeight w:val="223"/>
        </w:trPr>
        <w:tc>
          <w:tcPr>
            <w:tcW w:w="9340" w:type="dxa"/>
            <w:vAlign w:val="bottom"/>
            <w:gridSpan w:val="25"/>
          </w:tcPr>
          <w:p>
            <w:pPr>
              <w:spacing w:after="0" w:line="223" w:lineRule="exact"/>
              <w:rPr>
                <w:sz w:val="20"/>
                <w:szCs w:val="20"/>
                <w:color w:val="auto"/>
              </w:rPr>
            </w:pPr>
            <w:r>
              <w:rPr>
                <w:rFonts w:ascii="Arial" w:cs="Arial" w:eastAsia="Arial" w:hAnsi="Arial"/>
                <w:sz w:val="22"/>
                <w:szCs w:val="22"/>
                <w:color w:val="auto"/>
              </w:rPr>
              <w:t>SECTION 3.05.  Deposit of Redemption Price</w:t>
            </w:r>
          </w:p>
        </w:tc>
        <w:tc>
          <w:tcPr>
            <w:tcW w:w="1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3.06.</w:t>
            </w:r>
          </w:p>
        </w:tc>
        <w:tc>
          <w:tcPr>
            <w:tcW w:w="2300" w:type="dxa"/>
            <w:vAlign w:val="bottom"/>
            <w:tcBorders>
              <w:top w:val="single" w:sz="8" w:color="auto"/>
              <w:bottom w:val="single" w:sz="8" w:color="auto"/>
            </w:tcBorders>
            <w:gridSpan w:val="13"/>
          </w:tcPr>
          <w:p>
            <w:pPr>
              <w:ind w:left="200"/>
              <w:spacing w:after="0" w:line="223" w:lineRule="exact"/>
              <w:rPr>
                <w:sz w:val="20"/>
                <w:szCs w:val="20"/>
                <w:color w:val="auto"/>
              </w:rPr>
            </w:pPr>
            <w:r>
              <w:rPr>
                <w:rFonts w:ascii="Arial" w:cs="Arial" w:eastAsia="Arial" w:hAnsi="Arial"/>
                <w:sz w:val="22"/>
                <w:szCs w:val="22"/>
                <w:color w:val="auto"/>
                <w:w w:val="86"/>
              </w:rPr>
              <w:t>Notes Redeemed in Part</w:t>
            </w:r>
          </w:p>
        </w:tc>
        <w:tc>
          <w:tcPr>
            <w:tcW w:w="480" w:type="dxa"/>
            <w:vAlign w:val="bottom"/>
            <w:tcBorders>
              <w:top w:val="single" w:sz="8" w:color="auto"/>
            </w:tcBorders>
            <w:gridSpan w:val="2"/>
          </w:tcPr>
          <w:p>
            <w:pPr>
              <w:spacing w:after="0"/>
              <w:rPr>
                <w:sz w:val="19"/>
                <w:szCs w:val="19"/>
                <w:color w:val="auto"/>
              </w:rPr>
            </w:pPr>
          </w:p>
        </w:tc>
        <w:tc>
          <w:tcPr>
            <w:tcW w:w="5140" w:type="dxa"/>
            <w:vAlign w:val="bottom"/>
            <w:gridSpan w:val="8"/>
          </w:tcPr>
          <w:p>
            <w:pPr>
              <w:spacing w:after="0"/>
              <w:rPr>
                <w:sz w:val="19"/>
                <w:szCs w:val="19"/>
                <w:color w:val="auto"/>
              </w:rPr>
            </w:pPr>
          </w:p>
        </w:tc>
        <w:tc>
          <w:tcPr>
            <w:tcW w:w="16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267"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5"/>
        </w:trPr>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399"/>
        </w:trPr>
        <w:tc>
          <w:tcPr>
            <w:tcW w:w="1420" w:type="dxa"/>
            <w:vAlign w:val="bottom"/>
            <w:gridSpan w:val="2"/>
          </w:tcPr>
          <w:p>
            <w:pPr>
              <w:spacing w:after="0"/>
              <w:rPr>
                <w:sz w:val="20"/>
                <w:szCs w:val="20"/>
                <w:color w:val="auto"/>
              </w:rPr>
            </w:pPr>
            <w:r>
              <w:rPr>
                <w:rFonts w:ascii="Arial" w:cs="Arial" w:eastAsia="Arial" w:hAnsi="Arial"/>
                <w:sz w:val="22"/>
                <w:szCs w:val="22"/>
                <w:color w:val="auto"/>
                <w:w w:val="91"/>
              </w:rPr>
              <w:t>SECTION 3.07.</w:t>
            </w:r>
          </w:p>
        </w:tc>
        <w:tc>
          <w:tcPr>
            <w:tcW w:w="8120" w:type="dxa"/>
            <w:vAlign w:val="bottom"/>
            <w:gridSpan w:val="22"/>
          </w:tcPr>
          <w:p>
            <w:pPr>
              <w:ind w:left="200"/>
              <w:spacing w:after="0"/>
              <w:rPr>
                <w:sz w:val="20"/>
                <w:szCs w:val="20"/>
                <w:color w:val="auto"/>
              </w:rPr>
            </w:pPr>
            <w:r>
              <w:rPr>
                <w:rFonts w:ascii="Arial" w:cs="Arial" w:eastAsia="Arial" w:hAnsi="Arial"/>
                <w:sz w:val="22"/>
                <w:szCs w:val="22"/>
                <w:color w:val="auto"/>
              </w:rPr>
              <w:t>Mandatory Redemption</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7"/>
          </w:tcPr>
          <w:p>
            <w:pPr>
              <w:jc w:val="center"/>
              <w:ind w:right="3100"/>
              <w:spacing w:after="0"/>
              <w:rPr>
                <w:sz w:val="20"/>
                <w:szCs w:val="20"/>
                <w:color w:val="auto"/>
              </w:rPr>
            </w:pPr>
            <w:r>
              <w:rPr>
                <w:rFonts w:ascii="Arial" w:cs="Arial" w:eastAsia="Arial" w:hAnsi="Arial"/>
                <w:sz w:val="22"/>
                <w:szCs w:val="22"/>
                <w:color w:val="auto"/>
                <w:w w:val="95"/>
              </w:rPr>
              <w:t>ARTICLE FOUR</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6"/>
          </w:tcPr>
          <w:p>
            <w:pPr>
              <w:jc w:val="center"/>
              <w:ind w:right="3360"/>
              <w:spacing w:after="0"/>
              <w:rPr>
                <w:sz w:val="20"/>
                <w:szCs w:val="20"/>
                <w:color w:val="auto"/>
              </w:rPr>
            </w:pPr>
            <w:r>
              <w:rPr>
                <w:rFonts w:ascii="Arial" w:cs="Arial" w:eastAsia="Arial" w:hAnsi="Arial"/>
                <w:sz w:val="22"/>
                <w:szCs w:val="22"/>
                <w:color w:val="auto"/>
                <w:w w:val="94"/>
              </w:rPr>
              <w:t>COVENANTS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420" w:type="dxa"/>
            <w:vAlign w:val="bottom"/>
            <w:gridSpan w:val="2"/>
          </w:tcPr>
          <w:p>
            <w:pPr>
              <w:spacing w:after="0"/>
              <w:rPr>
                <w:sz w:val="20"/>
                <w:szCs w:val="20"/>
                <w:color w:val="auto"/>
              </w:rPr>
            </w:pPr>
            <w:r>
              <w:rPr>
                <w:rFonts w:ascii="Arial" w:cs="Arial" w:eastAsia="Arial" w:hAnsi="Arial"/>
                <w:sz w:val="22"/>
                <w:szCs w:val="22"/>
                <w:color w:val="auto"/>
                <w:w w:val="91"/>
              </w:rPr>
              <w:t>SECTION 4.01.</w:t>
            </w:r>
          </w:p>
        </w:tc>
        <w:tc>
          <w:tcPr>
            <w:tcW w:w="8120" w:type="dxa"/>
            <w:vAlign w:val="bottom"/>
            <w:gridSpan w:val="22"/>
          </w:tcPr>
          <w:p>
            <w:pPr>
              <w:ind w:left="200"/>
              <w:spacing w:after="0"/>
              <w:rPr>
                <w:sz w:val="20"/>
                <w:szCs w:val="20"/>
                <w:color w:val="auto"/>
              </w:rPr>
            </w:pPr>
            <w:r>
              <w:rPr>
                <w:rFonts w:ascii="Arial" w:cs="Arial" w:eastAsia="Arial" w:hAnsi="Arial"/>
                <w:sz w:val="22"/>
                <w:szCs w:val="22"/>
                <w:color w:val="auto"/>
              </w:rPr>
              <w:t>Payment of Notes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4.02.  Maintenance of Office or Agency</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4.03.</w:t>
            </w:r>
          </w:p>
        </w:tc>
        <w:tc>
          <w:tcPr>
            <w:tcW w:w="3120" w:type="dxa"/>
            <w:vAlign w:val="bottom"/>
            <w:tcBorders>
              <w:top w:val="single" w:sz="8" w:color="auto"/>
            </w:tcBorders>
            <w:gridSpan w:val="15"/>
          </w:tcPr>
          <w:p>
            <w:pPr>
              <w:ind w:left="200"/>
              <w:spacing w:after="0" w:line="223" w:lineRule="exact"/>
              <w:rPr>
                <w:sz w:val="20"/>
                <w:szCs w:val="20"/>
                <w:color w:val="auto"/>
              </w:rPr>
            </w:pPr>
            <w:r>
              <w:rPr>
                <w:rFonts w:ascii="Arial" w:cs="Arial" w:eastAsia="Arial" w:hAnsi="Arial"/>
                <w:sz w:val="22"/>
                <w:szCs w:val="22"/>
                <w:color w:val="auto"/>
              </w:rPr>
              <w:t>Legal Existence</w:t>
            </w:r>
          </w:p>
        </w:tc>
        <w:tc>
          <w:tcPr>
            <w:tcW w:w="5000" w:type="dxa"/>
            <w:vAlign w:val="bottom"/>
            <w:gridSpan w:val="7"/>
          </w:tcPr>
          <w:p>
            <w:pPr>
              <w:spacing w:after="0"/>
              <w:rPr>
                <w:sz w:val="19"/>
                <w:szCs w:val="19"/>
                <w:color w:val="auto"/>
              </w:rPr>
            </w:pP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4.04.  Compliance with Law</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4.05.  Waiver of Stay, Extension or Usury Laws</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4.06.</w:t>
            </w:r>
          </w:p>
        </w:tc>
        <w:tc>
          <w:tcPr>
            <w:tcW w:w="3780" w:type="dxa"/>
            <w:vAlign w:val="bottom"/>
            <w:tcBorders>
              <w:top w:val="single" w:sz="8" w:color="auto"/>
            </w:tcBorders>
            <w:gridSpan w:val="17"/>
          </w:tcPr>
          <w:p>
            <w:pPr>
              <w:ind w:left="200"/>
              <w:spacing w:after="0" w:line="223" w:lineRule="exact"/>
              <w:rPr>
                <w:sz w:val="20"/>
                <w:szCs w:val="20"/>
                <w:color w:val="auto"/>
              </w:rPr>
            </w:pPr>
            <w:r>
              <w:rPr>
                <w:rFonts w:ascii="Arial" w:cs="Arial" w:eastAsia="Arial" w:hAnsi="Arial"/>
                <w:sz w:val="22"/>
                <w:szCs w:val="22"/>
                <w:color w:val="auto"/>
              </w:rPr>
              <w:t>Compliance Certificate</w:t>
            </w:r>
          </w:p>
        </w:tc>
        <w:tc>
          <w:tcPr>
            <w:tcW w:w="4340" w:type="dxa"/>
            <w:vAlign w:val="bottom"/>
            <w:gridSpan w:val="5"/>
          </w:tcPr>
          <w:p>
            <w:pPr>
              <w:spacing w:after="0"/>
              <w:rPr>
                <w:sz w:val="19"/>
                <w:szCs w:val="19"/>
                <w:color w:val="auto"/>
              </w:rPr>
            </w:pP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4.07.</w:t>
            </w:r>
          </w:p>
        </w:tc>
        <w:tc>
          <w:tcPr>
            <w:tcW w:w="700" w:type="dxa"/>
            <w:vAlign w:val="bottom"/>
            <w:tcBorders>
              <w:top w:val="single" w:sz="8" w:color="auto"/>
              <w:bottom w:val="single" w:sz="8" w:color="auto"/>
            </w:tcBorders>
          </w:tcPr>
          <w:p>
            <w:pPr>
              <w:ind w:left="200"/>
              <w:spacing w:after="0" w:line="223" w:lineRule="exact"/>
              <w:rPr>
                <w:sz w:val="20"/>
                <w:szCs w:val="20"/>
                <w:color w:val="auto"/>
              </w:rPr>
            </w:pPr>
            <w:r>
              <w:rPr>
                <w:rFonts w:ascii="Arial" w:cs="Arial" w:eastAsia="Arial" w:hAnsi="Arial"/>
                <w:sz w:val="22"/>
                <w:szCs w:val="22"/>
                <w:color w:val="auto"/>
                <w:w w:val="80"/>
              </w:rPr>
              <w:t>Taxes</w:t>
            </w:r>
          </w:p>
        </w:tc>
        <w:tc>
          <w:tcPr>
            <w:tcW w:w="1500" w:type="dxa"/>
            <w:vAlign w:val="bottom"/>
            <w:tcBorders>
              <w:top w:val="single" w:sz="8" w:color="auto"/>
            </w:tcBorders>
            <w:gridSpan w:val="8"/>
          </w:tcPr>
          <w:p>
            <w:pPr>
              <w:spacing w:after="0"/>
              <w:rPr>
                <w:sz w:val="19"/>
                <w:szCs w:val="19"/>
                <w:color w:val="auto"/>
              </w:rPr>
            </w:pPr>
          </w:p>
        </w:tc>
        <w:tc>
          <w:tcPr>
            <w:tcW w:w="5920" w:type="dxa"/>
            <w:vAlign w:val="bottom"/>
            <w:gridSpan w:val="13"/>
          </w:tcPr>
          <w:p>
            <w:pPr>
              <w:spacing w:after="0"/>
              <w:rPr>
                <w:sz w:val="19"/>
                <w:szCs w:val="19"/>
                <w:color w:val="auto"/>
              </w:rPr>
            </w:pP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4.08.  Repurchase at the Option of Holders upon Change of Control Repurchase Event</w:t>
            </w: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42"/>
        </w:trPr>
        <w:tc>
          <w:tcPr>
            <w:tcW w:w="1420" w:type="dxa"/>
            <w:vAlign w:val="bottom"/>
            <w:gridSpan w:val="2"/>
          </w:tcPr>
          <w:p>
            <w:pPr>
              <w:spacing w:after="0" w:line="242" w:lineRule="exact"/>
              <w:rPr>
                <w:sz w:val="20"/>
                <w:szCs w:val="20"/>
                <w:color w:val="auto"/>
              </w:rPr>
            </w:pPr>
            <w:r>
              <w:rPr>
                <w:rFonts w:ascii="Arial" w:cs="Arial" w:eastAsia="Arial" w:hAnsi="Arial"/>
                <w:sz w:val="22"/>
                <w:szCs w:val="22"/>
                <w:color w:val="auto"/>
                <w:w w:val="91"/>
              </w:rPr>
              <w:t>SECTION 4.09.</w:t>
            </w:r>
          </w:p>
        </w:tc>
        <w:tc>
          <w:tcPr>
            <w:tcW w:w="7120" w:type="dxa"/>
            <w:vAlign w:val="bottom"/>
            <w:tcBorders>
              <w:top w:val="single" w:sz="8" w:color="auto"/>
            </w:tcBorders>
            <w:gridSpan w:val="21"/>
          </w:tcPr>
          <w:p>
            <w:pPr>
              <w:ind w:left="200"/>
              <w:spacing w:after="0" w:line="242" w:lineRule="exact"/>
              <w:rPr>
                <w:sz w:val="20"/>
                <w:szCs w:val="20"/>
                <w:color w:val="auto"/>
              </w:rPr>
            </w:pPr>
            <w:r>
              <w:rPr>
                <w:rFonts w:ascii="Arial" w:cs="Arial" w:eastAsia="Arial" w:hAnsi="Arial"/>
                <w:sz w:val="22"/>
                <w:szCs w:val="22"/>
                <w:color w:val="auto"/>
              </w:rPr>
              <w:t>[Reserved]</w:t>
            </w:r>
          </w:p>
        </w:tc>
        <w:tc>
          <w:tcPr>
            <w:tcW w:w="1000" w:type="dxa"/>
            <w:vAlign w:val="bottom"/>
          </w:tcPr>
          <w:p>
            <w:pPr>
              <w:spacing w:after="0"/>
              <w:rPr>
                <w:sz w:val="21"/>
                <w:szCs w:val="21"/>
                <w:color w:val="auto"/>
              </w:rPr>
            </w:pPr>
          </w:p>
        </w:tc>
        <w:tc>
          <w:tcPr>
            <w:tcW w:w="1440" w:type="dxa"/>
            <w:vAlign w:val="bottom"/>
            <w:gridSpan w:val="2"/>
          </w:tcPr>
          <w:p>
            <w:pPr>
              <w:jc w:val="right"/>
              <w:spacing w:after="0" w:line="242"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3"/>
        </w:trPr>
        <w:tc>
          <w:tcPr>
            <w:tcW w:w="1420" w:type="dxa"/>
            <w:vAlign w:val="bottom"/>
            <w:gridSpan w:val="2"/>
          </w:tcPr>
          <w:p>
            <w:pPr>
              <w:spacing w:after="0" w:line="243" w:lineRule="exact"/>
              <w:rPr>
                <w:sz w:val="20"/>
                <w:szCs w:val="20"/>
                <w:color w:val="auto"/>
              </w:rPr>
            </w:pPr>
            <w:r>
              <w:rPr>
                <w:rFonts w:ascii="Arial" w:cs="Arial" w:eastAsia="Arial" w:hAnsi="Arial"/>
                <w:sz w:val="22"/>
                <w:szCs w:val="22"/>
                <w:color w:val="auto"/>
                <w:w w:val="91"/>
              </w:rPr>
              <w:t>SECTION 4.10.</w:t>
            </w:r>
          </w:p>
        </w:tc>
        <w:tc>
          <w:tcPr>
            <w:tcW w:w="8120" w:type="dxa"/>
            <w:vAlign w:val="bottom"/>
            <w:gridSpan w:val="22"/>
          </w:tcPr>
          <w:p>
            <w:pPr>
              <w:ind w:left="200"/>
              <w:spacing w:after="0" w:line="243" w:lineRule="exact"/>
              <w:rPr>
                <w:sz w:val="20"/>
                <w:szCs w:val="20"/>
                <w:color w:val="auto"/>
              </w:rPr>
            </w:pPr>
            <w:r>
              <w:rPr>
                <w:rFonts w:ascii="Arial" w:cs="Arial" w:eastAsia="Arial" w:hAnsi="Arial"/>
                <w:sz w:val="22"/>
                <w:szCs w:val="22"/>
                <w:color w:val="auto"/>
              </w:rPr>
              <w:t>[Reserved]</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24"/>
        </w:trPr>
        <w:tc>
          <w:tcPr>
            <w:tcW w:w="9540" w:type="dxa"/>
            <w:vAlign w:val="bottom"/>
            <w:gridSpan w:val="24"/>
          </w:tcPr>
          <w:p>
            <w:pPr>
              <w:spacing w:after="0" w:line="224" w:lineRule="exact"/>
              <w:rPr>
                <w:sz w:val="20"/>
                <w:szCs w:val="20"/>
                <w:color w:val="auto"/>
              </w:rPr>
            </w:pPr>
            <w:r>
              <w:rPr>
                <w:rFonts w:ascii="Arial" w:cs="Arial" w:eastAsia="Arial" w:hAnsi="Arial"/>
                <w:sz w:val="22"/>
                <w:szCs w:val="22"/>
                <w:color w:val="auto"/>
              </w:rPr>
              <w:t>SECTION 4.11.  Limitation on Liens</w:t>
            </w:r>
          </w:p>
        </w:tc>
        <w:tc>
          <w:tcPr>
            <w:tcW w:w="14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2"/>
        </w:trPr>
        <w:tc>
          <w:tcPr>
            <w:tcW w:w="1400" w:type="dxa"/>
            <w:vAlign w:val="bottom"/>
          </w:tcPr>
          <w:p>
            <w:pPr>
              <w:spacing w:after="0" w:line="242" w:lineRule="exact"/>
              <w:rPr>
                <w:sz w:val="20"/>
                <w:szCs w:val="20"/>
                <w:color w:val="auto"/>
              </w:rPr>
            </w:pPr>
            <w:r>
              <w:rPr>
                <w:rFonts w:ascii="Arial" w:cs="Arial" w:eastAsia="Arial" w:hAnsi="Arial"/>
                <w:sz w:val="22"/>
                <w:szCs w:val="22"/>
                <w:color w:val="auto"/>
                <w:w w:val="90"/>
              </w:rPr>
              <w:t>SECTION 4.12.</w:t>
            </w:r>
          </w:p>
        </w:tc>
        <w:tc>
          <w:tcPr>
            <w:tcW w:w="2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6"/>
          </w:tcPr>
          <w:p>
            <w:pPr>
              <w:ind w:left="200"/>
              <w:spacing w:after="0" w:line="242" w:lineRule="exact"/>
              <w:rPr>
                <w:sz w:val="20"/>
                <w:szCs w:val="20"/>
                <w:color w:val="auto"/>
              </w:rPr>
            </w:pPr>
            <w:r>
              <w:rPr>
                <w:rFonts w:ascii="Arial" w:cs="Arial" w:eastAsia="Arial" w:hAnsi="Arial"/>
                <w:sz w:val="22"/>
                <w:szCs w:val="22"/>
                <w:color w:val="auto"/>
              </w:rPr>
              <w:t>[Reserved]</w:t>
            </w:r>
          </w:p>
        </w:tc>
        <w:tc>
          <w:tcPr>
            <w:tcW w:w="6220" w:type="dxa"/>
            <w:vAlign w:val="bottom"/>
            <w:gridSpan w:val="16"/>
          </w:tcPr>
          <w:p>
            <w:pPr>
              <w:spacing w:after="0"/>
              <w:rPr>
                <w:sz w:val="21"/>
                <w:szCs w:val="21"/>
                <w:color w:val="auto"/>
              </w:rPr>
            </w:pPr>
          </w:p>
        </w:tc>
        <w:tc>
          <w:tcPr>
            <w:tcW w:w="1440" w:type="dxa"/>
            <w:vAlign w:val="bottom"/>
            <w:gridSpan w:val="2"/>
          </w:tcPr>
          <w:p>
            <w:pPr>
              <w:jc w:val="right"/>
              <w:spacing w:after="0" w:line="242"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43"/>
        </w:trPr>
        <w:tc>
          <w:tcPr>
            <w:tcW w:w="1420" w:type="dxa"/>
            <w:vAlign w:val="bottom"/>
            <w:gridSpan w:val="2"/>
          </w:tcPr>
          <w:p>
            <w:pPr>
              <w:spacing w:after="0" w:line="243" w:lineRule="exact"/>
              <w:rPr>
                <w:sz w:val="20"/>
                <w:szCs w:val="20"/>
                <w:color w:val="auto"/>
              </w:rPr>
            </w:pPr>
            <w:r>
              <w:rPr>
                <w:rFonts w:ascii="Arial" w:cs="Arial" w:eastAsia="Arial" w:hAnsi="Arial"/>
                <w:sz w:val="22"/>
                <w:szCs w:val="22"/>
                <w:color w:val="auto"/>
                <w:w w:val="91"/>
              </w:rPr>
              <w:t>SECTION 4.13.</w:t>
            </w:r>
          </w:p>
        </w:tc>
        <w:tc>
          <w:tcPr>
            <w:tcW w:w="8120" w:type="dxa"/>
            <w:vAlign w:val="bottom"/>
            <w:gridSpan w:val="22"/>
          </w:tcPr>
          <w:p>
            <w:pPr>
              <w:ind w:left="200"/>
              <w:spacing w:after="0" w:line="243" w:lineRule="exact"/>
              <w:rPr>
                <w:sz w:val="20"/>
                <w:szCs w:val="20"/>
                <w:color w:val="auto"/>
              </w:rPr>
            </w:pPr>
            <w:r>
              <w:rPr>
                <w:rFonts w:ascii="Arial" w:cs="Arial" w:eastAsia="Arial" w:hAnsi="Arial"/>
                <w:sz w:val="22"/>
                <w:szCs w:val="22"/>
                <w:color w:val="auto"/>
              </w:rPr>
              <w:t>[Reserved]</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43"/>
        </w:trPr>
        <w:tc>
          <w:tcPr>
            <w:tcW w:w="1420" w:type="dxa"/>
            <w:vAlign w:val="bottom"/>
            <w:gridSpan w:val="2"/>
          </w:tcPr>
          <w:p>
            <w:pPr>
              <w:spacing w:after="0" w:line="243" w:lineRule="exact"/>
              <w:rPr>
                <w:sz w:val="20"/>
                <w:szCs w:val="20"/>
                <w:color w:val="auto"/>
              </w:rPr>
            </w:pPr>
            <w:r>
              <w:rPr>
                <w:rFonts w:ascii="Arial" w:cs="Arial" w:eastAsia="Arial" w:hAnsi="Arial"/>
                <w:sz w:val="22"/>
                <w:szCs w:val="22"/>
                <w:color w:val="auto"/>
                <w:w w:val="91"/>
              </w:rPr>
              <w:t>SECTION 4.14.</w:t>
            </w:r>
          </w:p>
        </w:tc>
        <w:tc>
          <w:tcPr>
            <w:tcW w:w="8120" w:type="dxa"/>
            <w:vAlign w:val="bottom"/>
            <w:gridSpan w:val="22"/>
          </w:tcPr>
          <w:p>
            <w:pPr>
              <w:ind w:left="200"/>
              <w:spacing w:after="0" w:line="243" w:lineRule="exact"/>
              <w:rPr>
                <w:sz w:val="20"/>
                <w:szCs w:val="20"/>
                <w:color w:val="auto"/>
              </w:rPr>
            </w:pPr>
            <w:r>
              <w:rPr>
                <w:rFonts w:ascii="Arial" w:cs="Arial" w:eastAsia="Arial" w:hAnsi="Arial"/>
                <w:sz w:val="22"/>
                <w:szCs w:val="22"/>
                <w:color w:val="auto"/>
              </w:rPr>
              <w:t>[Reserved]</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24"/>
        </w:trPr>
        <w:tc>
          <w:tcPr>
            <w:tcW w:w="9540" w:type="dxa"/>
            <w:vAlign w:val="bottom"/>
            <w:gridSpan w:val="24"/>
          </w:tcPr>
          <w:p>
            <w:pPr>
              <w:spacing w:after="0" w:line="224" w:lineRule="exact"/>
              <w:rPr>
                <w:sz w:val="20"/>
                <w:szCs w:val="20"/>
                <w:color w:val="auto"/>
              </w:rPr>
            </w:pPr>
            <w:r>
              <w:rPr>
                <w:rFonts w:ascii="Arial" w:cs="Arial" w:eastAsia="Arial" w:hAnsi="Arial"/>
                <w:sz w:val="22"/>
                <w:szCs w:val="22"/>
                <w:color w:val="auto"/>
              </w:rPr>
              <w:t>SECTION 4.15.  Limitation on Sale and Leaseback Transactions</w:t>
            </w:r>
          </w:p>
        </w:tc>
        <w:tc>
          <w:tcPr>
            <w:tcW w:w="14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4.16.  Reports to Holders</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4.17.  Additional Note Guarantees</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420" w:type="dxa"/>
            <w:vAlign w:val="bottom"/>
            <w:gridSpan w:val="2"/>
          </w:tcPr>
          <w:p>
            <w:pPr>
              <w:spacing w:after="0" w:line="242" w:lineRule="exact"/>
              <w:rPr>
                <w:sz w:val="20"/>
                <w:szCs w:val="20"/>
                <w:color w:val="auto"/>
              </w:rPr>
            </w:pPr>
            <w:r>
              <w:rPr>
                <w:rFonts w:ascii="Arial" w:cs="Arial" w:eastAsia="Arial" w:hAnsi="Arial"/>
                <w:sz w:val="22"/>
                <w:szCs w:val="22"/>
                <w:color w:val="auto"/>
                <w:w w:val="91"/>
              </w:rPr>
              <w:t>SECTION 4.18.</w:t>
            </w:r>
          </w:p>
        </w:tc>
        <w:tc>
          <w:tcPr>
            <w:tcW w:w="2620" w:type="dxa"/>
            <w:vAlign w:val="bottom"/>
            <w:tcBorders>
              <w:top w:val="single" w:sz="8" w:color="auto"/>
            </w:tcBorders>
            <w:gridSpan w:val="12"/>
          </w:tcPr>
          <w:p>
            <w:pPr>
              <w:ind w:left="200"/>
              <w:spacing w:after="0" w:line="242" w:lineRule="exact"/>
              <w:rPr>
                <w:sz w:val="20"/>
                <w:szCs w:val="20"/>
                <w:color w:val="auto"/>
              </w:rPr>
            </w:pPr>
            <w:r>
              <w:rPr>
                <w:rFonts w:ascii="Arial" w:cs="Arial" w:eastAsia="Arial" w:hAnsi="Arial"/>
                <w:sz w:val="22"/>
                <w:szCs w:val="22"/>
                <w:color w:val="auto"/>
              </w:rPr>
              <w:t>[Reserved]</w:t>
            </w:r>
          </w:p>
        </w:tc>
        <w:tc>
          <w:tcPr>
            <w:tcW w:w="5500" w:type="dxa"/>
            <w:vAlign w:val="bottom"/>
            <w:gridSpan w:val="10"/>
          </w:tcPr>
          <w:p>
            <w:pPr>
              <w:spacing w:after="0"/>
              <w:rPr>
                <w:sz w:val="21"/>
                <w:szCs w:val="21"/>
                <w:color w:val="auto"/>
              </w:rPr>
            </w:pPr>
          </w:p>
        </w:tc>
        <w:tc>
          <w:tcPr>
            <w:tcW w:w="1440" w:type="dxa"/>
            <w:vAlign w:val="bottom"/>
            <w:gridSpan w:val="2"/>
          </w:tcPr>
          <w:p>
            <w:pPr>
              <w:jc w:val="right"/>
              <w:spacing w:after="0" w:line="242"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24"/>
        </w:trPr>
        <w:tc>
          <w:tcPr>
            <w:tcW w:w="9540" w:type="dxa"/>
            <w:vAlign w:val="bottom"/>
            <w:gridSpan w:val="24"/>
          </w:tcPr>
          <w:p>
            <w:pPr>
              <w:spacing w:after="0" w:line="224" w:lineRule="exact"/>
              <w:rPr>
                <w:sz w:val="20"/>
                <w:szCs w:val="20"/>
                <w:color w:val="auto"/>
              </w:rPr>
            </w:pPr>
            <w:r>
              <w:rPr>
                <w:rFonts w:ascii="Arial" w:cs="Arial" w:eastAsia="Arial" w:hAnsi="Arial"/>
                <w:sz w:val="22"/>
                <w:szCs w:val="22"/>
                <w:color w:val="auto"/>
              </w:rPr>
              <w:t>SECTION 4.19.  Maintenance of Listing</w:t>
            </w:r>
          </w:p>
        </w:tc>
        <w:tc>
          <w:tcPr>
            <w:tcW w:w="14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50</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4.20.  Payment of Additional Amounts</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7"/>
          </w:tcPr>
          <w:p>
            <w:pPr>
              <w:jc w:val="center"/>
              <w:ind w:right="3100"/>
              <w:spacing w:after="0"/>
              <w:rPr>
                <w:sz w:val="20"/>
                <w:szCs w:val="20"/>
                <w:color w:val="auto"/>
              </w:rPr>
            </w:pPr>
            <w:r>
              <w:rPr>
                <w:rFonts w:ascii="Arial" w:cs="Arial" w:eastAsia="Arial" w:hAnsi="Arial"/>
                <w:sz w:val="22"/>
                <w:szCs w:val="22"/>
                <w:color w:val="auto"/>
                <w:w w:val="95"/>
              </w:rPr>
              <w:t>ARTICLE FIVE</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00" w:type="dxa"/>
            <w:vAlign w:val="bottom"/>
            <w:gridSpan w:val="10"/>
          </w:tcPr>
          <w:p>
            <w:pPr>
              <w:jc w:val="center"/>
              <w:ind w:right="2620"/>
              <w:spacing w:after="0"/>
              <w:rPr>
                <w:sz w:val="20"/>
                <w:szCs w:val="20"/>
                <w:color w:val="auto"/>
              </w:rPr>
            </w:pPr>
            <w:r>
              <w:rPr>
                <w:rFonts w:ascii="Arial" w:cs="Arial" w:eastAsia="Arial" w:hAnsi="Arial"/>
                <w:sz w:val="22"/>
                <w:szCs w:val="22"/>
                <w:color w:val="auto"/>
                <w:w w:val="90"/>
              </w:rPr>
              <w:t>SUCCESSOR CORPORATION</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540" w:type="dxa"/>
            <w:vAlign w:val="bottom"/>
            <w:gridSpan w:val="24"/>
          </w:tcPr>
          <w:p>
            <w:pPr>
              <w:spacing w:after="0"/>
              <w:rPr>
                <w:sz w:val="20"/>
                <w:szCs w:val="20"/>
                <w:color w:val="auto"/>
              </w:rPr>
            </w:pPr>
            <w:r>
              <w:rPr>
                <w:rFonts w:ascii="Arial" w:cs="Arial" w:eastAsia="Arial" w:hAnsi="Arial"/>
                <w:sz w:val="22"/>
                <w:szCs w:val="22"/>
                <w:color w:val="auto"/>
              </w:rPr>
              <w:t>SECTION 5.01.  Consolidation, Merger and Sale of Assets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5.02.  Successor Person Substituted</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6"/>
          </w:tcPr>
          <w:p>
            <w:pPr>
              <w:jc w:val="center"/>
              <w:ind w:right="3360"/>
              <w:spacing w:after="0"/>
              <w:rPr>
                <w:sz w:val="20"/>
                <w:szCs w:val="20"/>
                <w:color w:val="auto"/>
              </w:rPr>
            </w:pPr>
            <w:r>
              <w:rPr>
                <w:rFonts w:ascii="Arial" w:cs="Arial" w:eastAsia="Arial" w:hAnsi="Arial"/>
                <w:sz w:val="22"/>
                <w:szCs w:val="22"/>
                <w:color w:val="auto"/>
                <w:w w:val="96"/>
              </w:rPr>
              <w:t>ARTICLE SIX</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00" w:type="dxa"/>
            <w:vAlign w:val="bottom"/>
            <w:gridSpan w:val="10"/>
          </w:tcPr>
          <w:p>
            <w:pPr>
              <w:jc w:val="center"/>
              <w:ind w:right="2620"/>
              <w:spacing w:after="0"/>
              <w:rPr>
                <w:sz w:val="20"/>
                <w:szCs w:val="20"/>
                <w:color w:val="auto"/>
              </w:rPr>
            </w:pPr>
            <w:r>
              <w:rPr>
                <w:rFonts w:ascii="Arial" w:cs="Arial" w:eastAsia="Arial" w:hAnsi="Arial"/>
                <w:sz w:val="22"/>
                <w:szCs w:val="22"/>
                <w:color w:val="auto"/>
                <w:w w:val="94"/>
              </w:rPr>
              <w:t>DEFAULTS AND REMEDIES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420" w:type="dxa"/>
            <w:vAlign w:val="bottom"/>
            <w:gridSpan w:val="2"/>
          </w:tcPr>
          <w:p>
            <w:pPr>
              <w:spacing w:after="0"/>
              <w:rPr>
                <w:sz w:val="20"/>
                <w:szCs w:val="20"/>
                <w:color w:val="auto"/>
              </w:rPr>
            </w:pPr>
            <w:r>
              <w:rPr>
                <w:rFonts w:ascii="Arial" w:cs="Arial" w:eastAsia="Arial" w:hAnsi="Arial"/>
                <w:sz w:val="22"/>
                <w:szCs w:val="22"/>
                <w:color w:val="auto"/>
                <w:w w:val="91"/>
              </w:rPr>
              <w:t>SECTION 6.01.</w:t>
            </w:r>
          </w:p>
        </w:tc>
        <w:tc>
          <w:tcPr>
            <w:tcW w:w="8120" w:type="dxa"/>
            <w:vAlign w:val="bottom"/>
            <w:gridSpan w:val="22"/>
          </w:tcPr>
          <w:p>
            <w:pPr>
              <w:ind w:left="200"/>
              <w:spacing w:after="0"/>
              <w:rPr>
                <w:sz w:val="20"/>
                <w:szCs w:val="20"/>
                <w:color w:val="auto"/>
              </w:rPr>
            </w:pPr>
            <w:r>
              <w:rPr>
                <w:rFonts w:ascii="Arial" w:cs="Arial" w:eastAsia="Arial" w:hAnsi="Arial"/>
                <w:sz w:val="22"/>
                <w:szCs w:val="22"/>
                <w:color w:val="auto"/>
              </w:rPr>
              <w:t>Events of Default</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6.02.  Acceleration of Maturity; Rescission</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6.03.</w:t>
            </w:r>
          </w:p>
        </w:tc>
        <w:tc>
          <w:tcPr>
            <w:tcW w:w="1600" w:type="dxa"/>
            <w:vAlign w:val="bottom"/>
            <w:tcBorders>
              <w:top w:val="single" w:sz="8" w:color="auto"/>
              <w:bottom w:val="single" w:sz="8" w:color="auto"/>
            </w:tcBorders>
            <w:gridSpan w:val="3"/>
          </w:tcPr>
          <w:p>
            <w:pPr>
              <w:ind w:left="200"/>
              <w:spacing w:after="0" w:line="223" w:lineRule="exact"/>
              <w:rPr>
                <w:sz w:val="20"/>
                <w:szCs w:val="20"/>
                <w:color w:val="auto"/>
              </w:rPr>
            </w:pPr>
            <w:r>
              <w:rPr>
                <w:rFonts w:ascii="Arial" w:cs="Arial" w:eastAsia="Arial" w:hAnsi="Arial"/>
                <w:sz w:val="22"/>
                <w:szCs w:val="22"/>
                <w:color w:val="auto"/>
                <w:w w:val="86"/>
              </w:rPr>
              <w:t>Other Remedies</w:t>
            </w:r>
          </w:p>
        </w:tc>
        <w:tc>
          <w:tcPr>
            <w:tcW w:w="1780" w:type="dxa"/>
            <w:vAlign w:val="bottom"/>
            <w:tcBorders>
              <w:top w:val="single" w:sz="8" w:color="auto"/>
            </w:tcBorders>
            <w:gridSpan w:val="13"/>
          </w:tcPr>
          <w:p>
            <w:pPr>
              <w:spacing w:after="0"/>
              <w:rPr>
                <w:sz w:val="19"/>
                <w:szCs w:val="19"/>
                <w:color w:val="auto"/>
              </w:rPr>
            </w:pPr>
          </w:p>
        </w:tc>
        <w:tc>
          <w:tcPr>
            <w:tcW w:w="4740" w:type="dxa"/>
            <w:vAlign w:val="bottom"/>
            <w:gridSpan w:val="6"/>
          </w:tcPr>
          <w:p>
            <w:pPr>
              <w:spacing w:after="0"/>
              <w:rPr>
                <w:sz w:val="19"/>
                <w:szCs w:val="19"/>
                <w:color w:val="auto"/>
              </w:rPr>
            </w:pP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6.04.  Waiver of Existing Defaults and Events of Default</w:t>
            </w: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84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620" w:type="dxa"/>
            <w:vAlign w:val="bottom"/>
            <w:gridSpan w:val="13"/>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59</w:t>
            </w:r>
          </w:p>
        </w:tc>
        <w:tc>
          <w:tcPr>
            <w:tcW w:w="0" w:type="dxa"/>
            <w:vAlign w:val="bottom"/>
          </w:tcPr>
          <w:p>
            <w:pPr>
              <w:spacing w:after="0" w:line="20" w:lineRule="exact"/>
              <w:rPr>
                <w:sz w:val="1"/>
                <w:szCs w:val="1"/>
                <w:color w:val="auto"/>
              </w:rPr>
            </w:pPr>
          </w:p>
        </w:tc>
      </w:tr>
      <w:tr>
        <w:trPr>
          <w:trHeight w:val="223"/>
        </w:trPr>
        <w:tc>
          <w:tcPr>
            <w:tcW w:w="9540" w:type="dxa"/>
            <w:vAlign w:val="bottom"/>
            <w:gridSpan w:val="24"/>
          </w:tcPr>
          <w:p>
            <w:pPr>
              <w:spacing w:after="0" w:line="223" w:lineRule="exact"/>
              <w:rPr>
                <w:sz w:val="20"/>
                <w:szCs w:val="20"/>
                <w:color w:val="auto"/>
              </w:rPr>
            </w:pPr>
            <w:r>
              <w:rPr>
                <w:rFonts w:ascii="Arial" w:cs="Arial" w:eastAsia="Arial" w:hAnsi="Arial"/>
                <w:sz w:val="22"/>
                <w:szCs w:val="22"/>
                <w:color w:val="auto"/>
              </w:rPr>
              <w:t>SECTION 6.05.  Control by Majority</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6.06.</w:t>
            </w:r>
          </w:p>
        </w:tc>
        <w:tc>
          <w:tcPr>
            <w:tcW w:w="1940" w:type="dxa"/>
            <w:vAlign w:val="bottom"/>
            <w:tcBorders>
              <w:top w:val="single" w:sz="8" w:color="auto"/>
            </w:tcBorders>
            <w:gridSpan w:val="7"/>
          </w:tcPr>
          <w:p>
            <w:pPr>
              <w:ind w:left="200"/>
              <w:spacing w:after="0" w:line="223" w:lineRule="exact"/>
              <w:rPr>
                <w:sz w:val="20"/>
                <w:szCs w:val="20"/>
                <w:color w:val="auto"/>
              </w:rPr>
            </w:pPr>
            <w:r>
              <w:rPr>
                <w:rFonts w:ascii="Arial" w:cs="Arial" w:eastAsia="Arial" w:hAnsi="Arial"/>
                <w:sz w:val="22"/>
                <w:szCs w:val="22"/>
                <w:color w:val="auto"/>
                <w:w w:val="95"/>
              </w:rPr>
              <w:t>Limitation on Suits</w:t>
            </w:r>
          </w:p>
        </w:tc>
        <w:tc>
          <w:tcPr>
            <w:tcW w:w="6180" w:type="dxa"/>
            <w:vAlign w:val="bottom"/>
            <w:gridSpan w:val="15"/>
          </w:tcPr>
          <w:p>
            <w:pPr>
              <w:spacing w:after="0"/>
              <w:rPr>
                <w:sz w:val="19"/>
                <w:szCs w:val="19"/>
                <w:color w:val="auto"/>
              </w:rPr>
            </w:pPr>
          </w:p>
        </w:tc>
        <w:tc>
          <w:tcPr>
            <w:tcW w:w="14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267"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5"/>
        </w:trPr>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399"/>
        </w:trPr>
        <w:tc>
          <w:tcPr>
            <w:tcW w:w="9280" w:type="dxa"/>
            <w:vAlign w:val="bottom"/>
            <w:gridSpan w:val="29"/>
          </w:tcPr>
          <w:p>
            <w:pPr>
              <w:spacing w:after="0"/>
              <w:rPr>
                <w:sz w:val="20"/>
                <w:szCs w:val="20"/>
                <w:color w:val="auto"/>
              </w:rPr>
            </w:pPr>
            <w:r>
              <w:rPr>
                <w:rFonts w:ascii="Arial" w:cs="Arial" w:eastAsia="Arial" w:hAnsi="Arial"/>
                <w:sz w:val="22"/>
                <w:szCs w:val="22"/>
                <w:color w:val="auto"/>
              </w:rPr>
              <w:t>SECTION 6.07.  No Personal Liability of Directors, Officers, Employees and Stockholders</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23"/>
        </w:trPr>
        <w:tc>
          <w:tcPr>
            <w:tcW w:w="6880" w:type="dxa"/>
            <w:vAlign w:val="bottom"/>
            <w:gridSpan w:val="27"/>
          </w:tcPr>
          <w:p>
            <w:pPr>
              <w:spacing w:after="0" w:line="223" w:lineRule="exact"/>
              <w:rPr>
                <w:sz w:val="20"/>
                <w:szCs w:val="20"/>
                <w:color w:val="auto"/>
              </w:rPr>
            </w:pPr>
            <w:r>
              <w:rPr>
                <w:rFonts w:ascii="Arial" w:cs="Arial" w:eastAsia="Arial" w:hAnsi="Arial"/>
                <w:sz w:val="22"/>
                <w:szCs w:val="22"/>
                <w:color w:val="auto"/>
              </w:rPr>
              <w:t>SECTION 6.08.  Rights of Holders To Receive Payment</w:t>
            </w:r>
          </w:p>
        </w:tc>
        <w:tc>
          <w:tcPr>
            <w:tcW w:w="11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6.09.  Collection Suit by Trustee</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6.10.  Trustee May File Proofs of Claim</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2"/>
                <w:szCs w:val="22"/>
                <w:color w:val="auto"/>
                <w:w w:val="90"/>
              </w:rPr>
              <w:t>SECTION 6.11.</w:t>
            </w: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18"/>
          </w:tcPr>
          <w:p>
            <w:pPr>
              <w:ind w:left="180"/>
              <w:spacing w:after="0" w:line="223" w:lineRule="exact"/>
              <w:rPr>
                <w:sz w:val="20"/>
                <w:szCs w:val="20"/>
                <w:color w:val="auto"/>
              </w:rPr>
            </w:pPr>
            <w:r>
              <w:rPr>
                <w:rFonts w:ascii="Arial" w:cs="Arial" w:eastAsia="Arial" w:hAnsi="Arial"/>
                <w:sz w:val="22"/>
                <w:szCs w:val="22"/>
                <w:color w:val="auto"/>
              </w:rPr>
              <w:t>Priorities</w:t>
            </w:r>
          </w:p>
        </w:tc>
        <w:tc>
          <w:tcPr>
            <w:tcW w:w="4760" w:type="dxa"/>
            <w:vAlign w:val="bottom"/>
            <w:gridSpan w:val="8"/>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6.12.  Undertaking for Costs</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7"/>
          </w:tcPr>
          <w:p>
            <w:pPr>
              <w:jc w:val="center"/>
              <w:ind w:right="2880"/>
              <w:spacing w:after="0"/>
              <w:rPr>
                <w:sz w:val="20"/>
                <w:szCs w:val="20"/>
                <w:color w:val="auto"/>
              </w:rPr>
            </w:pPr>
            <w:r>
              <w:rPr>
                <w:rFonts w:ascii="Arial" w:cs="Arial" w:eastAsia="Arial" w:hAnsi="Arial"/>
                <w:sz w:val="22"/>
                <w:szCs w:val="22"/>
                <w:color w:val="auto"/>
                <w:w w:val="95"/>
              </w:rPr>
              <w:t>ARTICLE SEVEN</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5"/>
          </w:tcPr>
          <w:p>
            <w:pPr>
              <w:jc w:val="center"/>
              <w:ind w:right="3300"/>
              <w:spacing w:after="0"/>
              <w:rPr>
                <w:sz w:val="20"/>
                <w:szCs w:val="20"/>
                <w:color w:val="auto"/>
              </w:rPr>
            </w:pPr>
            <w:r>
              <w:rPr>
                <w:rFonts w:ascii="Arial" w:cs="Arial" w:eastAsia="Arial" w:hAnsi="Arial"/>
                <w:sz w:val="22"/>
                <w:szCs w:val="22"/>
                <w:color w:val="auto"/>
                <w:w w:val="91"/>
              </w:rPr>
              <w:t>TRUSTEE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440" w:type="dxa"/>
            <w:vAlign w:val="bottom"/>
            <w:gridSpan w:val="3"/>
          </w:tcPr>
          <w:p>
            <w:pPr>
              <w:spacing w:after="0"/>
              <w:rPr>
                <w:sz w:val="20"/>
                <w:szCs w:val="20"/>
                <w:color w:val="auto"/>
              </w:rPr>
            </w:pPr>
            <w:r>
              <w:rPr>
                <w:rFonts w:ascii="Arial" w:cs="Arial" w:eastAsia="Arial" w:hAnsi="Arial"/>
                <w:sz w:val="22"/>
                <w:szCs w:val="22"/>
                <w:color w:val="auto"/>
                <w:w w:val="92"/>
              </w:rPr>
              <w:t>SECTION 7.01.</w:t>
            </w: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22"/>
                <w:szCs w:val="22"/>
                <w:color w:val="auto"/>
                <w:w w:val="88"/>
              </w:rPr>
              <w:t>Duties of Trustee</w:t>
            </w:r>
          </w:p>
        </w:tc>
        <w:tc>
          <w:tcPr>
            <w:tcW w:w="6160" w:type="dxa"/>
            <w:vAlign w:val="bottom"/>
            <w:gridSpan w:val="2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23"/>
        </w:trPr>
        <w:tc>
          <w:tcPr>
            <w:tcW w:w="1440" w:type="dxa"/>
            <w:vAlign w:val="bottom"/>
            <w:gridSpan w:val="3"/>
          </w:tcPr>
          <w:p>
            <w:pPr>
              <w:spacing w:after="0" w:line="223" w:lineRule="exact"/>
              <w:rPr>
                <w:sz w:val="20"/>
                <w:szCs w:val="20"/>
                <w:color w:val="auto"/>
              </w:rPr>
            </w:pPr>
            <w:r>
              <w:rPr>
                <w:rFonts w:ascii="Arial" w:cs="Arial" w:eastAsia="Arial" w:hAnsi="Arial"/>
                <w:sz w:val="22"/>
                <w:szCs w:val="22"/>
                <w:color w:val="auto"/>
                <w:w w:val="92"/>
              </w:rPr>
              <w:t>SECTION 7.02.</w:t>
            </w:r>
          </w:p>
        </w:tc>
        <w:tc>
          <w:tcPr>
            <w:tcW w:w="1680" w:type="dxa"/>
            <w:vAlign w:val="bottom"/>
            <w:tcBorders>
              <w:bottom w:val="single" w:sz="8" w:color="auto"/>
            </w:tcBorders>
            <w:gridSpan w:val="4"/>
          </w:tcPr>
          <w:p>
            <w:pPr>
              <w:ind w:left="180"/>
              <w:spacing w:after="0" w:line="223" w:lineRule="exact"/>
              <w:rPr>
                <w:sz w:val="20"/>
                <w:szCs w:val="20"/>
                <w:color w:val="auto"/>
              </w:rPr>
            </w:pPr>
            <w:r>
              <w:rPr>
                <w:rFonts w:ascii="Arial" w:cs="Arial" w:eastAsia="Arial" w:hAnsi="Arial"/>
                <w:sz w:val="22"/>
                <w:szCs w:val="22"/>
                <w:color w:val="auto"/>
                <w:w w:val="88"/>
              </w:rPr>
              <w:t>Rights of Trustee</w:t>
            </w:r>
          </w:p>
        </w:tc>
        <w:tc>
          <w:tcPr>
            <w:tcW w:w="6160" w:type="dxa"/>
            <w:vAlign w:val="bottom"/>
            <w:gridSpan w:val="22"/>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7.03.  Individual Rights of Trustee</w:t>
            </w: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23"/>
        </w:trPr>
        <w:tc>
          <w:tcPr>
            <w:tcW w:w="1440" w:type="dxa"/>
            <w:vAlign w:val="bottom"/>
            <w:gridSpan w:val="3"/>
          </w:tcPr>
          <w:p>
            <w:pPr>
              <w:spacing w:after="0" w:line="223" w:lineRule="exact"/>
              <w:rPr>
                <w:sz w:val="20"/>
                <w:szCs w:val="20"/>
                <w:color w:val="auto"/>
              </w:rPr>
            </w:pPr>
            <w:r>
              <w:rPr>
                <w:rFonts w:ascii="Arial" w:cs="Arial" w:eastAsia="Arial" w:hAnsi="Arial"/>
                <w:sz w:val="22"/>
                <w:szCs w:val="22"/>
                <w:color w:val="auto"/>
                <w:w w:val="92"/>
              </w:rPr>
              <w:t>SECTION 7.04.</w:t>
            </w:r>
          </w:p>
        </w:tc>
        <w:tc>
          <w:tcPr>
            <w:tcW w:w="2620" w:type="dxa"/>
            <w:vAlign w:val="bottom"/>
            <w:tcBorders>
              <w:top w:val="single" w:sz="8" w:color="auto"/>
            </w:tcBorders>
            <w:gridSpan w:val="14"/>
          </w:tcPr>
          <w:p>
            <w:pPr>
              <w:ind w:left="180"/>
              <w:spacing w:after="0" w:line="223" w:lineRule="exact"/>
              <w:rPr>
                <w:sz w:val="20"/>
                <w:szCs w:val="20"/>
                <w:color w:val="auto"/>
              </w:rPr>
            </w:pPr>
            <w:r>
              <w:rPr>
                <w:rFonts w:ascii="Arial" w:cs="Arial" w:eastAsia="Arial" w:hAnsi="Arial"/>
                <w:sz w:val="22"/>
                <w:szCs w:val="22"/>
                <w:color w:val="auto"/>
              </w:rPr>
              <w:t>Trustee’s Disclaimer</w:t>
            </w:r>
          </w:p>
        </w:tc>
        <w:tc>
          <w:tcPr>
            <w:tcW w:w="5220" w:type="dxa"/>
            <w:vAlign w:val="bottom"/>
            <w:gridSpan w:val="12"/>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23"/>
        </w:trPr>
        <w:tc>
          <w:tcPr>
            <w:tcW w:w="1440" w:type="dxa"/>
            <w:vAlign w:val="bottom"/>
            <w:gridSpan w:val="3"/>
          </w:tcPr>
          <w:p>
            <w:pPr>
              <w:spacing w:after="0" w:line="223" w:lineRule="exact"/>
              <w:rPr>
                <w:sz w:val="20"/>
                <w:szCs w:val="20"/>
                <w:color w:val="auto"/>
              </w:rPr>
            </w:pPr>
            <w:r>
              <w:rPr>
                <w:rFonts w:ascii="Arial" w:cs="Arial" w:eastAsia="Arial" w:hAnsi="Arial"/>
                <w:sz w:val="22"/>
                <w:szCs w:val="22"/>
                <w:color w:val="auto"/>
                <w:w w:val="92"/>
              </w:rPr>
              <w:t>SECTION 7.05.</w:t>
            </w:r>
          </w:p>
        </w:tc>
        <w:tc>
          <w:tcPr>
            <w:tcW w:w="1780" w:type="dxa"/>
            <w:vAlign w:val="bottom"/>
            <w:tcBorders>
              <w:top w:val="single" w:sz="8" w:color="auto"/>
              <w:bottom w:val="single" w:sz="8" w:color="auto"/>
            </w:tcBorders>
            <w:gridSpan w:val="6"/>
          </w:tcPr>
          <w:p>
            <w:pPr>
              <w:ind w:left="180"/>
              <w:spacing w:after="0" w:line="223" w:lineRule="exact"/>
              <w:rPr>
                <w:sz w:val="20"/>
                <w:szCs w:val="20"/>
                <w:color w:val="auto"/>
              </w:rPr>
            </w:pPr>
            <w:r>
              <w:rPr>
                <w:rFonts w:ascii="Arial" w:cs="Arial" w:eastAsia="Arial" w:hAnsi="Arial"/>
                <w:sz w:val="22"/>
                <w:szCs w:val="22"/>
                <w:color w:val="auto"/>
                <w:w w:val="90"/>
              </w:rPr>
              <w:t>Notice of Defaults</w:t>
            </w:r>
          </w:p>
        </w:tc>
        <w:tc>
          <w:tcPr>
            <w:tcW w:w="180" w:type="dxa"/>
            <w:vAlign w:val="bottom"/>
            <w:tcBorders>
              <w:top w:val="single" w:sz="8" w:color="auto"/>
            </w:tcBorders>
          </w:tcPr>
          <w:p>
            <w:pPr>
              <w:spacing w:after="0"/>
              <w:rPr>
                <w:sz w:val="19"/>
                <w:szCs w:val="19"/>
                <w:color w:val="auto"/>
              </w:rPr>
            </w:pPr>
          </w:p>
        </w:tc>
        <w:tc>
          <w:tcPr>
            <w:tcW w:w="5880" w:type="dxa"/>
            <w:vAlign w:val="bottom"/>
            <w:gridSpan w:val="19"/>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7.06.  Reports by Trustee to Holders</w:t>
            </w: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7.07.  Compensation and Indemnity</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68</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7.08.  Replacement of Trustee</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69</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7.09.  Successor Trustee by Consolidation, Merger, etc.</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line="223" w:lineRule="exact"/>
              <w:rPr>
                <w:sz w:val="20"/>
                <w:szCs w:val="20"/>
                <w:color w:val="auto"/>
              </w:rPr>
            </w:pPr>
            <w:r>
              <w:rPr>
                <w:rFonts w:ascii="Arial" w:cs="Arial" w:eastAsia="Arial" w:hAnsi="Arial"/>
                <w:sz w:val="22"/>
                <w:szCs w:val="22"/>
                <w:color w:val="auto"/>
                <w:w w:val="91"/>
              </w:rPr>
              <w:t>SECTION 7.10.</w:t>
            </w:r>
          </w:p>
        </w:tc>
        <w:tc>
          <w:tcPr>
            <w:tcW w:w="20" w:type="dxa"/>
            <w:vAlign w:val="bottom"/>
          </w:tcPr>
          <w:p>
            <w:pPr>
              <w:spacing w:after="0"/>
              <w:rPr>
                <w:sz w:val="19"/>
                <w:szCs w:val="19"/>
                <w:color w:val="auto"/>
              </w:rPr>
            </w:pPr>
          </w:p>
        </w:tc>
        <w:tc>
          <w:tcPr>
            <w:tcW w:w="4360" w:type="dxa"/>
            <w:vAlign w:val="bottom"/>
            <w:tcBorders>
              <w:top w:val="single" w:sz="8" w:color="auto"/>
            </w:tcBorders>
            <w:gridSpan w:val="23"/>
          </w:tcPr>
          <w:p>
            <w:pPr>
              <w:ind w:left="180"/>
              <w:spacing w:after="0" w:line="223" w:lineRule="exact"/>
              <w:rPr>
                <w:sz w:val="20"/>
                <w:szCs w:val="20"/>
                <w:color w:val="auto"/>
              </w:rPr>
            </w:pPr>
            <w:r>
              <w:rPr>
                <w:rFonts w:ascii="Arial" w:cs="Arial" w:eastAsia="Arial" w:hAnsi="Arial"/>
                <w:sz w:val="22"/>
                <w:szCs w:val="22"/>
                <w:color w:val="auto"/>
              </w:rPr>
              <w:t>Eligibility; Disqualification</w:t>
            </w:r>
          </w:p>
        </w:tc>
        <w:tc>
          <w:tcPr>
            <w:tcW w:w="3480" w:type="dxa"/>
            <w:vAlign w:val="bottom"/>
            <w:gridSpan w:val="3"/>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69</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7.11.  Preferential Collection of Claims Against Issuer</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2"/>
                <w:szCs w:val="22"/>
                <w:color w:val="auto"/>
                <w:w w:val="90"/>
              </w:rPr>
              <w:t>SECTION 7.12.</w:t>
            </w:r>
          </w:p>
        </w:tc>
        <w:tc>
          <w:tcPr>
            <w:tcW w:w="40" w:type="dxa"/>
            <w:vAlign w:val="bottom"/>
            <w:tcBorders>
              <w:top w:val="single" w:sz="8" w:color="auto"/>
            </w:tcBorders>
            <w:gridSpan w:val="2"/>
          </w:tcPr>
          <w:p>
            <w:pPr>
              <w:spacing w:after="0"/>
              <w:rPr>
                <w:sz w:val="19"/>
                <w:szCs w:val="19"/>
                <w:color w:val="auto"/>
              </w:rPr>
            </w:pPr>
          </w:p>
        </w:tc>
        <w:tc>
          <w:tcPr>
            <w:tcW w:w="4320" w:type="dxa"/>
            <w:vAlign w:val="bottom"/>
            <w:tcBorders>
              <w:top w:val="single" w:sz="8" w:color="auto"/>
            </w:tcBorders>
            <w:gridSpan w:val="22"/>
          </w:tcPr>
          <w:p>
            <w:pPr>
              <w:ind w:left="180"/>
              <w:spacing w:after="0" w:line="223" w:lineRule="exact"/>
              <w:rPr>
                <w:sz w:val="20"/>
                <w:szCs w:val="20"/>
                <w:color w:val="auto"/>
              </w:rPr>
            </w:pPr>
            <w:r>
              <w:rPr>
                <w:rFonts w:ascii="Arial" w:cs="Arial" w:eastAsia="Arial" w:hAnsi="Arial"/>
                <w:sz w:val="22"/>
                <w:szCs w:val="22"/>
                <w:color w:val="auto"/>
              </w:rPr>
              <w:t>Paying Agents</w:t>
            </w:r>
          </w:p>
        </w:tc>
        <w:tc>
          <w:tcPr>
            <w:tcW w:w="3520" w:type="dxa"/>
            <w:vAlign w:val="bottom"/>
            <w:gridSpan w:val="4"/>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0"/>
        </w:trPr>
        <w:tc>
          <w:tcPr>
            <w:tcW w:w="144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w w:val="92"/>
              </w:rPr>
              <w:t>SECTION 7.13.</w:t>
            </w:r>
          </w:p>
        </w:tc>
        <w:tc>
          <w:tcPr>
            <w:tcW w:w="1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70</w:t>
            </w:r>
          </w:p>
        </w:tc>
        <w:tc>
          <w:tcPr>
            <w:tcW w:w="0" w:type="dxa"/>
            <w:vAlign w:val="bottom"/>
          </w:tcPr>
          <w:p>
            <w:pPr>
              <w:spacing w:after="0" w:line="20" w:lineRule="exact"/>
              <w:rPr>
                <w:sz w:val="1"/>
                <w:szCs w:val="1"/>
                <w:color w:val="auto"/>
              </w:rPr>
            </w:pPr>
          </w:p>
        </w:tc>
      </w:tr>
      <w:tr>
        <w:trPr>
          <w:trHeight w:val="223"/>
        </w:trPr>
        <w:tc>
          <w:tcPr>
            <w:tcW w:w="1440" w:type="dxa"/>
            <w:vAlign w:val="bottom"/>
            <w:gridSpan w:val="3"/>
            <w:vMerge w:val="continue"/>
          </w:tcPr>
          <w:p>
            <w:pPr>
              <w:spacing w:after="0"/>
              <w:rPr>
                <w:sz w:val="19"/>
                <w:szCs w:val="19"/>
                <w:color w:val="auto"/>
              </w:rPr>
            </w:pPr>
          </w:p>
        </w:tc>
        <w:tc>
          <w:tcPr>
            <w:tcW w:w="7840" w:type="dxa"/>
            <w:vAlign w:val="bottom"/>
            <w:gridSpan w:val="26"/>
          </w:tcPr>
          <w:p>
            <w:pPr>
              <w:ind w:left="180"/>
              <w:spacing w:after="0" w:line="223" w:lineRule="exact"/>
              <w:rPr>
                <w:sz w:val="20"/>
                <w:szCs w:val="20"/>
                <w:color w:val="auto"/>
              </w:rPr>
            </w:pPr>
            <w:r>
              <w:rPr>
                <w:rFonts w:ascii="Arial" w:cs="Arial" w:eastAsia="Arial" w:hAnsi="Arial"/>
                <w:sz w:val="22"/>
                <w:szCs w:val="22"/>
                <w:color w:val="auto"/>
              </w:rPr>
              <w:t>Communications</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7"/>
          </w:tcPr>
          <w:p>
            <w:pPr>
              <w:jc w:val="center"/>
              <w:ind w:right="2900"/>
              <w:spacing w:after="0"/>
              <w:rPr>
                <w:sz w:val="20"/>
                <w:szCs w:val="20"/>
                <w:color w:val="auto"/>
              </w:rPr>
            </w:pPr>
            <w:r>
              <w:rPr>
                <w:rFonts w:ascii="Arial" w:cs="Arial" w:eastAsia="Arial" w:hAnsi="Arial"/>
                <w:sz w:val="22"/>
                <w:szCs w:val="22"/>
                <w:color w:val="auto"/>
                <w:w w:val="96"/>
              </w:rPr>
              <w:t>ARTICLE EIGHT</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60" w:type="dxa"/>
            <w:vAlign w:val="bottom"/>
            <w:gridSpan w:val="20"/>
          </w:tcPr>
          <w:p>
            <w:pPr>
              <w:jc w:val="center"/>
              <w:ind w:right="1520"/>
              <w:spacing w:after="0"/>
              <w:rPr>
                <w:sz w:val="20"/>
                <w:szCs w:val="20"/>
                <w:color w:val="auto"/>
              </w:rPr>
            </w:pPr>
            <w:r>
              <w:rPr>
                <w:rFonts w:ascii="Arial" w:cs="Arial" w:eastAsia="Arial" w:hAnsi="Arial"/>
                <w:sz w:val="22"/>
                <w:szCs w:val="22"/>
                <w:color w:val="auto"/>
                <w:w w:val="95"/>
              </w:rPr>
              <w:t>AMENDMENT, SUPPLEMENT AND WAIVER</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280" w:type="dxa"/>
            <w:vAlign w:val="bottom"/>
            <w:gridSpan w:val="29"/>
          </w:tcPr>
          <w:p>
            <w:pPr>
              <w:spacing w:after="0"/>
              <w:rPr>
                <w:sz w:val="20"/>
                <w:szCs w:val="20"/>
                <w:color w:val="auto"/>
              </w:rPr>
            </w:pPr>
            <w:r>
              <w:rPr>
                <w:rFonts w:ascii="Arial" w:cs="Arial" w:eastAsia="Arial" w:hAnsi="Arial"/>
                <w:sz w:val="22"/>
                <w:szCs w:val="22"/>
                <w:color w:val="auto"/>
              </w:rPr>
              <w:t>SECTION 8.01.  Without Consent of Noteholders</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71</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8.02.  With Consent of Noteholders</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8.03.  Compliance with Trust Indenture Act</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80" w:type="dxa"/>
            <w:vAlign w:val="bottom"/>
            <w:tcBorders>
              <w:right w:val="single" w:sz="8" w:color="auto"/>
            </w:tcBorders>
            <w:gridSpan w:val="9"/>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8.04.  Revocation and Effect of Consents</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80" w:type="dxa"/>
            <w:vAlign w:val="bottom"/>
            <w:tcBorders>
              <w:right w:val="single" w:sz="8" w:color="auto"/>
            </w:tcBorders>
            <w:gridSpan w:val="9"/>
            <w:shd w:val="clear" w:color="auto" w:fill="000000"/>
          </w:tcPr>
          <w:p>
            <w:pPr>
              <w:spacing w:after="0" w:line="20" w:lineRule="exact"/>
              <w:rPr>
                <w:sz w:val="1"/>
                <w:szCs w:val="1"/>
                <w:color w:val="auto"/>
              </w:rPr>
            </w:pPr>
          </w:p>
        </w:tc>
        <w:tc>
          <w:tcPr>
            <w:tcW w:w="4700" w:type="dxa"/>
            <w:vAlign w:val="bottom"/>
            <w:tcBorders>
              <w:left w:val="single" w:sz="8" w:color="auto"/>
            </w:tcBorders>
            <w:gridSpan w:val="7"/>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74</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8.05.  Notation on or Exchange of Notes</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80" w:type="dxa"/>
            <w:vAlign w:val="bottom"/>
            <w:tcBorders>
              <w:right w:val="single" w:sz="8" w:color="auto"/>
            </w:tcBorders>
            <w:gridSpan w:val="9"/>
            <w:shd w:val="clear" w:color="auto" w:fill="000000"/>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74</w:t>
            </w:r>
          </w:p>
        </w:tc>
        <w:tc>
          <w:tcPr>
            <w:tcW w:w="0" w:type="dxa"/>
            <w:vAlign w:val="bottom"/>
          </w:tcPr>
          <w:p>
            <w:pPr>
              <w:spacing w:after="0" w:line="20" w:lineRule="exact"/>
              <w:rPr>
                <w:sz w:val="1"/>
                <w:szCs w:val="1"/>
                <w:color w:val="auto"/>
              </w:rPr>
            </w:pPr>
          </w:p>
        </w:tc>
      </w:tr>
      <w:tr>
        <w:trPr>
          <w:trHeight w:val="223"/>
        </w:trPr>
        <w:tc>
          <w:tcPr>
            <w:tcW w:w="9280" w:type="dxa"/>
            <w:vAlign w:val="bottom"/>
            <w:gridSpan w:val="29"/>
          </w:tcPr>
          <w:p>
            <w:pPr>
              <w:spacing w:after="0" w:line="223" w:lineRule="exact"/>
              <w:rPr>
                <w:sz w:val="20"/>
                <w:szCs w:val="20"/>
                <w:color w:val="auto"/>
              </w:rPr>
            </w:pPr>
            <w:r>
              <w:rPr>
                <w:rFonts w:ascii="Arial" w:cs="Arial" w:eastAsia="Arial" w:hAnsi="Arial"/>
                <w:sz w:val="22"/>
                <w:szCs w:val="22"/>
                <w:color w:val="auto"/>
              </w:rPr>
              <w:t>SECTION 8.06.  Trustee To Sign Amendments, etc.</w:t>
            </w: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700" w:type="dxa"/>
            <w:vAlign w:val="bottom"/>
            <w:gridSpan w:val="7"/>
          </w:tcPr>
          <w:p>
            <w:pPr>
              <w:jc w:val="center"/>
              <w:ind w:right="2880"/>
              <w:spacing w:after="0"/>
              <w:rPr>
                <w:sz w:val="20"/>
                <w:szCs w:val="20"/>
                <w:color w:val="auto"/>
              </w:rPr>
            </w:pPr>
            <w:r>
              <w:rPr>
                <w:rFonts w:ascii="Arial" w:cs="Arial" w:eastAsia="Arial" w:hAnsi="Arial"/>
                <w:sz w:val="22"/>
                <w:szCs w:val="22"/>
                <w:color w:val="auto"/>
                <w:w w:val="96"/>
              </w:rPr>
              <w:t>ARTICLE NINE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60" w:type="dxa"/>
            <w:vAlign w:val="bottom"/>
            <w:gridSpan w:val="20"/>
          </w:tcPr>
          <w:p>
            <w:pPr>
              <w:jc w:val="center"/>
              <w:ind w:right="1520"/>
              <w:spacing w:after="0"/>
              <w:rPr>
                <w:sz w:val="20"/>
                <w:szCs w:val="20"/>
                <w:color w:val="auto"/>
              </w:rPr>
            </w:pPr>
            <w:r>
              <w:rPr>
                <w:rFonts w:ascii="Arial" w:cs="Arial" w:eastAsia="Arial" w:hAnsi="Arial"/>
                <w:sz w:val="22"/>
                <w:szCs w:val="22"/>
                <w:color w:val="auto"/>
                <w:w w:val="94"/>
              </w:rPr>
              <w:t>DISCHARGE OF INDENTURE; DEFEASANCE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280" w:type="dxa"/>
            <w:vAlign w:val="bottom"/>
            <w:gridSpan w:val="29"/>
          </w:tcPr>
          <w:p>
            <w:pPr>
              <w:spacing w:after="0"/>
              <w:rPr>
                <w:sz w:val="20"/>
                <w:szCs w:val="20"/>
                <w:color w:val="auto"/>
              </w:rPr>
            </w:pPr>
            <w:r>
              <w:rPr>
                <w:rFonts w:ascii="Arial" w:cs="Arial" w:eastAsia="Arial" w:hAnsi="Arial"/>
                <w:sz w:val="22"/>
                <w:szCs w:val="22"/>
                <w:color w:val="auto"/>
              </w:rPr>
              <w:t>SECTION 9.01.  Discharge of Indenture</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3"/>
        </w:trPr>
        <w:tc>
          <w:tcPr>
            <w:tcW w:w="1440" w:type="dxa"/>
            <w:vAlign w:val="bottom"/>
            <w:gridSpan w:val="3"/>
          </w:tcPr>
          <w:p>
            <w:pPr>
              <w:spacing w:after="0" w:line="223" w:lineRule="exact"/>
              <w:rPr>
                <w:sz w:val="20"/>
                <w:szCs w:val="20"/>
                <w:color w:val="auto"/>
              </w:rPr>
            </w:pPr>
            <w:r>
              <w:rPr>
                <w:rFonts w:ascii="Arial" w:cs="Arial" w:eastAsia="Arial" w:hAnsi="Arial"/>
                <w:sz w:val="22"/>
                <w:szCs w:val="22"/>
                <w:color w:val="auto"/>
                <w:w w:val="92"/>
              </w:rPr>
              <w:t>SECTION 9.02.</w:t>
            </w:r>
          </w:p>
        </w:tc>
        <w:tc>
          <w:tcPr>
            <w:tcW w:w="2160" w:type="dxa"/>
            <w:vAlign w:val="bottom"/>
            <w:tcBorders>
              <w:top w:val="single" w:sz="8" w:color="auto"/>
            </w:tcBorders>
            <w:gridSpan w:val="10"/>
          </w:tcPr>
          <w:p>
            <w:pPr>
              <w:ind w:left="180"/>
              <w:spacing w:after="0" w:line="223" w:lineRule="exact"/>
              <w:rPr>
                <w:sz w:val="20"/>
                <w:szCs w:val="20"/>
                <w:color w:val="auto"/>
              </w:rPr>
            </w:pPr>
            <w:r>
              <w:rPr>
                <w:rFonts w:ascii="Arial" w:cs="Arial" w:eastAsia="Arial" w:hAnsi="Arial"/>
                <w:sz w:val="22"/>
                <w:szCs w:val="22"/>
                <w:color w:val="auto"/>
              </w:rPr>
              <w:t>Legal Defeasance</w:t>
            </w:r>
          </w:p>
        </w:tc>
        <w:tc>
          <w:tcPr>
            <w:tcW w:w="5680" w:type="dxa"/>
            <w:vAlign w:val="bottom"/>
            <w:gridSpan w:val="16"/>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0"/>
        </w:trPr>
        <w:tc>
          <w:tcPr>
            <w:tcW w:w="144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w w:val="92"/>
              </w:rPr>
              <w:t>SECTION 9.03.</w:t>
            </w:r>
          </w:p>
        </w:tc>
        <w:tc>
          <w:tcPr>
            <w:tcW w:w="1720" w:type="dxa"/>
            <w:vAlign w:val="bottom"/>
            <w:gridSpan w:val="5"/>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17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76</w:t>
            </w:r>
          </w:p>
        </w:tc>
        <w:tc>
          <w:tcPr>
            <w:tcW w:w="0" w:type="dxa"/>
            <w:vAlign w:val="bottom"/>
          </w:tcPr>
          <w:p>
            <w:pPr>
              <w:spacing w:after="0" w:line="20" w:lineRule="exact"/>
              <w:rPr>
                <w:sz w:val="1"/>
                <w:szCs w:val="1"/>
                <w:color w:val="auto"/>
              </w:rPr>
            </w:pPr>
          </w:p>
        </w:tc>
      </w:tr>
      <w:tr>
        <w:trPr>
          <w:trHeight w:val="223"/>
        </w:trPr>
        <w:tc>
          <w:tcPr>
            <w:tcW w:w="1440" w:type="dxa"/>
            <w:vAlign w:val="bottom"/>
            <w:gridSpan w:val="3"/>
            <w:vMerge w:val="continue"/>
          </w:tcPr>
          <w:p>
            <w:pPr>
              <w:spacing w:after="0"/>
              <w:rPr>
                <w:sz w:val="19"/>
                <w:szCs w:val="19"/>
                <w:color w:val="auto"/>
              </w:rPr>
            </w:pPr>
          </w:p>
        </w:tc>
        <w:tc>
          <w:tcPr>
            <w:tcW w:w="2060" w:type="dxa"/>
            <w:vAlign w:val="bottom"/>
            <w:tcBorders>
              <w:bottom w:val="single" w:sz="8" w:color="auto"/>
            </w:tcBorders>
            <w:gridSpan w:val="8"/>
          </w:tcPr>
          <w:p>
            <w:pPr>
              <w:ind w:left="180"/>
              <w:spacing w:after="0" w:line="223" w:lineRule="exact"/>
              <w:rPr>
                <w:sz w:val="20"/>
                <w:szCs w:val="20"/>
                <w:color w:val="auto"/>
              </w:rPr>
            </w:pPr>
            <w:r>
              <w:rPr>
                <w:rFonts w:ascii="Arial" w:cs="Arial" w:eastAsia="Arial" w:hAnsi="Arial"/>
                <w:sz w:val="22"/>
                <w:szCs w:val="22"/>
                <w:color w:val="auto"/>
                <w:w w:val="85"/>
              </w:rPr>
              <w:t>Covenant Defeasance</w:t>
            </w:r>
          </w:p>
        </w:tc>
        <w:tc>
          <w:tcPr>
            <w:tcW w:w="5780" w:type="dxa"/>
            <w:vAlign w:val="bottom"/>
            <w:gridSpan w:val="18"/>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267"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65"/>
        </w:trPr>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399"/>
        </w:trPr>
        <w:tc>
          <w:tcPr>
            <w:tcW w:w="9480" w:type="dxa"/>
            <w:vAlign w:val="bottom"/>
            <w:gridSpan w:val="29"/>
          </w:tcPr>
          <w:p>
            <w:pPr>
              <w:spacing w:after="0"/>
              <w:rPr>
                <w:sz w:val="20"/>
                <w:szCs w:val="20"/>
                <w:color w:val="auto"/>
              </w:rPr>
            </w:pPr>
            <w:r>
              <w:rPr>
                <w:rFonts w:ascii="Arial" w:cs="Arial" w:eastAsia="Arial" w:hAnsi="Arial"/>
                <w:sz w:val="22"/>
                <w:szCs w:val="22"/>
                <w:color w:val="auto"/>
              </w:rPr>
              <w:t>SECTION 9.04.  Conditions to Defeasance or Covenant Defeasance</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9.05.  Deposited Money and EU Government Obligations To Be Held in Trust</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9.06.  Reinstatement</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9.07.  Moneys Held by Paying Agent</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9.08.  Moneys Held by Trustee</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1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10"/>
          </w:tcPr>
          <w:p>
            <w:pPr>
              <w:jc w:val="center"/>
              <w:ind w:right="3180"/>
              <w:spacing w:after="0"/>
              <w:rPr>
                <w:sz w:val="20"/>
                <w:szCs w:val="20"/>
                <w:color w:val="auto"/>
              </w:rPr>
            </w:pPr>
            <w:r>
              <w:rPr>
                <w:rFonts w:ascii="Arial" w:cs="Arial" w:eastAsia="Arial" w:hAnsi="Arial"/>
                <w:sz w:val="22"/>
                <w:szCs w:val="22"/>
                <w:color w:val="auto"/>
                <w:w w:val="96"/>
              </w:rPr>
              <w:t>ARTICLE TEN</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gridSpan w:val="15"/>
          </w:tcPr>
          <w:p>
            <w:pPr>
              <w:jc w:val="center"/>
              <w:ind w:right="2260"/>
              <w:spacing w:after="0"/>
              <w:rPr>
                <w:sz w:val="20"/>
                <w:szCs w:val="20"/>
                <w:color w:val="auto"/>
              </w:rPr>
            </w:pPr>
            <w:r>
              <w:rPr>
                <w:rFonts w:ascii="Arial" w:cs="Arial" w:eastAsia="Arial" w:hAnsi="Arial"/>
                <w:sz w:val="22"/>
                <w:szCs w:val="22"/>
                <w:color w:val="auto"/>
                <w:w w:val="94"/>
              </w:rPr>
              <w:t>GUARANTEE OF SECURITIES</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480" w:type="dxa"/>
            <w:vAlign w:val="bottom"/>
            <w:gridSpan w:val="29"/>
          </w:tcPr>
          <w:p>
            <w:pPr>
              <w:spacing w:after="0"/>
              <w:rPr>
                <w:sz w:val="20"/>
                <w:szCs w:val="20"/>
                <w:color w:val="auto"/>
              </w:rPr>
            </w:pPr>
            <w:r>
              <w:rPr>
                <w:rFonts w:ascii="Arial" w:cs="Arial" w:eastAsia="Arial" w:hAnsi="Arial"/>
                <w:sz w:val="22"/>
                <w:szCs w:val="22"/>
                <w:color w:val="auto"/>
              </w:rPr>
              <w:t>SECTION 10.01. Guarantee</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81</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10.02. Execution and Delivery of Note Guarantee</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82</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10.03. Release of Guarantors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10.04. Waiver of Subrogation</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10.05. Notice to Trustee</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10.06. Limitation on Guarantor’s Liability</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11"/>
          </w:tcPr>
          <w:p>
            <w:pPr>
              <w:jc w:val="center"/>
              <w:ind w:right="2920"/>
              <w:spacing w:after="0"/>
              <w:rPr>
                <w:sz w:val="20"/>
                <w:szCs w:val="20"/>
                <w:color w:val="auto"/>
              </w:rPr>
            </w:pPr>
            <w:r>
              <w:rPr>
                <w:rFonts w:ascii="Arial" w:cs="Arial" w:eastAsia="Arial" w:hAnsi="Arial"/>
                <w:sz w:val="22"/>
                <w:szCs w:val="22"/>
                <w:color w:val="auto"/>
                <w:w w:val="95"/>
              </w:rPr>
              <w:t>ARTICLE ELEVEN</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11"/>
          </w:tcPr>
          <w:p>
            <w:pPr>
              <w:jc w:val="center"/>
              <w:ind w:right="2940"/>
              <w:spacing w:after="0"/>
              <w:rPr>
                <w:sz w:val="20"/>
                <w:szCs w:val="20"/>
                <w:color w:val="auto"/>
              </w:rPr>
            </w:pPr>
            <w:r>
              <w:rPr>
                <w:rFonts w:ascii="Arial" w:cs="Arial" w:eastAsia="Arial" w:hAnsi="Arial"/>
                <w:sz w:val="22"/>
                <w:szCs w:val="22"/>
                <w:color w:val="auto"/>
                <w:w w:val="96"/>
              </w:rPr>
              <w:t>MISCELLANEOUS</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480" w:type="dxa"/>
            <w:vAlign w:val="bottom"/>
            <w:gridSpan w:val="29"/>
          </w:tcPr>
          <w:p>
            <w:pPr>
              <w:spacing w:after="0"/>
              <w:rPr>
                <w:sz w:val="20"/>
                <w:szCs w:val="20"/>
                <w:color w:val="auto"/>
              </w:rPr>
            </w:pPr>
            <w:r>
              <w:rPr>
                <w:rFonts w:ascii="Arial" w:cs="Arial" w:eastAsia="Arial" w:hAnsi="Arial"/>
                <w:sz w:val="22"/>
                <w:szCs w:val="22"/>
                <w:color w:val="auto"/>
              </w:rPr>
              <w:t>SECTION 11.01. Trust Indenture Act Controls</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89</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11.02. Notices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91</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11.03. Communications by Holders with Other Holders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91</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11.04. Certificate and Opinion as to Conditions Precedent</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91</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11.05. Statements Required in Certificate and Opinion</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92</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11.06. Rules by Trustee and Agents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92</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11.07. Business Days; Legal Holidays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92</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11.08. Governing Law</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92</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11.09. No Adverse Interpretation of Other Agreements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gridSpan w:val="5"/>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11.10. Successors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11.11. Multiple Counterparts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160" w:type="dxa"/>
            <w:vAlign w:val="bottom"/>
            <w:gridSpan w:val="5"/>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11.12. Table of Contents, Headings, etc.</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60" w:type="dxa"/>
            <w:vAlign w:val="bottom"/>
            <w:gridSpan w:val="6"/>
            <w:shd w:val="clear" w:color="auto" w:fill="000000"/>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11.13. Separability</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11.14. Waiver of Jury Trial</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11.15. Force Majeure</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4440" w:type="dxa"/>
            <w:vAlign w:val="bottom"/>
            <w:gridSpan w:val="1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94</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11.16. Agent for Service; Submission to Jurisdiction; Waiver of Immunities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5800" w:type="dxa"/>
            <w:vAlign w:val="bottom"/>
            <w:gridSpan w:val="2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95</w:t>
            </w:r>
          </w:p>
        </w:tc>
        <w:tc>
          <w:tcPr>
            <w:tcW w:w="0" w:type="dxa"/>
            <w:vAlign w:val="bottom"/>
          </w:tcPr>
          <w:p>
            <w:pPr>
              <w:spacing w:after="0" w:line="20" w:lineRule="exact"/>
              <w:rPr>
                <w:sz w:val="1"/>
                <w:szCs w:val="1"/>
                <w:color w:val="auto"/>
              </w:rPr>
            </w:pPr>
          </w:p>
        </w:tc>
      </w:tr>
      <w:tr>
        <w:trPr>
          <w:trHeight w:val="223"/>
        </w:trPr>
        <w:tc>
          <w:tcPr>
            <w:tcW w:w="9480" w:type="dxa"/>
            <w:vAlign w:val="bottom"/>
            <w:gridSpan w:val="29"/>
          </w:tcPr>
          <w:p>
            <w:pPr>
              <w:spacing w:after="0" w:line="223" w:lineRule="exact"/>
              <w:rPr>
                <w:sz w:val="20"/>
                <w:szCs w:val="20"/>
                <w:color w:val="auto"/>
              </w:rPr>
            </w:pPr>
            <w:r>
              <w:rPr>
                <w:rFonts w:ascii="Arial" w:cs="Arial" w:eastAsia="Arial" w:hAnsi="Arial"/>
                <w:sz w:val="22"/>
                <w:szCs w:val="22"/>
                <w:color w:val="auto"/>
              </w:rPr>
              <w:t>SECTION 11.17. Currency of Account; Conversion of Currency; Foreign Exchange Restrictions</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7320" w:type="dxa"/>
            <w:vAlign w:val="bottom"/>
            <w:gridSpan w:val="25"/>
          </w:tcPr>
          <w:p>
            <w:pPr>
              <w:spacing w:after="0"/>
              <w:rPr>
                <w:sz w:val="20"/>
                <w:szCs w:val="20"/>
                <w:color w:val="auto"/>
              </w:rPr>
            </w:pPr>
            <w:r>
              <w:rPr>
                <w:rFonts w:ascii="Arial" w:cs="Arial" w:eastAsia="Arial" w:hAnsi="Arial"/>
                <w:sz w:val="22"/>
                <w:szCs w:val="22"/>
                <w:color w:val="auto"/>
              </w:rPr>
              <w:t>SIGNATURES</w:t>
            </w:r>
          </w:p>
        </w:tc>
        <w:tc>
          <w:tcPr>
            <w:tcW w:w="1100" w:type="dxa"/>
            <w:vAlign w:val="bottom"/>
            <w:tcBorders>
              <w:top w:val="single" w:sz="8" w:color="auto"/>
            </w:tcBorders>
            <w:gridSpan w:val="3"/>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S-1</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267"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640" w:type="dxa"/>
            <w:vAlign w:val="bottom"/>
          </w:tcPr>
          <w:p>
            <w:pPr>
              <w:ind w:left="3600"/>
              <w:spacing w:after="0"/>
              <w:rPr>
                <w:sz w:val="20"/>
                <w:szCs w:val="20"/>
                <w:color w:val="auto"/>
              </w:rPr>
            </w:pPr>
            <w:r>
              <w:rPr>
                <w:rFonts w:ascii="Arial" w:cs="Arial" w:eastAsia="Arial" w:hAnsi="Arial"/>
                <w:sz w:val="22"/>
                <w:szCs w:val="22"/>
                <w:color w:val="auto"/>
              </w:rPr>
              <w:t>EXHIBITS</w:t>
            </w:r>
          </w:p>
        </w:tc>
        <w:tc>
          <w:tcPr>
            <w:tcW w:w="1920" w:type="dxa"/>
            <w:vAlign w:val="bottom"/>
          </w:tcPr>
          <w:p>
            <w:pPr>
              <w:spacing w:after="0"/>
              <w:rPr>
                <w:sz w:val="23"/>
                <w:szCs w:val="23"/>
                <w:color w:val="auto"/>
              </w:rPr>
            </w:pPr>
          </w:p>
        </w:tc>
      </w:tr>
      <w:tr>
        <w:trPr>
          <w:trHeight w:val="455"/>
        </w:trPr>
        <w:tc>
          <w:tcPr>
            <w:tcW w:w="1420" w:type="dxa"/>
            <w:vAlign w:val="bottom"/>
          </w:tcPr>
          <w:p>
            <w:pPr>
              <w:spacing w:after="0"/>
              <w:rPr>
                <w:sz w:val="20"/>
                <w:szCs w:val="20"/>
                <w:color w:val="auto"/>
              </w:rPr>
            </w:pPr>
            <w:r>
              <w:rPr>
                <w:rFonts w:ascii="Arial" w:cs="Arial" w:eastAsia="Arial" w:hAnsi="Arial"/>
                <w:sz w:val="22"/>
                <w:szCs w:val="22"/>
                <w:color w:val="auto"/>
              </w:rPr>
              <w:t>Exhibit A-1.</w:t>
            </w:r>
          </w:p>
        </w:tc>
        <w:tc>
          <w:tcPr>
            <w:tcW w:w="7640" w:type="dxa"/>
            <w:vAlign w:val="bottom"/>
          </w:tcPr>
          <w:p>
            <w:pPr>
              <w:ind w:left="320"/>
              <w:spacing w:after="0"/>
              <w:rPr>
                <w:sz w:val="20"/>
                <w:szCs w:val="20"/>
                <w:color w:val="auto"/>
              </w:rPr>
            </w:pPr>
            <w:r>
              <w:rPr>
                <w:rFonts w:ascii="Arial" w:cs="Arial" w:eastAsia="Arial" w:hAnsi="Arial"/>
                <w:sz w:val="22"/>
                <w:szCs w:val="22"/>
                <w:color w:val="auto"/>
              </w:rPr>
              <w:t>Form of Restricted Note</w:t>
            </w:r>
          </w:p>
        </w:tc>
        <w:tc>
          <w:tcPr>
            <w:tcW w:w="1920" w:type="dxa"/>
            <w:vAlign w:val="bottom"/>
          </w:tcPr>
          <w:p>
            <w:pPr>
              <w:jc w:val="right"/>
              <w:spacing w:after="0"/>
              <w:rPr>
                <w:sz w:val="20"/>
                <w:szCs w:val="20"/>
                <w:color w:val="auto"/>
              </w:rPr>
            </w:pPr>
            <w:r>
              <w:rPr>
                <w:rFonts w:ascii="Arial" w:cs="Arial" w:eastAsia="Arial" w:hAnsi="Arial"/>
                <w:sz w:val="22"/>
                <w:szCs w:val="22"/>
                <w:color w:val="auto"/>
              </w:rPr>
              <w:t>A-1-1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A-2.</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Unrestricted Note</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A-2-1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Private Placement Legend</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B-1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Legend for Global Note</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C-1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OID Legend</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D-1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Temporary Regulation S Legend</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E-1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of Transfer</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F-1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G.</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of Exchange</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G-1</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Exhibit H.</w:t>
            </w:r>
          </w:p>
        </w:tc>
        <w:tc>
          <w:tcPr>
            <w:tcW w:w="76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from Acquiring Institutional Accredited Investor</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H-1</w:t>
            </w:r>
          </w:p>
        </w:tc>
      </w:tr>
      <w:tr>
        <w:trPr>
          <w:trHeight w:val="275"/>
        </w:trPr>
        <w:tc>
          <w:tcPr>
            <w:tcW w:w="1420" w:type="dxa"/>
            <w:vAlign w:val="bottom"/>
          </w:tcPr>
          <w:p>
            <w:pPr>
              <w:spacing w:after="0"/>
              <w:rPr>
                <w:sz w:val="20"/>
                <w:szCs w:val="20"/>
                <w:color w:val="auto"/>
              </w:rPr>
            </w:pPr>
            <w:r>
              <w:rPr>
                <w:rFonts w:ascii="Arial" w:cs="Arial" w:eastAsia="Arial" w:hAnsi="Arial"/>
                <w:sz w:val="22"/>
                <w:szCs w:val="22"/>
                <w:color w:val="auto"/>
              </w:rPr>
              <w:t>Exhibit I.</w:t>
            </w:r>
          </w:p>
        </w:tc>
        <w:tc>
          <w:tcPr>
            <w:tcW w:w="7640" w:type="dxa"/>
            <w:vAlign w:val="bottom"/>
          </w:tcPr>
          <w:p>
            <w:pPr>
              <w:ind w:left="320"/>
              <w:spacing w:after="0"/>
              <w:rPr>
                <w:sz w:val="20"/>
                <w:szCs w:val="20"/>
                <w:color w:val="auto"/>
              </w:rPr>
            </w:pPr>
            <w:r>
              <w:rPr>
                <w:rFonts w:ascii="Arial" w:cs="Arial" w:eastAsia="Arial" w:hAnsi="Arial"/>
                <w:sz w:val="22"/>
                <w:szCs w:val="22"/>
                <w:color w:val="auto"/>
              </w:rPr>
              <w:t>Form of Guarantee</w:t>
            </w:r>
          </w:p>
        </w:tc>
        <w:tc>
          <w:tcPr>
            <w:tcW w:w="1920" w:type="dxa"/>
            <w:vAlign w:val="bottom"/>
          </w:tcPr>
          <w:p>
            <w:pPr>
              <w:jc w:val="right"/>
              <w:spacing w:after="0"/>
              <w:rPr>
                <w:sz w:val="20"/>
                <w:szCs w:val="20"/>
                <w:color w:val="auto"/>
              </w:rPr>
            </w:pPr>
            <w:r>
              <w:rPr>
                <w:rFonts w:ascii="Arial" w:cs="Arial" w:eastAsia="Arial" w:hAnsi="Arial"/>
                <w:sz w:val="22"/>
                <w:szCs w:val="22"/>
                <w:color w:val="auto"/>
              </w:rPr>
              <w:t>I-1</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980"/>
          </w:cols>
          <w:pgMar w:left="440" w:top="267" w:right="479" w:bottom="1440" w:gutter="0" w:footer="0" w:header="0"/>
        </w:sectPr>
      </w:pPr>
    </w:p>
    <w:bookmarkStart w:id="11" w:name="page12"/>
    <w:bookmarkEnd w:id="11"/>
    <w:p>
      <w:pPr>
        <w:ind w:right="160" w:firstLine="1433"/>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INDENTURE, dated as of October 31, 2019 among Crown European Holdings S.A., a French </w:t>
      </w:r>
      <w:r>
        <w:rPr>
          <w:rFonts w:ascii="Arial" w:cs="Arial" w:eastAsia="Arial" w:hAnsi="Arial"/>
          <w:sz w:val="22"/>
          <w:szCs w:val="22"/>
          <w:i w:val="1"/>
          <w:iCs w:val="1"/>
          <w:color w:val="auto"/>
        </w:rPr>
        <w:t>société</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anonyme </w:t>
      </w:r>
      <w:r>
        <w:rPr>
          <w:rFonts w:ascii="Arial" w:cs="Arial" w:eastAsia="Arial" w:hAnsi="Arial"/>
          <w:sz w:val="22"/>
          <w:szCs w:val="22"/>
          <w:color w:val="auto"/>
        </w:rPr>
        <w:t>(the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(as defined), U.S. Bank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 Elavon</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Services DAC, as paying agent (the “</w:t>
      </w:r>
      <w:r>
        <w:rPr>
          <w:rFonts w:ascii="Arial" w:cs="Arial" w:eastAsia="Arial" w:hAnsi="Arial"/>
          <w:sz w:val="22"/>
          <w:szCs w:val="22"/>
          <w:u w:val="single" w:color="auto"/>
          <w:color w:val="auto"/>
        </w:rPr>
        <w:t>Paying Agent</w:t>
      </w:r>
      <w:r>
        <w:rPr>
          <w:rFonts w:ascii="Arial" w:cs="Arial" w:eastAsia="Arial" w:hAnsi="Arial"/>
          <w:sz w:val="22"/>
          <w:szCs w:val="22"/>
          <w:color w:val="auto"/>
        </w:rPr>
        <w:t>”), as registrar (the “</w:t>
      </w:r>
      <w:r>
        <w:rPr>
          <w:rFonts w:ascii="Arial" w:cs="Arial" w:eastAsia="Arial" w:hAnsi="Arial"/>
          <w:sz w:val="22"/>
          <w:szCs w:val="22"/>
          <w:u w:val="single" w:color="auto"/>
          <w:color w:val="auto"/>
        </w:rPr>
        <w:t>Registrar</w:t>
      </w:r>
      <w:r>
        <w:rPr>
          <w:rFonts w:ascii="Arial" w:cs="Arial" w:eastAsia="Arial" w:hAnsi="Arial"/>
          <w:sz w:val="22"/>
          <w:szCs w:val="22"/>
          <w:color w:val="auto"/>
        </w:rPr>
        <w:t>”) and transfer agent (the “</w:t>
      </w: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5" w:lineRule="exact"/>
        <w:rPr>
          <w:sz w:val="20"/>
          <w:szCs w:val="20"/>
          <w:color w:val="auto"/>
        </w:rPr>
      </w:pPr>
    </w:p>
    <w:p>
      <w:pPr>
        <w:ind w:right="420" w:firstLine="1433"/>
        <w:spacing w:after="0" w:line="251" w:lineRule="auto"/>
        <w:rPr>
          <w:sz w:val="20"/>
          <w:szCs w:val="20"/>
          <w:color w:val="auto"/>
        </w:rPr>
      </w:pPr>
      <w:r>
        <w:rPr>
          <w:rFonts w:ascii="Arial" w:cs="Arial" w:eastAsia="Arial" w:hAnsi="Arial"/>
          <w:sz w:val="22"/>
          <w:szCs w:val="22"/>
          <w:color w:val="auto"/>
        </w:rPr>
        <w:t>Each party agrees as follows for the benefit of the other parties and for the equal and ratable benefit of the Holders of the Notes.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ONE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DEFINITIONS AND INCORPORATION BY REFERENCE</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Amounts</w:t>
      </w:r>
      <w:r>
        <w:rPr>
          <w:rFonts w:ascii="Arial" w:cs="Arial" w:eastAsia="Arial" w:hAnsi="Arial"/>
          <w:sz w:val="22"/>
          <w:szCs w:val="22"/>
          <w:color w:val="auto"/>
        </w:rPr>
        <w:t>” has the meaning set forth in Section 4.20.</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Notes</w:t>
      </w:r>
      <w:r>
        <w:rPr>
          <w:rFonts w:ascii="Arial" w:cs="Arial" w:eastAsia="Arial" w:hAnsi="Arial"/>
          <w:sz w:val="22"/>
          <w:szCs w:val="22"/>
          <w:color w:val="auto"/>
        </w:rPr>
        <w:t>” has the meaning set forth in Section 2.01.</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Net Assets</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right="40" w:firstLine="1433"/>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means any Registrar, Paying Agent, Transfer Agent or agent for service or notices and demands.</w:t>
      </w:r>
    </w:p>
    <w:p>
      <w:pPr>
        <w:spacing w:after="0" w:line="24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Members</w:t>
      </w:r>
      <w:r>
        <w:rPr>
          <w:rFonts w:ascii="Arial" w:cs="Arial" w:eastAsia="Arial" w:hAnsi="Arial"/>
          <w:sz w:val="22"/>
          <w:szCs w:val="22"/>
          <w:color w:val="auto"/>
        </w:rPr>
        <w:t>” has the meaning set forth in Section 2.16.</w:t>
      </w:r>
    </w:p>
    <w:p>
      <w:pPr>
        <w:spacing w:after="0" w:line="206" w:lineRule="exact"/>
        <w:rPr>
          <w:sz w:val="20"/>
          <w:szCs w:val="20"/>
          <w:color w:val="auto"/>
        </w:rPr>
      </w:pPr>
    </w:p>
    <w:p>
      <w:pPr>
        <w:ind w:right="42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w:t>
      </w:r>
      <w:r>
        <w:rPr>
          <w:rFonts w:ascii="Arial" w:cs="Arial" w:eastAsia="Arial" w:hAnsi="Arial"/>
          <w:sz w:val="22"/>
          <w:szCs w:val="22"/>
          <w:color w:val="auto"/>
        </w:rPr>
        <w:t>” means to amend, supplement, restate, amend and restate or otherwise modify; and “</w:t>
      </w:r>
      <w:r>
        <w:rPr>
          <w:rFonts w:ascii="Arial" w:cs="Arial" w:eastAsia="Arial" w:hAnsi="Arial"/>
          <w:sz w:val="22"/>
          <w:szCs w:val="22"/>
          <w:u w:val="single" w:color="auto"/>
          <w:color w:val="auto"/>
        </w:rPr>
        <w:t>amendment</w:t>
      </w:r>
      <w:r>
        <w:rPr>
          <w:rFonts w:ascii="Arial" w:cs="Arial" w:eastAsia="Arial" w:hAnsi="Arial"/>
          <w:sz w:val="22"/>
          <w:szCs w:val="22"/>
          <w:color w:val="auto"/>
        </w:rPr>
        <w:t>” shall have a correlative meaning.</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w:t>
      </w:r>
      <w:r>
        <w:rPr>
          <w:rFonts w:ascii="Arial" w:cs="Arial" w:eastAsia="Arial" w:hAnsi="Arial"/>
          <w:sz w:val="22"/>
          <w:szCs w:val="22"/>
          <w:color w:val="auto"/>
        </w:rPr>
        <w:t>” means any asset or property, whether real, personal or mixed, tangible or intangible.</w:t>
      </w:r>
    </w:p>
    <w:p>
      <w:pPr>
        <w:spacing w:after="0" w:line="206" w:lineRule="exact"/>
        <w:rPr>
          <w:sz w:val="20"/>
          <w:szCs w:val="20"/>
          <w:color w:val="auto"/>
        </w:rPr>
      </w:pPr>
    </w:p>
    <w:p>
      <w:pPr>
        <w:ind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Debt</w:t>
      </w:r>
      <w:r>
        <w:rPr>
          <w:rFonts w:ascii="Arial" w:cs="Arial" w:eastAsia="Arial" w:hAnsi="Arial"/>
          <w:sz w:val="19"/>
          <w:szCs w:val="19"/>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w:t>
      </w:r>
    </w:p>
    <w:p>
      <w:pPr>
        <w:sectPr>
          <w:pgSz w:w="11900" w:h="16838" w:orient="portrait"/>
          <w:cols w:equalWidth="0" w:num="1">
            <w:col w:w="11020"/>
          </w:cols>
          <w:pgMar w:left="440" w:top="267"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51" w:lineRule="exact"/>
        <w:rPr>
          <w:sz w:val="20"/>
          <w:szCs w:val="20"/>
          <w:color w:val="auto"/>
        </w:rPr>
      </w:pPr>
    </w:p>
    <w:p>
      <w:pPr>
        <w:ind w:right="3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Person</w:t>
      </w:r>
      <w:r>
        <w:rPr>
          <w:rFonts w:ascii="Arial" w:cs="Arial" w:eastAsia="Arial" w:hAnsi="Arial"/>
          <w:sz w:val="22"/>
          <w:szCs w:val="22"/>
          <w:color w:val="auto"/>
        </w:rPr>
        <w:t>” means any person who is designated in writing by the Issuer from time to time to give Instructions to the Trustee or Agent under the terms of this Indenture.</w:t>
      </w:r>
    </w:p>
    <w:p>
      <w:pPr>
        <w:spacing w:after="0" w:line="173" w:lineRule="exact"/>
        <w:rPr>
          <w:sz w:val="20"/>
          <w:szCs w:val="20"/>
          <w:color w:val="auto"/>
        </w:rPr>
      </w:pPr>
    </w:p>
    <w:p>
      <w:pPr>
        <w:jc w:val="both"/>
        <w:ind w:firstLine="1433"/>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Law</w:t>
      </w:r>
      <w:r>
        <w:rPr>
          <w:rFonts w:ascii="Arial" w:cs="Arial" w:eastAsia="Arial" w:hAnsi="Arial"/>
          <w:sz w:val="21"/>
          <w:szCs w:val="21"/>
          <w:color w:val="auto"/>
        </w:rPr>
        <w:t xml:space="preserve">” means Title 11 of the United States Code, as amended, or any similar federal, state, local or foreign law for the relief of debtors, and shall include in respect of each of the Issuer and the French Guarantors, provisions of </w:t>
      </w:r>
      <w:r>
        <w:rPr>
          <w:rFonts w:ascii="Arial" w:cs="Arial" w:eastAsia="Arial" w:hAnsi="Arial"/>
          <w:sz w:val="21"/>
          <w:szCs w:val="21"/>
          <w:i w:val="1"/>
          <w:iCs w:val="1"/>
          <w:color w:val="auto"/>
        </w:rPr>
        <w:t xml:space="preserve">Livre Sixième, Des difficultés des entreprises </w:t>
      </w:r>
      <w:r>
        <w:rPr>
          <w:rFonts w:ascii="Arial" w:cs="Arial" w:eastAsia="Arial" w:hAnsi="Arial"/>
          <w:sz w:val="21"/>
          <w:szCs w:val="21"/>
          <w:color w:val="auto"/>
        </w:rPr>
        <w:t>of the French</w:t>
      </w:r>
      <w:r>
        <w:rPr>
          <w:rFonts w:ascii="Arial" w:cs="Arial" w:eastAsia="Arial" w:hAnsi="Arial"/>
          <w:sz w:val="21"/>
          <w:szCs w:val="21"/>
          <w:i w:val="1"/>
          <w:iCs w:val="1"/>
          <w:color w:val="auto"/>
        </w:rPr>
        <w:t xml:space="preserve"> Code de Commerce</w:t>
      </w:r>
      <w:r>
        <w:rPr>
          <w:rFonts w:ascii="Arial" w:cs="Arial" w:eastAsia="Arial" w:hAnsi="Arial"/>
          <w:sz w:val="21"/>
          <w:szCs w:val="21"/>
          <w:color w:val="auto"/>
        </w:rPr>
        <w:t>.</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Currency</w:t>
      </w:r>
      <w:r>
        <w:rPr>
          <w:rFonts w:ascii="Arial" w:cs="Arial" w:eastAsia="Arial" w:hAnsi="Arial"/>
          <w:sz w:val="22"/>
          <w:szCs w:val="22"/>
          <w:color w:val="auto"/>
        </w:rPr>
        <w:t>” has the meaning set forth in Section 11.17.</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with respect to any Person, the board of directors or comparable governing body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such Person.</w:t>
      </w:r>
    </w:p>
    <w:p>
      <w:pPr>
        <w:spacing w:after="0" w:line="188" w:lineRule="exact"/>
        <w:rPr>
          <w:sz w:val="20"/>
          <w:szCs w:val="20"/>
          <w:color w:val="auto"/>
        </w:rPr>
      </w:pPr>
    </w:p>
    <w:p>
      <w:pPr>
        <w:jc w:val="both"/>
        <w:ind w:right="80"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Bund Rate</w:t>
      </w:r>
      <w:r>
        <w:rPr>
          <w:rFonts w:ascii="Arial" w:cs="Arial" w:eastAsia="Arial" w:hAnsi="Arial"/>
          <w:sz w:val="19"/>
          <w:szCs w:val="19"/>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set forth in Section 11.07.</w:t>
      </w:r>
    </w:p>
    <w:p>
      <w:pPr>
        <w:spacing w:after="0" w:line="206" w:lineRule="exact"/>
        <w:rPr>
          <w:sz w:val="20"/>
          <w:szCs w:val="20"/>
          <w:color w:val="auto"/>
        </w:rPr>
      </w:pPr>
    </w:p>
    <w:p>
      <w:pPr>
        <w:ind w:right="80"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w:t>
      </w:r>
      <w:r>
        <w:rPr>
          <w:rFonts w:ascii="Arial" w:cs="Arial" w:eastAsia="Arial" w:hAnsi="Arial"/>
          <w:sz w:val="22"/>
          <w:szCs w:val="22"/>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w:t>
      </w:r>
    </w:p>
    <w:p>
      <w:pPr>
        <w:spacing w:after="0" w:line="206" w:lineRule="exact"/>
        <w:rPr>
          <w:sz w:val="20"/>
          <w:szCs w:val="20"/>
          <w:color w:val="auto"/>
        </w:rPr>
      </w:pPr>
    </w:p>
    <w:p>
      <w:pPr>
        <w:ind w:left="2080" w:hanging="690"/>
        <w:spacing w:after="0"/>
        <w:tabs>
          <w:tab w:leader="none" w:pos="208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06" w:lineRule="exact"/>
        <w:rPr>
          <w:rFonts w:ascii="Arial" w:cs="Arial" w:eastAsia="Arial" w:hAnsi="Arial"/>
          <w:sz w:val="22"/>
          <w:szCs w:val="22"/>
          <w:color w:val="auto"/>
        </w:rPr>
      </w:pPr>
    </w:p>
    <w:p>
      <w:pPr>
        <w:ind w:left="660" w:right="380" w:firstLine="730"/>
        <w:spacing w:after="0" w:line="251" w:lineRule="auto"/>
        <w:tabs>
          <w:tab w:leader="none" w:pos="2069"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 and</w:t>
      </w:r>
    </w:p>
    <w:p>
      <w:pPr>
        <w:spacing w:after="0" w:line="173" w:lineRule="exact"/>
        <w:rPr>
          <w:rFonts w:ascii="Arial" w:cs="Arial" w:eastAsia="Arial" w:hAnsi="Arial"/>
          <w:sz w:val="22"/>
          <w:szCs w:val="22"/>
          <w:color w:val="auto"/>
        </w:rPr>
      </w:pPr>
    </w:p>
    <w:p>
      <w:pPr>
        <w:ind w:left="660" w:right="140" w:firstLine="730"/>
        <w:spacing w:after="0" w:line="251" w:lineRule="auto"/>
        <w:tabs>
          <w:tab w:leader="none" w:pos="2069"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or membership interests (whether general or limited).</w:t>
      </w:r>
    </w:p>
    <w:p>
      <w:pPr>
        <w:sectPr>
          <w:pgSz w:w="11900" w:h="16838" w:orient="portrait"/>
          <w:cols w:equalWidth="0" w:num="1">
            <w:col w:w="11020"/>
          </w:cols>
          <w:pgMar w:left="440" w:top="415" w:right="439" w:bottom="1440" w:gutter="0" w:footer="0" w:header="0"/>
        </w:sectPr>
      </w:pPr>
    </w:p>
    <w:bookmarkStart w:id="13" w:name="page14"/>
    <w:bookmarkEnd w:id="13"/>
    <w:p>
      <w:pPr>
        <w:ind w:left="4715"/>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p>
    <w:p>
      <w:pPr>
        <w:spacing w:after="0" w:line="233" w:lineRule="exact"/>
        <w:rPr>
          <w:sz w:val="20"/>
          <w:szCs w:val="20"/>
          <w:color w:val="auto"/>
        </w:rPr>
      </w:pPr>
    </w:p>
    <w:p>
      <w:pPr>
        <w:ind w:left="77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any of the following:</w:t>
      </w:r>
    </w:p>
    <w:p>
      <w:pPr>
        <w:spacing w:after="0" w:line="206" w:lineRule="exact"/>
        <w:rPr>
          <w:sz w:val="20"/>
          <w:szCs w:val="20"/>
          <w:color w:val="auto"/>
        </w:rPr>
      </w:pPr>
    </w:p>
    <w:p>
      <w:pPr>
        <w:ind w:left="-5" w:right="80" w:firstLine="730"/>
        <w:spacing w:after="0" w:line="252" w:lineRule="auto"/>
        <w:tabs>
          <w:tab w:leader="none" w:pos="1404" w:val="left"/>
        </w:tabs>
        <w:numPr>
          <w:ilvl w:val="1"/>
          <w:numId w:val="4"/>
        </w:numPr>
        <w:rPr>
          <w:rFonts w:ascii="Arial" w:cs="Arial" w:eastAsia="Arial" w:hAnsi="Arial"/>
          <w:sz w:val="21"/>
          <w:szCs w:val="21"/>
          <w:color w:val="auto"/>
        </w:rPr>
      </w:pPr>
      <w:r>
        <w:rPr>
          <w:rFonts w:ascii="Arial" w:cs="Arial" w:eastAsia="Arial" w:hAnsi="Arial"/>
          <w:sz w:val="21"/>
          <w:szCs w:val="21"/>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174" w:lineRule="exact"/>
        <w:rPr>
          <w:rFonts w:ascii="Arial" w:cs="Arial" w:eastAsia="Arial" w:hAnsi="Arial"/>
          <w:sz w:val="21"/>
          <w:szCs w:val="21"/>
          <w:color w:val="auto"/>
        </w:rPr>
      </w:pPr>
    </w:p>
    <w:p>
      <w:pPr>
        <w:ind w:left="-5" w:right="860" w:firstLine="730"/>
        <w:spacing w:after="0" w:line="251" w:lineRule="auto"/>
        <w:tabs>
          <w:tab w:leader="none" w:pos="1404"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adoption of a plan for the liquidation or dissolution of Parent or the Issuer (other than in a transaction that complies with Article Five);</w:t>
      </w:r>
    </w:p>
    <w:p>
      <w:pPr>
        <w:spacing w:after="0" w:line="173" w:lineRule="exact"/>
        <w:rPr>
          <w:rFonts w:ascii="Arial" w:cs="Arial" w:eastAsia="Arial" w:hAnsi="Arial"/>
          <w:sz w:val="22"/>
          <w:szCs w:val="22"/>
          <w:color w:val="auto"/>
        </w:rPr>
      </w:pPr>
    </w:p>
    <w:p>
      <w:pPr>
        <w:ind w:left="-5" w:right="20" w:firstLine="730"/>
        <w:spacing w:after="0" w:line="269" w:lineRule="auto"/>
        <w:tabs>
          <w:tab w:leader="none" w:pos="1404"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transaction in which Parent becomes a Wholly Owned Subsidiary of another Person (other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a Person that is an individual) (the “</w:t>
      </w:r>
      <w:r>
        <w:rPr>
          <w:rFonts w:ascii="Arial" w:cs="Arial" w:eastAsia="Arial" w:hAnsi="Arial"/>
          <w:sz w:val="19"/>
          <w:szCs w:val="19"/>
          <w:u w:val="single" w:color="auto"/>
          <w:color w:val="auto"/>
        </w:rPr>
        <w:t>New Parent</w:t>
      </w:r>
      <w:r>
        <w:rPr>
          <w:rFonts w:ascii="Arial" w:cs="Arial" w:eastAsia="Arial" w:hAnsi="Arial"/>
          <w:sz w:val="19"/>
          <w:szCs w:val="19"/>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w:t>
      </w:r>
    </w:p>
    <w:p>
      <w:pPr>
        <w:spacing w:after="0" w:line="1" w:lineRule="exact"/>
        <w:rPr>
          <w:rFonts w:ascii="Arial" w:cs="Arial" w:eastAsia="Arial" w:hAnsi="Arial"/>
          <w:sz w:val="19"/>
          <w:szCs w:val="19"/>
          <w:color w:val="auto"/>
        </w:rPr>
      </w:pPr>
    </w:p>
    <w:p>
      <w:pPr>
        <w:ind w:left="-5" w:firstLine="5"/>
        <w:spacing w:after="0" w:line="233" w:lineRule="auto"/>
        <w:tabs>
          <w:tab w:leader="none" w:pos="301" w:val="left"/>
        </w:tabs>
        <w:numPr>
          <w:ilvl w:val="0"/>
          <w:numId w:val="5"/>
        </w:numPr>
        <w:rPr>
          <w:rFonts w:ascii="Arial" w:cs="Arial" w:eastAsia="Arial" w:hAnsi="Arial"/>
          <w:sz w:val="22"/>
          <w:szCs w:val="22"/>
          <w:color w:val="auto"/>
        </w:rPr>
      </w:pPr>
      <w:r>
        <w:rPr>
          <w:rFonts w:ascii="Arial" w:cs="Arial" w:eastAsia="Arial" w:hAnsi="Arial"/>
          <w:sz w:val="22"/>
          <w:szCs w:val="22"/>
          <w:color w:val="auto"/>
        </w:rPr>
        <w:t>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188" w:lineRule="exact"/>
        <w:rPr>
          <w:rFonts w:ascii="Arial" w:cs="Arial" w:eastAsia="Arial" w:hAnsi="Arial"/>
          <w:sz w:val="22"/>
          <w:szCs w:val="22"/>
          <w:color w:val="auto"/>
        </w:rPr>
      </w:pPr>
    </w:p>
    <w:p>
      <w:pPr>
        <w:ind w:left="-5" w:right="40" w:firstLine="730"/>
        <w:spacing w:after="0"/>
        <w:tabs>
          <w:tab w:leader="none" w:pos="1404" w:val="left"/>
        </w:tabs>
        <w:numPr>
          <w:ilvl w:val="1"/>
          <w:numId w:val="5"/>
        </w:numPr>
        <w:rPr>
          <w:rFonts w:ascii="Arial" w:cs="Arial" w:eastAsia="Arial" w:hAnsi="Arial"/>
          <w:sz w:val="22"/>
          <w:szCs w:val="22"/>
          <w:color w:val="auto"/>
        </w:rPr>
      </w:pPr>
      <w:r>
        <w:rPr>
          <w:rFonts w:ascii="Arial" w:cs="Arial" w:eastAsia="Arial" w:hAnsi="Arial"/>
          <w:sz w:val="22"/>
          <w:szCs w:val="22"/>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186" w:lineRule="exact"/>
        <w:rPr>
          <w:rFonts w:ascii="Arial" w:cs="Arial" w:eastAsia="Arial" w:hAnsi="Arial"/>
          <w:sz w:val="22"/>
          <w:szCs w:val="22"/>
          <w:color w:val="auto"/>
        </w:rPr>
      </w:pPr>
    </w:p>
    <w:p>
      <w:pPr>
        <w:ind w:left="-5" w:right="400" w:firstLine="730"/>
        <w:spacing w:after="0" w:line="251" w:lineRule="auto"/>
        <w:tabs>
          <w:tab w:leader="none" w:pos="1404"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first day on which Parent fails to own, either directly or indirectly through one or more Wholly Owned Subsidiaries, 100% of the issued and outstanding Equity Interests of the Issuer.</w:t>
      </w:r>
    </w:p>
    <w:p>
      <w:pPr>
        <w:spacing w:after="0" w:line="173" w:lineRule="exact"/>
        <w:rPr>
          <w:sz w:val="20"/>
          <w:szCs w:val="20"/>
          <w:color w:val="auto"/>
        </w:rPr>
      </w:pPr>
    </w:p>
    <w:p>
      <w:pPr>
        <w:ind w:left="77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Offer</w:t>
      </w:r>
      <w:r>
        <w:rPr>
          <w:rFonts w:ascii="Arial" w:cs="Arial" w:eastAsia="Arial" w:hAnsi="Arial"/>
          <w:sz w:val="22"/>
          <w:szCs w:val="22"/>
          <w:color w:val="auto"/>
        </w:rPr>
        <w:t>” has the meaning set forth in Section 4.08.</w:t>
      </w:r>
    </w:p>
    <w:p>
      <w:pPr>
        <w:spacing w:after="0" w:line="206" w:lineRule="exact"/>
        <w:rPr>
          <w:sz w:val="20"/>
          <w:szCs w:val="20"/>
          <w:color w:val="auto"/>
        </w:rPr>
      </w:pPr>
    </w:p>
    <w:p>
      <w:pPr>
        <w:ind w:left="77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Payment</w:t>
      </w:r>
      <w:r>
        <w:rPr>
          <w:rFonts w:ascii="Arial" w:cs="Arial" w:eastAsia="Arial" w:hAnsi="Arial"/>
          <w:sz w:val="22"/>
          <w:szCs w:val="22"/>
          <w:color w:val="auto"/>
        </w:rPr>
        <w:t>” has the meaning set forth in Section 4.08.</w:t>
      </w:r>
    </w:p>
    <w:p>
      <w:pPr>
        <w:sectPr>
          <w:pgSz w:w="11900" w:h="16838" w:orient="portrait"/>
          <w:cols w:equalWidth="0" w:num="1">
            <w:col w:w="10335"/>
          </w:cols>
          <w:pgMar w:left="1105" w:top="415" w:right="4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 has the meaning set forth in Section 4.08.</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 Repurchase Event</w:t>
      </w:r>
      <w:r>
        <w:rPr>
          <w:rFonts w:ascii="Arial" w:cs="Arial" w:eastAsia="Arial" w:hAnsi="Arial"/>
          <w:sz w:val="19"/>
          <w:szCs w:val="19"/>
          <w:color w:val="auto"/>
        </w:rPr>
        <w:t>” means the occurrence of both a Change of Control and a Ratings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Event.</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means Clearstream Banking, S.A.</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Depositary</w:t>
      </w:r>
      <w:r>
        <w:rPr>
          <w:rFonts w:ascii="Arial" w:cs="Arial" w:eastAsia="Arial" w:hAnsi="Arial"/>
          <w:sz w:val="19"/>
          <w:szCs w:val="19"/>
          <w:color w:val="auto"/>
        </w:rPr>
        <w:t>” means Elavon Financial Services DAC, as common depositary for Euroclear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Clearstream.</w:t>
      </w:r>
    </w:p>
    <w:p>
      <w:pPr>
        <w:spacing w:after="0" w:line="188" w:lineRule="exact"/>
        <w:rPr>
          <w:sz w:val="20"/>
          <w:szCs w:val="20"/>
          <w:color w:val="auto"/>
        </w:rPr>
      </w:pPr>
    </w:p>
    <w:p>
      <w:pPr>
        <w:ind w:right="240" w:firstLine="1433"/>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Comparable German Bund Issue</w:t>
      </w:r>
      <w:r>
        <w:rPr>
          <w:rFonts w:ascii="Arial" w:cs="Arial" w:eastAsia="Arial" w:hAnsi="Arial"/>
          <w:sz w:val="19"/>
          <w:szCs w:val="19"/>
          <w:color w:val="auto"/>
        </w:rPr>
        <w:t xml:space="preserve">” means the German Bundesanleihe security selected by any Reference German Bund Dealer as having a fixed maturity most nearly equal to the period from such Redemption Date to January 15, 2023 and that would be utilized,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January 15, 2023;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period from such Redemption Date to January 15, 2023 is less than one year, a fixed maturity of one year shall be used.</w:t>
      </w:r>
    </w:p>
    <w:p>
      <w:pPr>
        <w:spacing w:after="0" w:line="151"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German Bund Price</w:t>
      </w:r>
      <w:r>
        <w:rPr>
          <w:rFonts w:ascii="Arial" w:cs="Arial" w:eastAsia="Arial" w:hAnsi="Arial"/>
          <w:sz w:val="21"/>
          <w:szCs w:val="21"/>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spacing w:after="0" w:line="174" w:lineRule="exact"/>
        <w:rPr>
          <w:sz w:val="20"/>
          <w:szCs w:val="20"/>
          <w:color w:val="auto"/>
        </w:rPr>
      </w:pPr>
    </w:p>
    <w:p>
      <w:pPr>
        <w:ind w:right="260" w:firstLine="143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with respect to any Person for any period, the Consolidated Net Income of such Person and its Subsidiaries for such period, </w:t>
      </w:r>
      <w:r>
        <w:rPr>
          <w:rFonts w:ascii="Arial" w:cs="Arial" w:eastAsia="Arial" w:hAnsi="Arial"/>
          <w:sz w:val="19"/>
          <w:szCs w:val="19"/>
          <w:i w:val="1"/>
          <w:iCs w:val="1"/>
          <w:color w:val="auto"/>
        </w:rPr>
        <w:t>plus</w:t>
      </w:r>
      <w:r>
        <w:rPr>
          <w:rFonts w:ascii="Arial" w:cs="Arial" w:eastAsia="Arial" w:hAnsi="Arial"/>
          <w:sz w:val="19"/>
          <w:szCs w:val="19"/>
          <w:color w:val="auto"/>
        </w:rPr>
        <w:t>, to the extent deducted in computing Consolidated Net Income:</w:t>
      </w:r>
    </w:p>
    <w:p>
      <w:pPr>
        <w:spacing w:after="0" w:line="105" w:lineRule="exact"/>
        <w:rPr>
          <w:sz w:val="20"/>
          <w:szCs w:val="20"/>
          <w:color w:val="auto"/>
        </w:rPr>
      </w:pPr>
    </w:p>
    <w:p>
      <w:pPr>
        <w:ind w:left="2080" w:hanging="690"/>
        <w:spacing w:after="0"/>
        <w:tabs>
          <w:tab w:leader="none" w:pos="2080" w:val="left"/>
        </w:tabs>
        <w:numPr>
          <w:ilvl w:val="0"/>
          <w:numId w:val="6"/>
        </w:numPr>
        <w:rPr>
          <w:rFonts w:ascii="Arial" w:cs="Arial" w:eastAsia="Arial" w:hAnsi="Arial"/>
          <w:sz w:val="19"/>
          <w:szCs w:val="19"/>
          <w:color w:val="auto"/>
        </w:rPr>
      </w:pPr>
      <w:r>
        <w:rPr>
          <w:rFonts w:ascii="Arial" w:cs="Arial" w:eastAsia="Arial" w:hAnsi="Arial"/>
          <w:sz w:val="19"/>
          <w:szCs w:val="19"/>
          <w:color w:val="auto"/>
        </w:rPr>
        <w:t>provision for taxes based on income or profits of such Person and its Subsidiaries for such period;</w:t>
      </w:r>
    </w:p>
    <w:p>
      <w:pPr>
        <w:spacing w:after="0" w:line="240" w:lineRule="exact"/>
        <w:rPr>
          <w:rFonts w:ascii="Arial" w:cs="Arial" w:eastAsia="Arial" w:hAnsi="Arial"/>
          <w:sz w:val="19"/>
          <w:szCs w:val="19"/>
          <w:color w:val="auto"/>
        </w:rPr>
      </w:pPr>
    </w:p>
    <w:p>
      <w:pPr>
        <w:ind w:left="2080" w:hanging="690"/>
        <w:spacing w:after="0"/>
        <w:tabs>
          <w:tab w:leader="none" w:pos="2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Consolidated Interest Expense of such Person for such period;</w:t>
      </w:r>
    </w:p>
    <w:p>
      <w:pPr>
        <w:spacing w:after="0" w:line="206" w:lineRule="exact"/>
        <w:rPr>
          <w:rFonts w:ascii="Arial" w:cs="Arial" w:eastAsia="Arial" w:hAnsi="Arial"/>
          <w:sz w:val="22"/>
          <w:szCs w:val="22"/>
          <w:color w:val="auto"/>
        </w:rPr>
      </w:pPr>
    </w:p>
    <w:p>
      <w:pPr>
        <w:ind w:left="780" w:right="80" w:firstLine="610"/>
        <w:spacing w:after="0" w:line="238" w:lineRule="auto"/>
        <w:tabs>
          <w:tab w:leader="none" w:pos="2079" w:val="left"/>
        </w:tabs>
        <w:numPr>
          <w:ilvl w:val="0"/>
          <w:numId w:val="6"/>
        </w:numPr>
        <w:rPr>
          <w:rFonts w:ascii="Arial" w:cs="Arial" w:eastAsia="Arial" w:hAnsi="Arial"/>
          <w:sz w:val="22"/>
          <w:szCs w:val="22"/>
          <w:color w:val="auto"/>
        </w:rPr>
      </w:pPr>
      <w:r>
        <w:rPr>
          <w:rFonts w:ascii="Arial" w:cs="Arial" w:eastAsia="Arial" w:hAnsi="Arial"/>
          <w:sz w:val="22"/>
          <w:szCs w:val="22"/>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ectPr>
          <w:pgSz w:w="11900" w:h="16838" w:orient="portrait"/>
          <w:cols w:equalWidth="0" w:num="1">
            <w:col w:w="11020"/>
          </w:cols>
          <w:pgMar w:left="440" w:top="415" w:right="4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p>
    <w:p>
      <w:pPr>
        <w:spacing w:after="0" w:line="233" w:lineRule="exact"/>
        <w:rPr>
          <w:sz w:val="20"/>
          <w:szCs w:val="20"/>
          <w:color w:val="auto"/>
        </w:rPr>
      </w:pPr>
    </w:p>
    <w:p>
      <w:pPr>
        <w:ind w:left="780" w:right="120" w:firstLine="610"/>
        <w:spacing w:after="0" w:line="279" w:lineRule="auto"/>
        <w:tabs>
          <w:tab w:leader="none" w:pos="2079"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non-recurring restructuring charges or expenses of such Person and its Subsidiaries for such period, 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51" w:lineRule="exact"/>
        <w:rPr>
          <w:sz w:val="20"/>
          <w:szCs w:val="20"/>
          <w:color w:val="auto"/>
        </w:rPr>
      </w:pPr>
    </w:p>
    <w:p>
      <w:pPr>
        <w:ind w:right="80" w:firstLine="1433"/>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9" w:lineRule="exact"/>
        <w:rPr>
          <w:sz w:val="20"/>
          <w:szCs w:val="20"/>
          <w:color w:val="auto"/>
        </w:rPr>
      </w:pPr>
    </w:p>
    <w:p>
      <w:pPr>
        <w:ind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6" w:lineRule="exact"/>
        <w:rPr>
          <w:sz w:val="20"/>
          <w:szCs w:val="20"/>
          <w:color w:val="auto"/>
        </w:rPr>
      </w:pPr>
    </w:p>
    <w:p>
      <w:pPr>
        <w:ind w:left="780" w:right="200" w:firstLine="610"/>
        <w:spacing w:after="0" w:line="258" w:lineRule="auto"/>
        <w:tabs>
          <w:tab w:leader="none" w:pos="2079"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166" w:lineRule="exact"/>
        <w:rPr>
          <w:rFonts w:ascii="Arial" w:cs="Arial" w:eastAsia="Arial" w:hAnsi="Arial"/>
          <w:sz w:val="21"/>
          <w:szCs w:val="21"/>
          <w:color w:val="auto"/>
        </w:rPr>
      </w:pPr>
    </w:p>
    <w:p>
      <w:pPr>
        <w:ind w:left="2080" w:hanging="690"/>
        <w:spacing w:after="0"/>
        <w:tabs>
          <w:tab w:leader="none" w:pos="20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shall be excluded;</w:t>
      </w:r>
    </w:p>
    <w:p>
      <w:pPr>
        <w:spacing w:after="0" w:line="206" w:lineRule="exact"/>
        <w:rPr>
          <w:rFonts w:ascii="Arial" w:cs="Arial" w:eastAsia="Arial" w:hAnsi="Arial"/>
          <w:sz w:val="22"/>
          <w:szCs w:val="22"/>
          <w:color w:val="auto"/>
        </w:rPr>
      </w:pPr>
    </w:p>
    <w:p>
      <w:pPr>
        <w:ind w:left="780" w:right="60" w:firstLine="610"/>
        <w:spacing w:after="0" w:line="287" w:lineRule="auto"/>
        <w:tabs>
          <w:tab w:leader="none" w:pos="2079"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143" w:lineRule="exact"/>
        <w:rPr>
          <w:rFonts w:ascii="Arial" w:cs="Arial" w:eastAsia="Arial" w:hAnsi="Arial"/>
          <w:sz w:val="19"/>
          <w:szCs w:val="19"/>
          <w:color w:val="auto"/>
        </w:rPr>
      </w:pPr>
    </w:p>
    <w:p>
      <w:pPr>
        <w:ind w:left="780" w:firstLine="610"/>
        <w:spacing w:after="0"/>
        <w:tabs>
          <w:tab w:leader="none" w:pos="2079"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186" w:lineRule="exact"/>
        <w:rPr>
          <w:rFonts w:ascii="Arial" w:cs="Arial" w:eastAsia="Arial" w:hAnsi="Arial"/>
          <w:sz w:val="22"/>
          <w:szCs w:val="22"/>
          <w:color w:val="auto"/>
        </w:rPr>
      </w:pPr>
    </w:p>
    <w:p>
      <w:pPr>
        <w:ind w:left="780" w:right="840" w:firstLine="610"/>
        <w:spacing w:after="0" w:line="251" w:lineRule="auto"/>
        <w:tabs>
          <w:tab w:leader="none" w:pos="2079"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net gain or loss resulting from an asset disposition by the Person in question or any of its Subsidiaries other than in the ordinary course of business shall be excluded;</w:t>
      </w:r>
    </w:p>
    <w:p>
      <w:pPr>
        <w:sectPr>
          <w:pgSz w:w="11900" w:h="16838" w:orient="portrait"/>
          <w:cols w:equalWidth="0" w:num="1">
            <w:col w:w="10940"/>
          </w:cols>
          <w:pgMar w:left="440" w:top="415" w:right="5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p>
    <w:p>
      <w:pPr>
        <w:spacing w:after="0" w:line="233" w:lineRule="exact"/>
        <w:rPr>
          <w:sz w:val="20"/>
          <w:szCs w:val="20"/>
          <w:color w:val="auto"/>
        </w:rPr>
      </w:pPr>
    </w:p>
    <w:p>
      <w:pPr>
        <w:ind w:left="2080" w:hanging="690"/>
        <w:spacing w:after="0"/>
        <w:tabs>
          <w:tab w:leader="none" w:pos="2080" w:val="left"/>
        </w:tabs>
        <w:numPr>
          <w:ilvl w:val="0"/>
          <w:numId w:val="9"/>
        </w:numPr>
        <w:rPr>
          <w:rFonts w:ascii="Arial" w:cs="Arial" w:eastAsia="Arial" w:hAnsi="Arial"/>
          <w:sz w:val="22"/>
          <w:szCs w:val="22"/>
          <w:color w:val="auto"/>
        </w:rPr>
      </w:pPr>
      <w:r>
        <w:rPr>
          <w:rFonts w:ascii="Arial" w:cs="Arial" w:eastAsia="Arial" w:hAnsi="Arial"/>
          <w:sz w:val="22"/>
          <w:szCs w:val="22"/>
          <w:color w:val="auto"/>
        </w:rPr>
        <w:t>extraordinary gains and losses shall be excluded;</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fees, charges, costs and expenses incurred in connection with the Financing Transaction shall be</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excluded; and</w:t>
      </w:r>
    </w:p>
    <w:p>
      <w:pPr>
        <w:spacing w:after="0" w:line="188" w:lineRule="exact"/>
        <w:rPr>
          <w:rFonts w:ascii="Arial" w:cs="Arial" w:eastAsia="Arial" w:hAnsi="Arial"/>
          <w:sz w:val="19"/>
          <w:szCs w:val="19"/>
          <w:color w:val="auto"/>
        </w:rPr>
      </w:pPr>
    </w:p>
    <w:p>
      <w:pPr>
        <w:ind w:left="780" w:right="80" w:firstLine="610"/>
        <w:spacing w:after="0" w:line="236" w:lineRule="auto"/>
        <w:tabs>
          <w:tab w:leader="none" w:pos="2079" w:val="left"/>
        </w:tabs>
        <w:numPr>
          <w:ilvl w:val="0"/>
          <w:numId w:val="9"/>
        </w:numPr>
        <w:rPr>
          <w:rFonts w:ascii="Arial" w:cs="Arial" w:eastAsia="Arial" w:hAnsi="Arial"/>
          <w:sz w:val="22"/>
          <w:szCs w:val="22"/>
          <w:color w:val="auto"/>
        </w:rPr>
      </w:pPr>
      <w:r>
        <w:rPr>
          <w:rFonts w:ascii="Arial" w:cs="Arial" w:eastAsia="Arial" w:hAnsi="Arial"/>
          <w:sz w:val="22"/>
          <w:szCs w:val="22"/>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8" w:lineRule="exact"/>
        <w:rPr>
          <w:sz w:val="20"/>
          <w:szCs w:val="20"/>
          <w:color w:val="auto"/>
        </w:rPr>
      </w:pPr>
    </w:p>
    <w:p>
      <w:pPr>
        <w:ind w:right="20" w:firstLine="1433"/>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9"/>
          <w:szCs w:val="19"/>
          <w:i w:val="1"/>
          <w:iCs w:val="1"/>
          <w:color w:val="auto"/>
        </w:rPr>
        <w:t>minus</w:t>
      </w:r>
      <w:r>
        <w:rPr>
          <w:rFonts w:ascii="Arial" w:cs="Arial" w:eastAsia="Arial" w:hAnsi="Arial"/>
          <w:sz w:val="19"/>
          <w:szCs w:val="19"/>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53" w:lineRule="exact"/>
        <w:rPr>
          <w:sz w:val="20"/>
          <w:szCs w:val="20"/>
          <w:color w:val="auto"/>
        </w:rPr>
      </w:pPr>
    </w:p>
    <w:p>
      <w:pPr>
        <w:ind w:firstLine="1433"/>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Secured Indebtedness</w:t>
      </w:r>
      <w:r>
        <w:rPr>
          <w:rFonts w:ascii="Arial" w:cs="Arial" w:eastAsia="Arial" w:hAnsi="Arial"/>
          <w:sz w:val="19"/>
          <w:szCs w:val="19"/>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plus (b) the total amount of Capital Lease Obligations of such Person and its Subsidiaries as of the most recent consolidated balance sheet of such Person and its Subsidiaries that is available as of that date, as determined on a consolidated basis in accordance with GAAP, plus (c) the total amount of Attributable Debt in respect of Sale and Leaseback Transactions of such Person and its Subsidiaries as of such date.</w:t>
      </w:r>
    </w:p>
    <w:p>
      <w:pPr>
        <w:spacing w:after="0" w:line="158" w:lineRule="exact"/>
        <w:rPr>
          <w:sz w:val="20"/>
          <w:szCs w:val="20"/>
          <w:color w:val="auto"/>
        </w:rPr>
      </w:pPr>
    </w:p>
    <w:p>
      <w:pPr>
        <w:ind w:right="160" w:firstLine="1433"/>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Secured Leverage Ratio</w:t>
      </w:r>
      <w:r>
        <w:rPr>
          <w:rFonts w:ascii="Arial" w:cs="Arial" w:eastAsia="Arial" w:hAnsi="Arial"/>
          <w:sz w:val="19"/>
          <w:szCs w:val="19"/>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w:t>
      </w:r>
    </w:p>
    <w:p>
      <w:pPr>
        <w:sectPr>
          <w:pgSz w:w="11900" w:h="16838" w:orient="portrait"/>
          <w:cols w:equalWidth="0" w:num="1">
            <w:col w:w="11020"/>
          </w:cols>
          <w:pgMar w:left="440" w:top="415" w:right="4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9"/>
          <w:szCs w:val="19"/>
          <w:u w:val="single" w:color="auto"/>
          <w:color w:val="auto"/>
        </w:rPr>
        <w:t>Calculation Date</w:t>
      </w:r>
      <w:r>
        <w:rPr>
          <w:rFonts w:ascii="Arial" w:cs="Arial" w:eastAsia="Arial" w:hAnsi="Arial"/>
          <w:sz w:val="19"/>
          <w:szCs w:val="19"/>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In addition, for purposes of calculating the Consolidated Secured Leverage Ratio:</w:t>
      </w:r>
    </w:p>
    <w:p>
      <w:pPr>
        <w:spacing w:after="0" w:line="206" w:lineRule="exact"/>
        <w:rPr>
          <w:sz w:val="20"/>
          <w:szCs w:val="20"/>
          <w:color w:val="auto"/>
        </w:rPr>
      </w:pPr>
    </w:p>
    <w:p>
      <w:pPr>
        <w:ind w:left="780" w:right="40" w:firstLine="610"/>
        <w:spacing w:after="0" w:line="277" w:lineRule="auto"/>
        <w:tabs>
          <w:tab w:leader="none" w:pos="2079" w:val="left"/>
        </w:tabs>
        <w:numPr>
          <w:ilvl w:val="0"/>
          <w:numId w:val="10"/>
        </w:numPr>
        <w:rPr>
          <w:rFonts w:ascii="Arial" w:cs="Arial" w:eastAsia="Arial" w:hAnsi="Arial"/>
          <w:sz w:val="19"/>
          <w:szCs w:val="19"/>
          <w:color w:val="auto"/>
        </w:rPr>
      </w:pPr>
      <w:r>
        <w:rPr>
          <w:rFonts w:ascii="Arial" w:cs="Arial" w:eastAsia="Arial" w:hAnsi="Arial"/>
          <w:sz w:val="19"/>
          <w:szCs w:val="19"/>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152" w:lineRule="exact"/>
        <w:rPr>
          <w:rFonts w:ascii="Arial" w:cs="Arial" w:eastAsia="Arial" w:hAnsi="Arial"/>
          <w:sz w:val="19"/>
          <w:szCs w:val="19"/>
          <w:color w:val="auto"/>
        </w:rPr>
      </w:pPr>
    </w:p>
    <w:p>
      <w:pPr>
        <w:ind w:left="780" w:right="440" w:firstLine="610"/>
        <w:spacing w:after="0" w:line="251" w:lineRule="auto"/>
        <w:tabs>
          <w:tab w:leader="none" w:pos="207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Consolidated EBITDA attributable to discontinued operations, as determined with GAAP, and operations or businesses disposed of prior to the Calculation Date, will be excluded,</w:t>
      </w:r>
    </w:p>
    <w:p>
      <w:pPr>
        <w:spacing w:after="0" w:line="173" w:lineRule="exact"/>
        <w:rPr>
          <w:sz w:val="20"/>
          <w:szCs w:val="20"/>
          <w:color w:val="auto"/>
        </w:rPr>
      </w:pPr>
    </w:p>
    <w:p>
      <w:pPr>
        <w:ind w:left="780" w:right="20"/>
        <w:spacing w:after="0" w:line="24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to the extent that clause (1) or (2) of this paragraph requires that pro forma effect be given to an</w:t>
      </w:r>
      <w:r>
        <w:rPr>
          <w:rFonts w:ascii="Arial" w:cs="Arial" w:eastAsia="Arial" w:hAnsi="Arial"/>
          <w:sz w:val="21"/>
          <w:szCs w:val="21"/>
          <w:i w:val="1"/>
          <w:iCs w:val="1"/>
          <w:color w:val="auto"/>
        </w:rPr>
        <w:t xml:space="preserve"> </w:t>
      </w:r>
      <w:r>
        <w:rPr>
          <w:rFonts w:ascii="Arial" w:cs="Arial" w:eastAsia="Arial" w:hAnsi="Arial"/>
          <w:sz w:val="21"/>
          <w:szCs w:val="21"/>
          <w:color w:val="auto"/>
        </w:rPr>
        <w:t>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77" w:lineRule="exact"/>
        <w:rPr>
          <w:sz w:val="20"/>
          <w:szCs w:val="20"/>
          <w:color w:val="auto"/>
        </w:rPr>
      </w:pPr>
    </w:p>
    <w:p>
      <w:pPr>
        <w:ind w:right="16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Directors</w:t>
      </w:r>
      <w:r>
        <w:rPr>
          <w:rFonts w:ascii="Arial" w:cs="Arial" w:eastAsia="Arial" w:hAnsi="Arial"/>
          <w:sz w:val="22"/>
          <w:szCs w:val="22"/>
          <w:color w:val="auto"/>
        </w:rPr>
        <w:t>” means, as of any date of determination, any member of the Board of Directors of the relevant Person who:</w:t>
      </w:r>
    </w:p>
    <w:p>
      <w:pPr>
        <w:spacing w:after="0" w:line="173" w:lineRule="exact"/>
        <w:rPr>
          <w:sz w:val="20"/>
          <w:szCs w:val="20"/>
          <w:color w:val="auto"/>
        </w:rPr>
      </w:pPr>
    </w:p>
    <w:p>
      <w:pPr>
        <w:ind w:left="2080" w:hanging="690"/>
        <w:spacing w:after="0"/>
        <w:tabs>
          <w:tab w:leader="none" w:pos="20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was a member of such Board of Directors on the Issue Date; or</w:t>
      </w:r>
    </w:p>
    <w:p>
      <w:pPr>
        <w:spacing w:after="0" w:line="206" w:lineRule="exact"/>
        <w:rPr>
          <w:rFonts w:ascii="Arial" w:cs="Arial" w:eastAsia="Arial" w:hAnsi="Arial"/>
          <w:sz w:val="22"/>
          <w:szCs w:val="22"/>
          <w:color w:val="auto"/>
        </w:rPr>
      </w:pPr>
    </w:p>
    <w:p>
      <w:pPr>
        <w:ind w:left="780" w:right="20" w:firstLine="610"/>
        <w:spacing w:after="0" w:line="328" w:lineRule="auto"/>
        <w:tabs>
          <w:tab w:leader="none" w:pos="2079" w:val="left"/>
        </w:tabs>
        <w:numPr>
          <w:ilvl w:val="0"/>
          <w:numId w:val="11"/>
        </w:numPr>
        <w:rPr>
          <w:rFonts w:ascii="Arial" w:cs="Arial" w:eastAsia="Arial" w:hAnsi="Arial"/>
          <w:sz w:val="19"/>
          <w:szCs w:val="19"/>
          <w:color w:val="auto"/>
        </w:rPr>
      </w:pPr>
      <w:r>
        <w:rPr>
          <w:rFonts w:ascii="Arial" w:cs="Arial" w:eastAsia="Arial" w:hAnsi="Arial"/>
          <w:sz w:val="19"/>
          <w:szCs w:val="19"/>
          <w:color w:val="auto"/>
        </w:rPr>
        <w:t>was nominated for election or elected to such Board of Directors with the approval of a majority of the Continuing Directors who were members of such Board of Directors at the time of such nomination or election.</w:t>
      </w:r>
    </w:p>
    <w:p>
      <w:pPr>
        <w:sectPr>
          <w:pgSz w:w="11900" w:h="16838" w:orient="portrait"/>
          <w:cols w:equalWidth="0" w:num="1">
            <w:col w:w="10980"/>
          </w:cols>
          <w:pgMar w:left="440" w:top="415" w:right="4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w:t>
      </w:r>
    </w:p>
    <w:p>
      <w:pPr>
        <w:spacing w:after="0" w:line="233" w:lineRule="exact"/>
        <w:rPr>
          <w:sz w:val="20"/>
          <w:szCs w:val="20"/>
          <w:color w:val="auto"/>
        </w:rPr>
      </w:pPr>
    </w:p>
    <w:p>
      <w:pPr>
        <w:ind w:right="60" w:firstLine="1433"/>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solely for purposes of presenting the Notes for payment, Elavon Financial Services DAC, as Paying Agent, located at Building 8, Cherrywood Business Park, Loughlinstown, Dublin 18, D18 W319, Ireland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Defeasance</w:t>
      </w:r>
      <w:r>
        <w:rPr>
          <w:rFonts w:ascii="Arial" w:cs="Arial" w:eastAsia="Arial" w:hAnsi="Arial"/>
          <w:sz w:val="22"/>
          <w:szCs w:val="22"/>
          <w:color w:val="auto"/>
        </w:rPr>
        <w:t>” has the meaning set forth in Section 9.03.</w:t>
      </w:r>
    </w:p>
    <w:p>
      <w:pPr>
        <w:spacing w:after="0" w:line="206" w:lineRule="exact"/>
        <w:rPr>
          <w:sz w:val="20"/>
          <w:szCs w:val="20"/>
          <w:color w:val="auto"/>
        </w:rPr>
      </w:pPr>
    </w:p>
    <w:p>
      <w:pPr>
        <w:ind w:firstLine="1433"/>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Facilities</w:t>
      </w:r>
      <w:r>
        <w:rPr>
          <w:rFonts w:ascii="Arial" w:cs="Arial" w:eastAsia="Arial" w:hAnsi="Arial"/>
          <w:sz w:val="21"/>
          <w:szCs w:val="21"/>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78" w:lineRule="exact"/>
        <w:rPr>
          <w:sz w:val="20"/>
          <w:szCs w:val="20"/>
          <w:color w:val="auto"/>
        </w:rPr>
      </w:pPr>
    </w:p>
    <w:p>
      <w:pPr>
        <w:ind w:right="32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Crown</w:t>
      </w:r>
      <w:r>
        <w:rPr>
          <w:rFonts w:ascii="Arial" w:cs="Arial" w:eastAsia="Arial" w:hAnsi="Arial"/>
          <w:sz w:val="22"/>
          <w:szCs w:val="22"/>
          <w:color w:val="auto"/>
        </w:rPr>
        <w:t>” means Crown Cork &amp; Seal Company, Inc., a Pennsylvania corporation, until a successor replaces such party pursuant to Article Five of this Indenture.</w:t>
      </w:r>
    </w:p>
    <w:p>
      <w:pPr>
        <w:spacing w:after="0" w:line="173" w:lineRule="exact"/>
        <w:rPr>
          <w:sz w:val="20"/>
          <w:szCs w:val="20"/>
          <w:color w:val="auto"/>
        </w:rPr>
      </w:pPr>
    </w:p>
    <w:p>
      <w:pPr>
        <w:ind w:right="4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that is, or with the passage of time or the giving of notice or both would be, an Event of Default.</w:t>
      </w:r>
    </w:p>
    <w:p>
      <w:pPr>
        <w:spacing w:after="0" w:line="173" w:lineRule="exact"/>
        <w:rPr>
          <w:sz w:val="20"/>
          <w:szCs w:val="20"/>
          <w:color w:val="auto"/>
        </w:rPr>
      </w:pPr>
    </w:p>
    <w:p>
      <w:pPr>
        <w:ind w:right="5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organized under the laws of the United States or any State thereof or the District of Columbia.</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Guarantor</w:t>
      </w:r>
      <w:r>
        <w:rPr>
          <w:rFonts w:ascii="Arial" w:cs="Arial" w:eastAsia="Arial" w:hAnsi="Arial"/>
          <w:sz w:val="22"/>
          <w:szCs w:val="22"/>
          <w:color w:val="auto"/>
        </w:rPr>
        <w:t>” has the meaning set forth in Section 10.06(a)(6).</w:t>
      </w:r>
    </w:p>
    <w:p>
      <w:pPr>
        <w:spacing w:after="0" w:line="206" w:lineRule="exact"/>
        <w:rPr>
          <w:sz w:val="20"/>
          <w:szCs w:val="20"/>
          <w:color w:val="auto"/>
        </w:rPr>
      </w:pPr>
    </w:p>
    <w:p>
      <w:pPr>
        <w:ind w:right="18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3" w:lineRule="exact"/>
        <w:rPr>
          <w:sz w:val="20"/>
          <w:szCs w:val="20"/>
          <w:color w:val="auto"/>
        </w:rPr>
      </w:pPr>
    </w:p>
    <w:p>
      <w:pPr>
        <w:jc w:val="both"/>
        <w:ind w:right="100"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Government Obligations</w:t>
      </w:r>
      <w:r>
        <w:rPr>
          <w:rFonts w:ascii="Arial" w:cs="Arial" w:eastAsia="Arial" w:hAnsi="Arial"/>
          <w:sz w:val="19"/>
          <w:szCs w:val="19"/>
          <w:color w:val="auto"/>
        </w:rPr>
        <w:t>” means marketable direct obligations issued by, or unconditionally guaranteed by, any member state of the European Union (as it exists on the Issue Date) or issued by any agency or instrumentality thereof and backed by the full faith and credit of such member state of the European Union that, in each case, mature within one year</w:t>
      </w:r>
    </w:p>
    <w:p>
      <w:pPr>
        <w:sectPr>
          <w:pgSz w:w="11900" w:h="16838" w:orient="portrait"/>
          <w:cols w:equalWidth="0" w:num="1">
            <w:col w:w="11000"/>
          </w:cols>
          <w:pgMar w:left="440" w:top="415" w:right="4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from the date of acquisition thereof and are not callable or redeemable at the option of the issuer thereof.</w:t>
      </w:r>
    </w:p>
    <w:p>
      <w:pPr>
        <w:spacing w:after="0" w:line="206" w:lineRule="exact"/>
        <w:rPr>
          <w:sz w:val="20"/>
          <w:szCs w:val="20"/>
          <w:color w:val="auto"/>
        </w:rPr>
      </w:pPr>
    </w:p>
    <w:p>
      <w:pPr>
        <w:ind w:right="180" w:firstLine="143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Currency Equivalent</w:t>
      </w:r>
      <w:r>
        <w:rPr>
          <w:rFonts w:ascii="Arial" w:cs="Arial" w:eastAsia="Arial" w:hAnsi="Arial"/>
          <w:sz w:val="19"/>
          <w:szCs w:val="19"/>
          <w:color w:val="auto"/>
        </w:rPr>
        <w:t>” means, with respect to any monetary amount in a currency other than Euros, at any time for the determination thereof, the amount of Euros obtained by converting such foreign currency involved in such computation into Euros at the spot rate for the purchase of Euros with the applicable foreign currency as quoted by Reuters at approximately 10:00 A.M. (New York time) on the date not more than two Business Days prior to such determination.</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Euroclear Bank S.A./N.V.</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set forth in Section 6.01.</w:t>
      </w:r>
    </w:p>
    <w:p>
      <w:pPr>
        <w:spacing w:after="0" w:line="206" w:lineRule="exact"/>
        <w:rPr>
          <w:sz w:val="20"/>
          <w:szCs w:val="20"/>
          <w:color w:val="auto"/>
        </w:rPr>
      </w:pPr>
    </w:p>
    <w:p>
      <w:pPr>
        <w:ind w:right="8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Commission promulgated thereunder.</w:t>
      </w:r>
    </w:p>
    <w:p>
      <w:pPr>
        <w:spacing w:after="0" w:line="173" w:lineRule="exact"/>
        <w:rPr>
          <w:sz w:val="20"/>
          <w:szCs w:val="20"/>
          <w:color w:val="auto"/>
        </w:rPr>
      </w:pPr>
    </w:p>
    <w:p>
      <w:pPr>
        <w:ind w:firstLine="1433"/>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Facility</w:t>
      </w:r>
      <w:r>
        <w:rPr>
          <w:rFonts w:ascii="Arial" w:cs="Arial" w:eastAsia="Arial" w:hAnsi="Arial"/>
          <w:sz w:val="19"/>
          <w:szCs w:val="19"/>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January 29, 2018, as amended by the Second Amendment to the Amended and Restated Credit Agreement, dated as of March 23, 2018 and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58" w:lineRule="exact"/>
        <w:rPr>
          <w:sz w:val="20"/>
          <w:szCs w:val="20"/>
          <w:color w:val="auto"/>
        </w:rPr>
      </w:pPr>
    </w:p>
    <w:p>
      <w:pPr>
        <w:ind w:right="2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Transaction</w:t>
      </w:r>
      <w:r>
        <w:rPr>
          <w:rFonts w:ascii="Arial" w:cs="Arial" w:eastAsia="Arial" w:hAnsi="Arial"/>
          <w:sz w:val="22"/>
          <w:szCs w:val="22"/>
          <w:color w:val="auto"/>
        </w:rPr>
        <w:t>” means issuance of the Notes issued on the Issue Date and the application of the net proceeds thereof as described in the Offering Memorandum.</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Issuer, which at the date hereof ends on December 31.</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French Guarantor</w:t>
      </w:r>
      <w:r>
        <w:rPr>
          <w:rFonts w:ascii="Arial" w:cs="Arial" w:eastAsia="Arial" w:hAnsi="Arial"/>
          <w:sz w:val="22"/>
          <w:szCs w:val="22"/>
          <w:color w:val="auto"/>
        </w:rPr>
        <w:t>” has the meaning set forth in Section 10.06(a)(5).</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French Subsidiary Guarantor</w:t>
      </w:r>
      <w:r>
        <w:rPr>
          <w:rFonts w:ascii="Arial" w:cs="Arial" w:eastAsia="Arial" w:hAnsi="Arial"/>
          <w:sz w:val="22"/>
          <w:szCs w:val="22"/>
          <w:color w:val="auto"/>
        </w:rPr>
        <w:t>” has the meaning set forth in Section 10.06(a)(5).</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Future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right="12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set forth in the opinions and pronouncements of the Accounting Principles Board of the American Institute of</w:t>
      </w:r>
    </w:p>
    <w:p>
      <w:pPr>
        <w:sectPr>
          <w:pgSz w:w="11900" w:h="16838" w:orient="portrait"/>
          <w:cols w:equalWidth="0" w:num="1">
            <w:col w:w="11020"/>
          </w:cols>
          <w:pgMar w:left="440" w:top="415" w:right="4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p>
    <w:p>
      <w:pPr>
        <w:spacing w:after="0" w:line="23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 Legend</w:t>
      </w:r>
      <w:r>
        <w:rPr>
          <w:rFonts w:ascii="Arial" w:cs="Arial" w:eastAsia="Arial" w:hAnsi="Arial"/>
          <w:sz w:val="22"/>
          <w:szCs w:val="22"/>
          <w:color w:val="auto"/>
        </w:rPr>
        <w:t xml:space="preserve">” means the legend substantially in the form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Notes</w:t>
      </w:r>
      <w:r>
        <w:rPr>
          <w:rFonts w:ascii="Arial" w:cs="Arial" w:eastAsia="Arial" w:hAnsi="Arial"/>
          <w:sz w:val="22"/>
          <w:szCs w:val="22"/>
          <w:color w:val="auto"/>
        </w:rPr>
        <w:t>” has the meaning set forth in Section 2.16.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Financing</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Financing Guarantee</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right="260" w:firstLine="143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w:t>
      </w:r>
    </w:p>
    <w:p>
      <w:pPr>
        <w:spacing w:after="0" w:line="206" w:lineRule="exact"/>
        <w:rPr>
          <w:sz w:val="20"/>
          <w:szCs w:val="20"/>
          <w:color w:val="auto"/>
        </w:rPr>
      </w:pPr>
    </w:p>
    <w:p>
      <w:pPr>
        <w:ind w:left="1860" w:hanging="470"/>
        <w:spacing w:after="0"/>
        <w:tabs>
          <w:tab w:leader="none" w:pos="18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Parent;</w:t>
      </w:r>
    </w:p>
    <w:p>
      <w:pPr>
        <w:spacing w:after="0" w:line="206" w:lineRule="exact"/>
        <w:rPr>
          <w:rFonts w:ascii="Arial" w:cs="Arial" w:eastAsia="Arial" w:hAnsi="Arial"/>
          <w:sz w:val="22"/>
          <w:szCs w:val="22"/>
          <w:color w:val="auto"/>
        </w:rPr>
      </w:pPr>
    </w:p>
    <w:p>
      <w:pPr>
        <w:ind w:left="1860" w:hanging="470"/>
        <w:spacing w:after="0"/>
        <w:tabs>
          <w:tab w:leader="none" w:pos="18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Subsidiary that executes and delivers a Note Guarantee pursuant to Section 4.17; and</w:t>
      </w:r>
    </w:p>
    <w:p>
      <w:pPr>
        <w:spacing w:after="0" w:line="206" w:lineRule="exact"/>
        <w:rPr>
          <w:rFonts w:ascii="Arial" w:cs="Arial" w:eastAsia="Arial" w:hAnsi="Arial"/>
          <w:sz w:val="22"/>
          <w:szCs w:val="22"/>
          <w:color w:val="auto"/>
        </w:rPr>
      </w:pPr>
    </w:p>
    <w:p>
      <w:pPr>
        <w:ind w:left="1860" w:hanging="470"/>
        <w:spacing w:after="0"/>
        <w:tabs>
          <w:tab w:leader="none" w:pos="18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Subsidiary that otherwise executes and delivers a Note Guarantee,</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in each case, until such time as such Person is released from its Note Guarantee in accordance with the provisions of this Indenture.</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means, with respect to any Person, the obligations of such Person under:</w:t>
      </w:r>
    </w:p>
    <w:p>
      <w:pPr>
        <w:spacing w:after="0" w:line="206" w:lineRule="exact"/>
        <w:rPr>
          <w:sz w:val="20"/>
          <w:szCs w:val="20"/>
          <w:color w:val="auto"/>
        </w:rPr>
      </w:pPr>
    </w:p>
    <w:p>
      <w:pPr>
        <w:ind w:left="780" w:right="540" w:firstLine="610"/>
        <w:spacing w:after="0" w:line="251" w:lineRule="auto"/>
        <w:tabs>
          <w:tab w:leader="none" w:pos="1863"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interest rate protection agreements including, without limitation, interest rate swap agreements, interest rate cap agreements and interest rate collar agreements;</w:t>
      </w:r>
    </w:p>
    <w:p>
      <w:pPr>
        <w:spacing w:after="0" w:line="173" w:lineRule="exact"/>
        <w:rPr>
          <w:rFonts w:ascii="Arial" w:cs="Arial" w:eastAsia="Arial" w:hAnsi="Arial"/>
          <w:sz w:val="22"/>
          <w:szCs w:val="22"/>
          <w:color w:val="auto"/>
        </w:rPr>
      </w:pPr>
    </w:p>
    <w:p>
      <w:pPr>
        <w:ind w:left="780" w:firstLine="610"/>
        <w:spacing w:after="0" w:line="274" w:lineRule="auto"/>
        <w:tabs>
          <w:tab w:leader="none" w:pos="1863" w:val="left"/>
        </w:tabs>
        <w:numPr>
          <w:ilvl w:val="0"/>
          <w:numId w:val="13"/>
        </w:numPr>
        <w:rPr>
          <w:rFonts w:ascii="Arial" w:cs="Arial" w:eastAsia="Arial" w:hAnsi="Arial"/>
          <w:sz w:val="21"/>
          <w:szCs w:val="21"/>
          <w:color w:val="auto"/>
        </w:rPr>
      </w:pPr>
      <w:r>
        <w:rPr>
          <w:rFonts w:ascii="Arial" w:cs="Arial" w:eastAsia="Arial" w:hAnsi="Arial"/>
          <w:sz w:val="21"/>
          <w:szCs w:val="21"/>
          <w:color w:val="auto"/>
        </w:rPr>
        <w:t>any foreign exchange contracts, currency swap agreements or other agreements or arrangements designed to protect such Person against fluctuations in interest rates or foreign exchange rates;</w:t>
      </w:r>
    </w:p>
    <w:p>
      <w:pPr>
        <w:sectPr>
          <w:pgSz w:w="11900" w:h="16838" w:orient="portrait"/>
          <w:cols w:equalWidth="0" w:num="1">
            <w:col w:w="11000"/>
          </w:cols>
          <w:pgMar w:left="440" w:top="415"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w:t>
      </w:r>
    </w:p>
    <w:p>
      <w:pPr>
        <w:spacing w:after="0" w:line="233" w:lineRule="exact"/>
        <w:rPr>
          <w:sz w:val="20"/>
          <w:szCs w:val="20"/>
          <w:color w:val="auto"/>
        </w:rPr>
      </w:pPr>
    </w:p>
    <w:p>
      <w:pPr>
        <w:ind w:left="780" w:right="780" w:firstLine="610"/>
        <w:spacing w:after="0" w:line="274" w:lineRule="auto"/>
        <w:tabs>
          <w:tab w:leader="none" w:pos="2079" w:val="left"/>
        </w:tabs>
        <w:numPr>
          <w:ilvl w:val="0"/>
          <w:numId w:val="14"/>
        </w:numPr>
        <w:rPr>
          <w:rFonts w:ascii="Arial" w:cs="Arial" w:eastAsia="Arial" w:hAnsi="Arial"/>
          <w:sz w:val="21"/>
          <w:szCs w:val="21"/>
          <w:color w:val="auto"/>
        </w:rPr>
      </w:pPr>
      <w:r>
        <w:rPr>
          <w:rFonts w:ascii="Arial" w:cs="Arial" w:eastAsia="Arial" w:hAnsi="Arial"/>
          <w:sz w:val="21"/>
          <w:szCs w:val="21"/>
          <w:color w:val="auto"/>
        </w:rPr>
        <w:t>any commodity futures contract, commodity option or other similar arrangement or agreement designed to protect such Person against fluctuations in the prices of commodities; and</w:t>
      </w:r>
    </w:p>
    <w:p>
      <w:pPr>
        <w:spacing w:after="0" w:line="150" w:lineRule="exact"/>
        <w:rPr>
          <w:rFonts w:ascii="Arial" w:cs="Arial" w:eastAsia="Arial" w:hAnsi="Arial"/>
          <w:sz w:val="21"/>
          <w:szCs w:val="21"/>
          <w:color w:val="auto"/>
        </w:rPr>
      </w:pPr>
    </w:p>
    <w:p>
      <w:pPr>
        <w:ind w:left="780" w:right="980" w:firstLine="610"/>
        <w:spacing w:after="0" w:line="251" w:lineRule="auto"/>
        <w:tabs>
          <w:tab w:leader="none" w:pos="2079"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indemnity agreements and arrangements entered into in connection with the agreements and arrangements described in clauses (1), (2) and (3) above.</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or “</w:t>
      </w:r>
      <w:r>
        <w:rPr>
          <w:rFonts w:ascii="Arial" w:cs="Arial" w:eastAsia="Arial" w:hAnsi="Arial"/>
          <w:sz w:val="19"/>
          <w:szCs w:val="19"/>
          <w:u w:val="single" w:color="auto"/>
          <w:color w:val="auto"/>
        </w:rPr>
        <w:t>Noteholder</w:t>
      </w:r>
      <w:r>
        <w:rPr>
          <w:rFonts w:ascii="Arial" w:cs="Arial" w:eastAsia="Arial" w:hAnsi="Arial"/>
          <w:sz w:val="19"/>
          <w:szCs w:val="19"/>
          <w:color w:val="auto"/>
        </w:rPr>
        <w:t>” means the Person in whose name a Note is registered on the Registrar’s books.</w:t>
      </w:r>
    </w:p>
    <w:p>
      <w:pPr>
        <w:spacing w:after="0" w:line="241" w:lineRule="exact"/>
        <w:rPr>
          <w:sz w:val="20"/>
          <w:szCs w:val="20"/>
          <w:color w:val="auto"/>
        </w:rPr>
      </w:pPr>
    </w:p>
    <w:p>
      <w:pPr>
        <w:ind w:right="80" w:firstLine="1433"/>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The amount of any Indebtedness outstanding as of any date will be:</w:t>
      </w:r>
    </w:p>
    <w:p>
      <w:pPr>
        <w:spacing w:after="0" w:line="206" w:lineRule="exact"/>
        <w:rPr>
          <w:sz w:val="20"/>
          <w:szCs w:val="20"/>
          <w:color w:val="auto"/>
        </w:rPr>
      </w:pPr>
    </w:p>
    <w:p>
      <w:pPr>
        <w:ind w:left="2120" w:hanging="684"/>
        <w:spacing w:after="0"/>
        <w:tabs>
          <w:tab w:leader="none" w:pos="21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that does not require the current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 of interest;</w:t>
      </w:r>
    </w:p>
    <w:p>
      <w:pPr>
        <w:spacing w:after="0" w:line="188" w:lineRule="exact"/>
        <w:rPr>
          <w:rFonts w:ascii="Arial" w:cs="Arial" w:eastAsia="Arial" w:hAnsi="Arial"/>
          <w:sz w:val="19"/>
          <w:szCs w:val="19"/>
          <w:color w:val="auto"/>
        </w:rPr>
      </w:pPr>
    </w:p>
    <w:p>
      <w:pPr>
        <w:ind w:left="2120" w:hanging="684"/>
        <w:spacing w:after="0"/>
        <w:tabs>
          <w:tab w:leader="none" w:pos="2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principal amount of the Indebtedness, in the case of any other Indebtedness; and</w:t>
      </w:r>
    </w:p>
    <w:p>
      <w:pPr>
        <w:spacing w:after="0" w:line="206" w:lineRule="exact"/>
        <w:rPr>
          <w:rFonts w:ascii="Arial" w:cs="Arial" w:eastAsia="Arial" w:hAnsi="Arial"/>
          <w:sz w:val="22"/>
          <w:szCs w:val="22"/>
          <w:color w:val="auto"/>
        </w:rPr>
      </w:pPr>
    </w:p>
    <w:p>
      <w:pPr>
        <w:ind w:left="2120" w:hanging="684"/>
        <w:spacing w:after="0"/>
        <w:tabs>
          <w:tab w:leader="none" w:pos="21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lesser of:</w:t>
      </w:r>
    </w:p>
    <w:p>
      <w:pPr>
        <w:spacing w:after="0" w:line="188" w:lineRule="exact"/>
        <w:rPr>
          <w:sz w:val="20"/>
          <w:szCs w:val="20"/>
          <w:color w:val="auto"/>
        </w:rPr>
      </w:pPr>
    </w:p>
    <w:p>
      <w:pPr>
        <w:ind w:left="2100" w:hanging="664"/>
        <w:spacing w:after="0"/>
        <w:tabs>
          <w:tab w:leader="none" w:pos="21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fair market value (as determined in good faith by Parent) of such assets at the date of</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determination; and</w:t>
      </w:r>
    </w:p>
    <w:p>
      <w:pPr>
        <w:spacing w:after="0" w:line="188" w:lineRule="exact"/>
        <w:rPr>
          <w:rFonts w:ascii="Arial" w:cs="Arial" w:eastAsia="Arial" w:hAnsi="Arial"/>
          <w:sz w:val="22"/>
          <w:szCs w:val="22"/>
          <w:color w:val="auto"/>
        </w:rPr>
      </w:pPr>
    </w:p>
    <w:p>
      <w:pPr>
        <w:ind w:left="2120" w:hanging="684"/>
        <w:spacing w:after="0"/>
        <w:tabs>
          <w:tab w:leader="none" w:pos="2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w:t>
      </w:r>
    </w:p>
    <w:p>
      <w:pPr>
        <w:spacing w:after="0" w:line="206" w:lineRule="exact"/>
        <w:rPr>
          <w:sz w:val="20"/>
          <w:szCs w:val="20"/>
          <w:color w:val="auto"/>
        </w:rPr>
      </w:pPr>
    </w:p>
    <w:p>
      <w:pPr>
        <w:ind w:right="200" w:firstLine="1433"/>
        <w:spacing w:after="0" w:line="251" w:lineRule="auto"/>
        <w:rPr>
          <w:sz w:val="20"/>
          <w:szCs w:val="20"/>
          <w:color w:val="auto"/>
        </w:rPr>
      </w:pPr>
      <w:r>
        <w:rPr>
          <w:rFonts w:ascii="Arial" w:cs="Arial" w:eastAsia="Arial" w:hAnsi="Arial"/>
          <w:sz w:val="22"/>
          <w:szCs w:val="22"/>
          <w:color w:val="auto"/>
        </w:rPr>
        <w:t>For the avoidance of doubt, a letter of credit or analogous instrument will not constitute Indebtedness until it has been drawn upon.</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restated or supplemented from time to time.</w:t>
      </w:r>
    </w:p>
    <w:p>
      <w:pPr>
        <w:sectPr>
          <w:pgSz w:w="11900" w:h="16838" w:orient="portrait"/>
          <w:cols w:equalWidth="0" w:num="1">
            <w:col w:w="11020"/>
          </w:cols>
          <w:pgMar w:left="440" w:top="415" w:right="4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p>
    <w:p>
      <w:pPr>
        <w:spacing w:after="0" w:line="233" w:lineRule="exact"/>
        <w:rPr>
          <w:sz w:val="20"/>
          <w:szCs w:val="20"/>
          <w:color w:val="auto"/>
        </w:rPr>
      </w:pPr>
    </w:p>
    <w:p>
      <w:pPr>
        <w:ind w:right="60" w:firstLine="143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Purchasers</w:t>
      </w:r>
      <w:r>
        <w:rPr>
          <w:rFonts w:ascii="Arial" w:cs="Arial" w:eastAsia="Arial" w:hAnsi="Arial"/>
          <w:sz w:val="21"/>
          <w:szCs w:val="21"/>
          <w:color w:val="auto"/>
        </w:rPr>
        <w:t>” means BNP Paribas, Deutsche Bank AG, London Branch, Merrill Lynch International, Citigroup Global Markets Limited, Commerzbank Aktiengesellschaft, Crédit Agricole Corporate and Investment Bank, Mizuho Securities Europe GmbH, Banco Santander, S.A., Scotiabank Europe plc, TD Securities (USA) LLC, UniCredit Bank AG, Wells Fargo Securities International Limited, Banco Bilbao Vizcaya Argentaria, S.A., Goldman Sachs &amp; Co. LLC, HSBC Securities (USA) Inc., ING Financial Markets LLC, MUFG Securities EMEA plc, PNC Capital Markets LLC, Coöperatieve Rabobank U.A. and SMBC Nikko Capital Markets Limited.</w:t>
      </w:r>
    </w:p>
    <w:p>
      <w:pPr>
        <w:spacing w:after="0" w:line="177" w:lineRule="exact"/>
        <w:rPr>
          <w:sz w:val="20"/>
          <w:szCs w:val="20"/>
          <w:color w:val="auto"/>
        </w:rPr>
      </w:pPr>
    </w:p>
    <w:p>
      <w:pPr>
        <w:ind w:right="4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w:t>
      </w:r>
    </w:p>
    <w:p>
      <w:pPr>
        <w:spacing w:after="0" w:line="173" w:lineRule="exact"/>
        <w:rPr>
          <w:sz w:val="20"/>
          <w:szCs w:val="20"/>
          <w:color w:val="auto"/>
        </w:rPr>
      </w:pPr>
    </w:p>
    <w:p>
      <w:pPr>
        <w:ind w:right="60"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Instructions</w:t>
      </w:r>
      <w:r>
        <w:rPr>
          <w:rFonts w:ascii="Arial" w:cs="Arial" w:eastAsia="Arial" w:hAnsi="Arial"/>
          <w:sz w:val="22"/>
          <w:szCs w:val="22"/>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the stated maturity of an installment of interest on the Notes.</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U.S. Internal Revenue Code of 1986, as amended.</w:t>
      </w:r>
    </w:p>
    <w:p>
      <w:pPr>
        <w:spacing w:after="0" w:line="206" w:lineRule="exact"/>
        <w:rPr>
          <w:sz w:val="20"/>
          <w:szCs w:val="20"/>
          <w:color w:val="auto"/>
        </w:rPr>
      </w:pPr>
    </w:p>
    <w:p>
      <w:pPr>
        <w:jc w:val="both"/>
        <w:ind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Date</w:t>
      </w:r>
      <w:r>
        <w:rPr>
          <w:rFonts w:ascii="Arial" w:cs="Arial" w:eastAsia="Arial" w:hAnsi="Arial"/>
          <w:sz w:val="19"/>
          <w:szCs w:val="19"/>
          <w:color w:val="auto"/>
        </w:rPr>
        <w:t>” means October 31, 2019, the date on which the Notes were first issued under this Indenture.</w:t>
      </w:r>
    </w:p>
    <w:p>
      <w:pPr>
        <w:spacing w:after="0" w:line="24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w:t>
      </w:r>
      <w:r>
        <w:rPr>
          <w:rFonts w:ascii="Arial" w:cs="Arial" w:eastAsia="Arial" w:hAnsi="Arial"/>
          <w:sz w:val="22"/>
          <w:szCs w:val="22"/>
          <w:color w:val="auto"/>
        </w:rPr>
        <w:t>” has the meaning ascribed to such term in the preamble to this Indenture.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has the meaning set forth in Section 11.17.</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Defeasance</w:t>
      </w:r>
      <w:r>
        <w:rPr>
          <w:rFonts w:ascii="Arial" w:cs="Arial" w:eastAsia="Arial" w:hAnsi="Arial"/>
          <w:sz w:val="22"/>
          <w:szCs w:val="22"/>
          <w:color w:val="auto"/>
        </w:rPr>
        <w:t>” has the meaning set forth in Section 9.02.</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Holiday</w:t>
      </w:r>
      <w:r>
        <w:rPr>
          <w:rFonts w:ascii="Arial" w:cs="Arial" w:eastAsia="Arial" w:hAnsi="Arial"/>
          <w:sz w:val="22"/>
          <w:szCs w:val="22"/>
          <w:color w:val="auto"/>
        </w:rPr>
        <w:t>” has the meaning set forth in Section 11.07.</w:t>
      </w:r>
    </w:p>
    <w:p>
      <w:pPr>
        <w:spacing w:after="0" w:line="206" w:lineRule="exact"/>
        <w:rPr>
          <w:sz w:val="20"/>
          <w:szCs w:val="20"/>
          <w:color w:val="auto"/>
        </w:rPr>
      </w:pPr>
    </w:p>
    <w:p>
      <w:pPr>
        <w:ind w:right="380" w:firstLine="143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w:t>
      </w:r>
    </w:p>
    <w:p>
      <w:pPr>
        <w:sectPr>
          <w:pgSz w:w="11900" w:h="16838" w:orient="portrait"/>
          <w:cols w:equalWidth="0" w:num="1">
            <w:col w:w="11020"/>
          </w:cols>
          <w:pgMar w:left="440" w:top="415"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p>
    <w:p>
      <w:pPr>
        <w:spacing w:after="0" w:line="233"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in the nature thereof, any option or other agreement to sell or give a security interest in and any filing of or agreement to give any financing statement under the Uniform Commercial Code (or equivalent statutes) of any jurisdiction).</w:t>
      </w:r>
    </w:p>
    <w:p>
      <w:pPr>
        <w:spacing w:after="0" w:line="105"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claims, losses, liabilities, damages, costs, expenses and judgments (including legal fees and expenses) sustained by either party.</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Luxembourg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right="20" w:firstLine="1433"/>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Make-Whole Premium</w:t>
      </w:r>
      <w:r>
        <w:rPr>
          <w:rFonts w:ascii="Arial" w:cs="Arial" w:eastAsia="Arial" w:hAnsi="Arial"/>
          <w:sz w:val="19"/>
          <w:szCs w:val="19"/>
          <w:color w:val="auto"/>
        </w:rPr>
        <w:t xml:space="preserve">” means, with respect to a Note at any Make-Whole Redemption Date, an amount equal to the greater of (i) 100.0% of the principal amount of such Note and (ii) the excess, if any, of (x) the present value at such Make-Whole Redemption Date of the sum of (1) the principal amount that would be payable on such Note on January 15, 2023 and (2) all remaining interest payments to and including January 15, 2023 (but excluding any interest accrued to the Make-Whole Redemption Date), discounted on a semiannual basis (assuming a 360-day year consisting of twelve 30-day months) from January 15, 2023 to the Make-Whole Redemption Date at a per annum interest rate equal to the Bund Rate on such Make-Whole Redemption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0.50%, </w:t>
      </w:r>
      <w:r>
        <w:rPr>
          <w:rFonts w:ascii="Arial" w:cs="Arial" w:eastAsia="Arial" w:hAnsi="Arial"/>
          <w:sz w:val="19"/>
          <w:szCs w:val="19"/>
          <w:i w:val="1"/>
          <w:iCs w:val="1"/>
          <w:color w:val="auto"/>
        </w:rPr>
        <w:t>over</w:t>
      </w:r>
      <w:r>
        <w:rPr>
          <w:rFonts w:ascii="Arial" w:cs="Arial" w:eastAsia="Arial" w:hAnsi="Arial"/>
          <w:sz w:val="19"/>
          <w:szCs w:val="19"/>
          <w:color w:val="auto"/>
        </w:rPr>
        <w:t xml:space="preserve"> (y) the outstanding principal amount of such Note.</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Make-Whole Redemption</w:t>
      </w:r>
      <w:r>
        <w:rPr>
          <w:rFonts w:ascii="Arial" w:cs="Arial" w:eastAsia="Arial" w:hAnsi="Arial"/>
          <w:sz w:val="22"/>
          <w:szCs w:val="22"/>
          <w:color w:val="auto"/>
        </w:rPr>
        <w:t>” has the meaning set forth in paragraph 5 of the Notes.</w:t>
      </w:r>
    </w:p>
    <w:p>
      <w:pPr>
        <w:spacing w:after="0" w:line="206" w:lineRule="exact"/>
        <w:rPr>
          <w:sz w:val="20"/>
          <w:szCs w:val="20"/>
          <w:color w:val="auto"/>
        </w:rPr>
      </w:pPr>
    </w:p>
    <w:p>
      <w:pPr>
        <w:ind w:right="5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Make-Whole Redemption Date</w:t>
      </w:r>
      <w:r>
        <w:rPr>
          <w:rFonts w:ascii="Arial" w:cs="Arial" w:eastAsia="Arial" w:hAnsi="Arial"/>
          <w:sz w:val="22"/>
          <w:szCs w:val="22"/>
          <w:color w:val="auto"/>
        </w:rPr>
        <w:t>” with respect to a Make-Whole Redemption, means the date such Make Whole Redemption is effectuated.</w:t>
      </w:r>
    </w:p>
    <w:p>
      <w:pPr>
        <w:spacing w:after="0" w:line="173" w:lineRule="exact"/>
        <w:rPr>
          <w:sz w:val="20"/>
          <w:szCs w:val="20"/>
          <w:color w:val="auto"/>
        </w:rPr>
      </w:pPr>
    </w:p>
    <w:p>
      <w:pPr>
        <w:ind w:right="2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when used with respect to any Note, means the date on which the principal amount of such Note becomes due and payable as therein or herein provided.</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Guaranteed Amount</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its successors.</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Equity Cap</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w:t>
      </w:r>
    </w:p>
    <w:p>
      <w:pPr>
        <w:spacing w:after="0" w:line="206" w:lineRule="exact"/>
        <w:rPr>
          <w:sz w:val="20"/>
          <w:szCs w:val="20"/>
          <w:color w:val="auto"/>
        </w:rPr>
      </w:pPr>
    </w:p>
    <w:p>
      <w:pPr>
        <w:ind w:right="1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Guarantee</w:t>
      </w:r>
      <w:r>
        <w:rPr>
          <w:rFonts w:ascii="Arial" w:cs="Arial" w:eastAsia="Arial" w:hAnsi="Arial"/>
          <w:sz w:val="22"/>
          <w:szCs w:val="22"/>
          <w:color w:val="auto"/>
        </w:rPr>
        <w:t>” means any Guarantee of the obligations of the Issuer under this Indenture and the Notes by any Person in accordance with the provisions of this Indenture.</w:t>
      </w:r>
    </w:p>
    <w:p>
      <w:pPr>
        <w:spacing w:after="0" w:line="173" w:lineRule="exact"/>
        <w:rPr>
          <w:sz w:val="20"/>
          <w:szCs w:val="20"/>
          <w:color w:val="auto"/>
        </w:rPr>
      </w:pPr>
    </w:p>
    <w:p>
      <w:pPr>
        <w:ind w:right="4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means the 0.750% Senior Notes due 2023 issued by the Issuer, including, without limitation, any Additional Notes, treated as a single class of securities, as</w:t>
      </w:r>
    </w:p>
    <w:p>
      <w:pPr>
        <w:sectPr>
          <w:pgSz w:w="11900" w:h="16838" w:orient="portrait"/>
          <w:cols w:equalWidth="0" w:num="1">
            <w:col w:w="11000"/>
          </w:cols>
          <w:pgMar w:left="440" w:top="415" w:right="45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amended from time to time in accordance with the terms hereof, that are issued pursuant to this Indenture.</w:t>
      </w:r>
    </w:p>
    <w:p>
      <w:pPr>
        <w:spacing w:after="0" w:line="206" w:lineRule="exact"/>
        <w:rPr>
          <w:sz w:val="20"/>
          <w:szCs w:val="20"/>
          <w:color w:val="auto"/>
        </w:rPr>
      </w:pPr>
    </w:p>
    <w:p>
      <w:pPr>
        <w:ind w:right="1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Offering Memorandum of the Issuer, dated October 22, 2019, relating to the offering of the Notes on the Issue Date.</w:t>
      </w:r>
    </w:p>
    <w:p>
      <w:pPr>
        <w:spacing w:after="0" w:line="173" w:lineRule="exact"/>
        <w:rPr>
          <w:sz w:val="20"/>
          <w:szCs w:val="20"/>
          <w:color w:val="auto"/>
        </w:rPr>
      </w:pPr>
    </w:p>
    <w:p>
      <w:pPr>
        <w:ind w:right="180"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w:t>
      </w:r>
      <w:r>
        <w:rPr>
          <w:rFonts w:ascii="Arial" w:cs="Arial" w:eastAsia="Arial" w:hAnsi="Arial"/>
          <w:sz w:val="22"/>
          <w:szCs w:val="22"/>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86" w:lineRule="exact"/>
        <w:rPr>
          <w:sz w:val="20"/>
          <w:szCs w:val="20"/>
          <w:color w:val="auto"/>
        </w:rPr>
      </w:pPr>
    </w:p>
    <w:p>
      <w:pPr>
        <w:ind w:right="260" w:firstLine="143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Opinion of Counsel</w:t>
      </w:r>
      <w:r>
        <w:rPr>
          <w:rFonts w:ascii="Arial" w:cs="Arial" w:eastAsia="Arial" w:hAnsi="Arial"/>
          <w:sz w:val="19"/>
          <w:szCs w:val="19"/>
          <w:color w:val="auto"/>
        </w:rPr>
        <w:t>” means a written opinion from legal counsel who is reasonably acceptable to the Trustee.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Such counsel may be an employee of or counsel to Parent or any of its Subsidiaries.</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right="6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Crown Holdings, Inc., a Pennsylvania corporation, until a successor replaces such party pursuant to Article Five of this Indenture and thereafter the successor.</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has the meaning set forth in Section 2.04.</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Default</w:t>
      </w:r>
      <w:r>
        <w:rPr>
          <w:rFonts w:ascii="Arial" w:cs="Arial" w:eastAsia="Arial" w:hAnsi="Arial"/>
          <w:sz w:val="22"/>
          <w:szCs w:val="22"/>
          <w:color w:val="auto"/>
        </w:rPr>
        <w:t>” has the meaning set forth in Section 6.01.</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Holders</w:t>
      </w:r>
      <w:r>
        <w:rPr>
          <w:rFonts w:ascii="Arial" w:cs="Arial" w:eastAsia="Arial" w:hAnsi="Arial"/>
          <w:sz w:val="22"/>
          <w:szCs w:val="22"/>
          <w:color w:val="auto"/>
        </w:rPr>
        <w:t>” means, collectively, the executive officers of Parent on the Issue Date.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06" w:lineRule="exact"/>
        <w:rPr>
          <w:sz w:val="20"/>
          <w:szCs w:val="20"/>
          <w:color w:val="auto"/>
        </w:rPr>
      </w:pPr>
    </w:p>
    <w:p>
      <w:pPr>
        <w:ind w:left="780" w:firstLine="610"/>
        <w:spacing w:after="0" w:line="248" w:lineRule="auto"/>
        <w:tabs>
          <w:tab w:leader="none" w:pos="2079" w:val="left"/>
        </w:tabs>
        <w:numPr>
          <w:ilvl w:val="0"/>
          <w:numId w:val="17"/>
        </w:numPr>
        <w:rPr>
          <w:rFonts w:ascii="Arial" w:cs="Arial" w:eastAsia="Arial" w:hAnsi="Arial"/>
          <w:sz w:val="21"/>
          <w:szCs w:val="21"/>
          <w:color w:val="auto"/>
        </w:rPr>
      </w:pPr>
      <w:r>
        <w:rPr>
          <w:rFonts w:ascii="Arial" w:cs="Arial" w:eastAsia="Arial" w:hAnsi="Arial"/>
          <w:sz w:val="21"/>
          <w:szCs w:val="21"/>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Arial" w:cs="Arial" w:eastAsia="Arial" w:hAnsi="Arial"/>
          <w:sz w:val="21"/>
          <w:szCs w:val="21"/>
          <w:u w:val="single" w:color="auto"/>
          <w:color w:val="auto"/>
        </w:rPr>
        <w:t>substantial improvement</w:t>
      </w:r>
      <w:r>
        <w:rPr>
          <w:rFonts w:ascii="Arial" w:cs="Arial" w:eastAsia="Arial" w:hAnsi="Arial"/>
          <w:sz w:val="21"/>
          <w:szCs w:val="21"/>
          <w:color w:val="auto"/>
        </w:rPr>
        <w:t>”) of such Principal Property or (b) the placing in operation of such Principal Property after the acquisition or completion of any such construction or substantial improvement;</w:t>
      </w:r>
    </w:p>
    <w:p>
      <w:pPr>
        <w:sectPr>
          <w:pgSz w:w="11900" w:h="16838" w:orient="portrait"/>
          <w:cols w:equalWidth="0" w:num="1">
            <w:col w:w="11020"/>
          </w:cols>
          <w:pgMar w:left="440" w:top="415" w:right="439" w:bottom="1440" w:gutter="0" w:footer="0" w:header="0"/>
        </w:sectPr>
      </w:pPr>
    </w:p>
    <w:bookmarkStart w:id="25" w:name="page26"/>
    <w:bookmarkEnd w:id="25"/>
    <w:p>
      <w:pPr>
        <w:ind w:left="4565"/>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p>
    <w:p>
      <w:pPr>
        <w:spacing w:after="0" w:line="233" w:lineRule="exact"/>
        <w:rPr>
          <w:sz w:val="20"/>
          <w:szCs w:val="20"/>
          <w:color w:val="auto"/>
        </w:rPr>
      </w:pPr>
    </w:p>
    <w:p>
      <w:pPr>
        <w:ind w:left="5" w:firstLine="610"/>
        <w:spacing w:after="0" w:line="273" w:lineRule="auto"/>
        <w:tabs>
          <w:tab w:leader="none" w:pos="1304"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each case</w:t>
      </w:r>
    </w:p>
    <w:p>
      <w:pPr>
        <w:spacing w:after="0" w:line="1" w:lineRule="exact"/>
        <w:rPr>
          <w:rFonts w:ascii="Arial" w:cs="Arial" w:eastAsia="Arial" w:hAnsi="Arial"/>
          <w:sz w:val="19"/>
          <w:szCs w:val="19"/>
          <w:color w:val="auto"/>
        </w:rPr>
      </w:pPr>
    </w:p>
    <w:p>
      <w:pPr>
        <w:ind w:left="5" w:right="100" w:hanging="5"/>
        <w:spacing w:after="0" w:line="280" w:lineRule="auto"/>
        <w:tabs>
          <w:tab w:leader="none" w:pos="299"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150" w:lineRule="exact"/>
        <w:rPr>
          <w:rFonts w:ascii="Arial" w:cs="Arial" w:eastAsia="Arial" w:hAnsi="Arial"/>
          <w:sz w:val="19"/>
          <w:szCs w:val="19"/>
          <w:color w:val="auto"/>
        </w:rPr>
      </w:pPr>
    </w:p>
    <w:p>
      <w:pPr>
        <w:ind w:left="1305" w:hanging="690"/>
        <w:spacing w:after="0"/>
        <w:tabs>
          <w:tab w:leader="none" w:pos="1305" w:val="left"/>
        </w:tabs>
        <w:numPr>
          <w:ilvl w:val="1"/>
          <w:numId w:val="19"/>
        </w:numPr>
        <w:rPr>
          <w:rFonts w:ascii="Arial" w:cs="Arial" w:eastAsia="Arial" w:hAnsi="Arial"/>
          <w:sz w:val="22"/>
          <w:szCs w:val="22"/>
          <w:color w:val="auto"/>
        </w:rPr>
      </w:pPr>
      <w:r>
        <w:rPr>
          <w:rFonts w:ascii="Arial" w:cs="Arial" w:eastAsia="Arial" w:hAnsi="Arial"/>
          <w:sz w:val="22"/>
          <w:szCs w:val="22"/>
          <w:color w:val="auto"/>
        </w:rPr>
        <w:t>Liens securing Indebtedness in favor of Parent and/or one or more of its Subsidiaries;</w:t>
      </w:r>
    </w:p>
    <w:p>
      <w:pPr>
        <w:spacing w:after="0" w:line="206" w:lineRule="exact"/>
        <w:rPr>
          <w:rFonts w:ascii="Arial" w:cs="Arial" w:eastAsia="Arial" w:hAnsi="Arial"/>
          <w:sz w:val="22"/>
          <w:szCs w:val="22"/>
          <w:color w:val="auto"/>
        </w:rPr>
      </w:pPr>
    </w:p>
    <w:p>
      <w:pPr>
        <w:ind w:left="5" w:right="20" w:firstLine="610"/>
        <w:spacing w:after="0" w:line="297" w:lineRule="auto"/>
        <w:tabs>
          <w:tab w:leader="none" w:pos="1304" w:val="left"/>
        </w:tabs>
        <w:numPr>
          <w:ilvl w:val="1"/>
          <w:numId w:val="19"/>
        </w:numPr>
        <w:rPr>
          <w:rFonts w:ascii="Arial" w:cs="Arial" w:eastAsia="Arial" w:hAnsi="Arial"/>
          <w:sz w:val="19"/>
          <w:szCs w:val="19"/>
          <w:color w:val="auto"/>
        </w:rPr>
      </w:pPr>
      <w:r>
        <w:rPr>
          <w:rFonts w:ascii="Arial" w:cs="Arial" w:eastAsia="Arial" w:hAnsi="Arial"/>
          <w:sz w:val="19"/>
          <w:szCs w:val="19"/>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134" w:lineRule="exact"/>
        <w:rPr>
          <w:rFonts w:ascii="Arial" w:cs="Arial" w:eastAsia="Arial" w:hAnsi="Arial"/>
          <w:sz w:val="19"/>
          <w:szCs w:val="19"/>
          <w:color w:val="auto"/>
        </w:rPr>
      </w:pPr>
    </w:p>
    <w:p>
      <w:pPr>
        <w:ind w:left="5" w:right="40" w:firstLine="610"/>
        <w:spacing w:after="0" w:line="287" w:lineRule="auto"/>
        <w:tabs>
          <w:tab w:leader="none" w:pos="1304" w:val="left"/>
        </w:tabs>
        <w:numPr>
          <w:ilvl w:val="1"/>
          <w:numId w:val="19"/>
        </w:numPr>
        <w:rPr>
          <w:rFonts w:ascii="Arial" w:cs="Arial" w:eastAsia="Arial" w:hAnsi="Arial"/>
          <w:sz w:val="19"/>
          <w:szCs w:val="19"/>
          <w:color w:val="auto"/>
        </w:rPr>
      </w:pPr>
      <w:r>
        <w:rPr>
          <w:rFonts w:ascii="Arial" w:cs="Arial" w:eastAsia="Arial" w:hAnsi="Arial"/>
          <w:sz w:val="19"/>
          <w:szCs w:val="19"/>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143" w:lineRule="exact"/>
        <w:rPr>
          <w:rFonts w:ascii="Arial" w:cs="Arial" w:eastAsia="Arial" w:hAnsi="Arial"/>
          <w:sz w:val="19"/>
          <w:szCs w:val="19"/>
          <w:color w:val="auto"/>
        </w:rPr>
      </w:pPr>
    </w:p>
    <w:p>
      <w:pPr>
        <w:ind w:left="1305" w:hanging="690"/>
        <w:spacing w:after="0"/>
        <w:tabs>
          <w:tab w:leader="none" w:pos="1305" w:val="left"/>
        </w:tabs>
        <w:numPr>
          <w:ilvl w:val="1"/>
          <w:numId w:val="19"/>
        </w:numPr>
        <w:rPr>
          <w:rFonts w:ascii="Arial" w:cs="Arial" w:eastAsia="Arial" w:hAnsi="Arial"/>
          <w:sz w:val="22"/>
          <w:szCs w:val="22"/>
          <w:color w:val="auto"/>
        </w:rPr>
      </w:pPr>
      <w:r>
        <w:rPr>
          <w:rFonts w:ascii="Arial" w:cs="Arial" w:eastAsia="Arial" w:hAnsi="Arial"/>
          <w:sz w:val="22"/>
          <w:szCs w:val="22"/>
          <w:color w:val="auto"/>
        </w:rPr>
        <w:t>Liens existing on the date of this Indenture;</w:t>
      </w:r>
    </w:p>
    <w:p>
      <w:pPr>
        <w:spacing w:after="0" w:line="206" w:lineRule="exact"/>
        <w:rPr>
          <w:rFonts w:ascii="Arial" w:cs="Arial" w:eastAsia="Arial" w:hAnsi="Arial"/>
          <w:sz w:val="22"/>
          <w:szCs w:val="22"/>
          <w:color w:val="auto"/>
        </w:rPr>
      </w:pPr>
    </w:p>
    <w:p>
      <w:pPr>
        <w:ind w:left="5" w:right="20" w:firstLine="610"/>
        <w:spacing w:after="0" w:line="270" w:lineRule="auto"/>
        <w:tabs>
          <w:tab w:leader="none" w:pos="1304" w:val="left"/>
        </w:tabs>
        <w:numPr>
          <w:ilvl w:val="1"/>
          <w:numId w:val="19"/>
        </w:numPr>
        <w:rPr>
          <w:rFonts w:ascii="Arial" w:cs="Arial" w:eastAsia="Arial" w:hAnsi="Arial"/>
          <w:sz w:val="19"/>
          <w:szCs w:val="19"/>
          <w:color w:val="auto"/>
        </w:rPr>
      </w:pPr>
      <w:r>
        <w:rPr>
          <w:rFonts w:ascii="Arial" w:cs="Arial" w:eastAsia="Arial" w:hAnsi="Arial"/>
          <w:sz w:val="19"/>
          <w:szCs w:val="19"/>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w:t>
      </w:r>
    </w:p>
    <w:p>
      <w:pPr>
        <w:spacing w:after="0" w:line="4" w:lineRule="exact"/>
        <w:rPr>
          <w:rFonts w:ascii="Arial" w:cs="Arial" w:eastAsia="Arial" w:hAnsi="Arial"/>
          <w:sz w:val="19"/>
          <w:szCs w:val="19"/>
          <w:color w:val="auto"/>
        </w:rPr>
      </w:pPr>
    </w:p>
    <w:p>
      <w:pPr>
        <w:ind w:left="5" w:hanging="5"/>
        <w:spacing w:after="0" w:line="233" w:lineRule="auto"/>
        <w:tabs>
          <w:tab w:leader="none" w:pos="323"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188" w:lineRule="exact"/>
        <w:rPr>
          <w:rFonts w:ascii="Arial" w:cs="Arial" w:eastAsia="Arial" w:hAnsi="Arial"/>
          <w:sz w:val="22"/>
          <w:szCs w:val="22"/>
          <w:color w:val="auto"/>
        </w:rPr>
      </w:pPr>
    </w:p>
    <w:p>
      <w:pPr>
        <w:ind w:left="5" w:right="460" w:firstLine="610"/>
        <w:spacing w:after="0" w:line="251" w:lineRule="auto"/>
        <w:tabs>
          <w:tab w:leader="none" w:pos="1304" w:val="left"/>
        </w:tabs>
        <w:numPr>
          <w:ilvl w:val="1"/>
          <w:numId w:val="20"/>
        </w:numPr>
        <w:rPr>
          <w:rFonts w:ascii="Arial" w:cs="Arial" w:eastAsia="Arial" w:hAnsi="Arial"/>
          <w:sz w:val="22"/>
          <w:szCs w:val="22"/>
          <w:color w:val="auto"/>
        </w:rPr>
      </w:pPr>
      <w:r>
        <w:rPr>
          <w:rFonts w:ascii="Arial" w:cs="Arial" w:eastAsia="Arial" w:hAnsi="Arial"/>
          <w:sz w:val="22"/>
          <w:szCs w:val="22"/>
          <w:color w:val="auto"/>
        </w:rPr>
        <w:t>Liens in respect of cash in connection with the operation of cash management programs and Liens associated with the discounting or sale of letters of credit</w:t>
      </w:r>
    </w:p>
    <w:p>
      <w:pPr>
        <w:sectPr>
          <w:pgSz w:w="11900" w:h="16838" w:orient="portrait"/>
          <w:cols w:equalWidth="0" w:num="1">
            <w:col w:w="10245"/>
          </w:cols>
          <w:pgMar w:left="1215" w:top="415" w:right="439" w:bottom="1440" w:gutter="0" w:footer="0" w:header="0"/>
        </w:sectPr>
      </w:pPr>
    </w:p>
    <w:bookmarkStart w:id="26" w:name="page27"/>
    <w:bookmarkEnd w:id="26"/>
    <w:p>
      <w:pPr>
        <w:jc w:val="center"/>
        <w:ind w:right="7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w:t>
      </w:r>
    </w:p>
    <w:p>
      <w:pPr>
        <w:spacing w:after="0" w:line="23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and customary rights of set off, banker’s Lien, revocation, refund or chargeback or similar rights under deposit disbursement, concentration account agreements or under the Uniform Commercial Code or arising by operation of law;</w:t>
      </w:r>
    </w:p>
    <w:p>
      <w:pPr>
        <w:spacing w:after="0" w:line="186" w:lineRule="exact"/>
        <w:rPr>
          <w:sz w:val="20"/>
          <w:szCs w:val="20"/>
          <w:color w:val="auto"/>
        </w:rPr>
      </w:pPr>
    </w:p>
    <w:p>
      <w:pPr>
        <w:ind w:right="20" w:firstLine="610"/>
        <w:spacing w:after="0"/>
        <w:tabs>
          <w:tab w:leader="none" w:pos="1083" w:val="left"/>
        </w:tabs>
        <w:numPr>
          <w:ilvl w:val="0"/>
          <w:numId w:val="21"/>
        </w:numPr>
        <w:rPr>
          <w:rFonts w:ascii="Arial" w:cs="Arial" w:eastAsia="Arial" w:hAnsi="Arial"/>
          <w:sz w:val="22"/>
          <w:szCs w:val="22"/>
          <w:color w:val="auto"/>
        </w:rPr>
      </w:pPr>
      <w:r>
        <w:rPr>
          <w:rFonts w:ascii="Arial" w:cs="Arial" w:eastAsia="Arial" w:hAnsi="Arial"/>
          <w:sz w:val="22"/>
          <w:szCs w:val="22"/>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186" w:lineRule="exact"/>
        <w:rPr>
          <w:rFonts w:ascii="Arial" w:cs="Arial" w:eastAsia="Arial" w:hAnsi="Arial"/>
          <w:sz w:val="22"/>
          <w:szCs w:val="22"/>
          <w:color w:val="auto"/>
        </w:rPr>
      </w:pPr>
    </w:p>
    <w:p>
      <w:pPr>
        <w:jc w:val="both"/>
        <w:ind w:right="540" w:firstLine="610"/>
        <w:spacing w:after="0"/>
        <w:tabs>
          <w:tab w:leader="none" w:pos="1191" w:val="left"/>
        </w:tabs>
        <w:numPr>
          <w:ilvl w:val="0"/>
          <w:numId w:val="21"/>
        </w:numPr>
        <w:rPr>
          <w:rFonts w:ascii="Arial" w:cs="Arial" w:eastAsia="Arial" w:hAnsi="Arial"/>
          <w:sz w:val="22"/>
          <w:szCs w:val="22"/>
          <w:color w:val="auto"/>
        </w:rPr>
      </w:pPr>
      <w:r>
        <w:rPr>
          <w:rFonts w:ascii="Arial" w:cs="Arial" w:eastAsia="Arial" w:hAnsi="Arial"/>
          <w:sz w:val="22"/>
          <w:szCs w:val="22"/>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186" w:lineRule="exact"/>
        <w:rPr>
          <w:rFonts w:ascii="Arial" w:cs="Arial" w:eastAsia="Arial" w:hAnsi="Arial"/>
          <w:sz w:val="22"/>
          <w:szCs w:val="22"/>
          <w:color w:val="auto"/>
        </w:rPr>
      </w:pPr>
    </w:p>
    <w:p>
      <w:pPr>
        <w:ind w:left="1180" w:hanging="570"/>
        <w:spacing w:after="0"/>
        <w:tabs>
          <w:tab w:leader="none" w:pos="11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Liens on or sales of receivables;</w:t>
      </w:r>
    </w:p>
    <w:p>
      <w:pPr>
        <w:spacing w:after="0" w:line="206" w:lineRule="exact"/>
        <w:rPr>
          <w:rFonts w:ascii="Arial" w:cs="Arial" w:eastAsia="Arial" w:hAnsi="Arial"/>
          <w:sz w:val="22"/>
          <w:szCs w:val="22"/>
          <w:color w:val="auto"/>
        </w:rPr>
      </w:pPr>
    </w:p>
    <w:p>
      <w:pPr>
        <w:ind w:firstLine="610"/>
        <w:spacing w:after="0" w:line="274" w:lineRule="auto"/>
        <w:tabs>
          <w:tab w:leader="none" w:pos="1191"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application of the proceeds therefrom), taken together with the amount of all Attributable Debt of Parent and its Restricted Subsidiaries at that time outstanding relating to Sale and Leaseback Transactions permitted under Section 4.15, not to exceed 15% of the Consolidated Net Tangible Assets of Parent measured as of the date any such Indebtedness is incurred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application of the proceeds therefrom and any transaction in connection with which such Indebtedness is being incurred);</w:t>
      </w:r>
    </w:p>
    <w:p>
      <w:pPr>
        <w:spacing w:after="0" w:line="158" w:lineRule="exact"/>
        <w:rPr>
          <w:rFonts w:ascii="Arial" w:cs="Arial" w:eastAsia="Arial" w:hAnsi="Arial"/>
          <w:sz w:val="19"/>
          <w:szCs w:val="19"/>
          <w:color w:val="auto"/>
        </w:rPr>
      </w:pPr>
    </w:p>
    <w:p>
      <w:pPr>
        <w:jc w:val="both"/>
        <w:ind w:right="120" w:firstLine="610"/>
        <w:spacing w:after="0" w:line="258" w:lineRule="auto"/>
        <w:tabs>
          <w:tab w:leader="none" w:pos="1191" w:val="left"/>
        </w:tabs>
        <w:numPr>
          <w:ilvl w:val="0"/>
          <w:numId w:val="21"/>
        </w:numPr>
        <w:rPr>
          <w:rFonts w:ascii="Arial" w:cs="Arial" w:eastAsia="Arial" w:hAnsi="Arial"/>
          <w:sz w:val="21"/>
          <w:szCs w:val="21"/>
          <w:color w:val="auto"/>
        </w:rPr>
      </w:pPr>
      <w:r>
        <w:rPr>
          <w:rFonts w:ascii="Arial" w:cs="Arial" w:eastAsia="Arial" w:hAnsi="Arial"/>
          <w:sz w:val="21"/>
          <w:szCs w:val="21"/>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166" w:lineRule="exact"/>
        <w:rPr>
          <w:rFonts w:ascii="Arial" w:cs="Arial" w:eastAsia="Arial" w:hAnsi="Arial"/>
          <w:sz w:val="21"/>
          <w:szCs w:val="21"/>
          <w:color w:val="auto"/>
        </w:rPr>
      </w:pPr>
    </w:p>
    <w:p>
      <w:pPr>
        <w:ind w:right="60" w:firstLine="610"/>
        <w:spacing w:after="0" w:line="238" w:lineRule="auto"/>
        <w:tabs>
          <w:tab w:leader="none" w:pos="1191"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reserve or other appropriate provision as shall be required in conformity with GAAP shall have been made therefor;</w:t>
      </w:r>
    </w:p>
    <w:p>
      <w:pPr>
        <w:spacing w:after="0" w:line="185" w:lineRule="exact"/>
        <w:rPr>
          <w:rFonts w:ascii="Arial" w:cs="Arial" w:eastAsia="Arial" w:hAnsi="Arial"/>
          <w:sz w:val="22"/>
          <w:szCs w:val="22"/>
          <w:color w:val="auto"/>
        </w:rPr>
      </w:pPr>
    </w:p>
    <w:p>
      <w:pPr>
        <w:ind w:right="200" w:firstLine="610"/>
        <w:spacing w:after="0" w:line="251" w:lineRule="auto"/>
        <w:tabs>
          <w:tab w:leader="none" w:pos="1191"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Liens in the form of zoning restrictions, easements, licenses, reservations, covenants, conditions or other restrictions on the use of real property or other</w:t>
      </w:r>
    </w:p>
    <w:p>
      <w:pPr>
        <w:sectPr>
          <w:pgSz w:w="11900" w:h="16838" w:orient="portrait"/>
          <w:cols w:equalWidth="0" w:num="1">
            <w:col w:w="10220"/>
          </w:cols>
          <w:pgMar w:left="1220" w:top="415"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w:t>
      </w:r>
    </w:p>
    <w:p>
      <w:pPr>
        <w:spacing w:after="0" w:line="233" w:lineRule="exact"/>
        <w:rPr>
          <w:sz w:val="20"/>
          <w:szCs w:val="20"/>
          <w:color w:val="auto"/>
        </w:rPr>
      </w:pPr>
    </w:p>
    <w:p>
      <w:pPr>
        <w:ind w:left="780"/>
        <w:spacing w:after="0" w:line="248" w:lineRule="auto"/>
        <w:rPr>
          <w:sz w:val="20"/>
          <w:szCs w:val="20"/>
          <w:color w:val="auto"/>
        </w:rPr>
      </w:pPr>
      <w:r>
        <w:rPr>
          <w:rFonts w:ascii="Arial" w:cs="Arial" w:eastAsia="Arial" w:hAnsi="Arial"/>
          <w:sz w:val="21"/>
          <w:szCs w:val="21"/>
          <w:color w:val="auto"/>
        </w:rPr>
        <w:t>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177" w:lineRule="exact"/>
        <w:rPr>
          <w:sz w:val="20"/>
          <w:szCs w:val="20"/>
          <w:color w:val="auto"/>
        </w:rPr>
      </w:pPr>
    </w:p>
    <w:p>
      <w:pPr>
        <w:ind w:left="780" w:right="120" w:firstLine="610"/>
        <w:spacing w:after="0" w:line="236" w:lineRule="auto"/>
        <w:tabs>
          <w:tab w:leader="none" w:pos="1971" w:val="left"/>
        </w:tabs>
        <w:numPr>
          <w:ilvl w:val="0"/>
          <w:numId w:val="22"/>
        </w:numPr>
        <w:rPr>
          <w:rFonts w:ascii="Arial" w:cs="Arial" w:eastAsia="Arial" w:hAnsi="Arial"/>
          <w:sz w:val="22"/>
          <w:szCs w:val="22"/>
          <w:color w:val="auto"/>
        </w:rPr>
      </w:pPr>
      <w:r>
        <w:rPr>
          <w:rFonts w:ascii="Arial" w:cs="Arial" w:eastAsia="Arial" w:hAnsi="Arial"/>
          <w:sz w:val="22"/>
          <w:szCs w:val="22"/>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187" w:lineRule="exact"/>
        <w:rPr>
          <w:rFonts w:ascii="Arial" w:cs="Arial" w:eastAsia="Arial" w:hAnsi="Arial"/>
          <w:sz w:val="22"/>
          <w:szCs w:val="22"/>
          <w:color w:val="auto"/>
        </w:rPr>
      </w:pPr>
    </w:p>
    <w:p>
      <w:pPr>
        <w:ind w:left="780" w:right="500" w:firstLine="610"/>
        <w:spacing w:after="0" w:line="251" w:lineRule="auto"/>
        <w:tabs>
          <w:tab w:leader="none" w:pos="1971" w:val="left"/>
        </w:tabs>
        <w:numPr>
          <w:ilvl w:val="0"/>
          <w:numId w:val="22"/>
        </w:numPr>
        <w:rPr>
          <w:rFonts w:ascii="Arial" w:cs="Arial" w:eastAsia="Arial" w:hAnsi="Arial"/>
          <w:sz w:val="22"/>
          <w:szCs w:val="22"/>
          <w:color w:val="auto"/>
        </w:rPr>
      </w:pPr>
      <w:r>
        <w:rPr>
          <w:rFonts w:ascii="Arial" w:cs="Arial" w:eastAsia="Arial" w:hAnsi="Arial"/>
          <w:sz w:val="22"/>
          <w:szCs w:val="22"/>
          <w:color w:val="auto"/>
        </w:rPr>
        <w:t>Liens securing Hedging Obligations not entered into for speculative purposes or securing letters of credit that support such Hedging Obligations; and</w:t>
      </w:r>
    </w:p>
    <w:p>
      <w:pPr>
        <w:spacing w:after="0" w:line="173" w:lineRule="exact"/>
        <w:rPr>
          <w:rFonts w:ascii="Arial" w:cs="Arial" w:eastAsia="Arial" w:hAnsi="Arial"/>
          <w:sz w:val="22"/>
          <w:szCs w:val="22"/>
          <w:color w:val="auto"/>
        </w:rPr>
      </w:pPr>
    </w:p>
    <w:p>
      <w:pPr>
        <w:ind w:left="780" w:right="100" w:firstLine="610"/>
        <w:spacing w:after="0" w:line="251" w:lineRule="auto"/>
        <w:tabs>
          <w:tab w:leader="none" w:pos="1971" w:val="left"/>
        </w:tabs>
        <w:numPr>
          <w:ilvl w:val="0"/>
          <w:numId w:val="22"/>
        </w:numPr>
        <w:rPr>
          <w:rFonts w:ascii="Arial" w:cs="Arial" w:eastAsia="Arial" w:hAnsi="Arial"/>
          <w:sz w:val="22"/>
          <w:szCs w:val="22"/>
          <w:color w:val="auto"/>
        </w:rPr>
      </w:pPr>
      <w:r>
        <w:rPr>
          <w:rFonts w:ascii="Arial" w:cs="Arial" w:eastAsia="Arial" w:hAnsi="Arial"/>
          <w:sz w:val="22"/>
          <w:szCs w:val="22"/>
          <w:color w:val="auto"/>
        </w:rPr>
        <w:t>Liens resulting from operation of law with respect to any judgments, awards or orders to the extent that such judgments, awards or orders do not cause or constitute a Default under this Indenture.</w:t>
      </w:r>
    </w:p>
    <w:p>
      <w:pPr>
        <w:spacing w:after="0" w:line="173" w:lineRule="exact"/>
        <w:rPr>
          <w:sz w:val="20"/>
          <w:szCs w:val="20"/>
          <w:color w:val="auto"/>
        </w:rPr>
      </w:pPr>
    </w:p>
    <w:p>
      <w:pPr>
        <w:ind w:firstLine="1433"/>
        <w:spacing w:after="0" w:line="282" w:lineRule="auto"/>
        <w:rPr>
          <w:sz w:val="20"/>
          <w:szCs w:val="20"/>
          <w:color w:val="auto"/>
        </w:rPr>
      </w:pPr>
      <w:r>
        <w:rPr>
          <w:rFonts w:ascii="Arial" w:cs="Arial" w:eastAsia="Arial" w:hAnsi="Arial"/>
          <w:sz w:val="19"/>
          <w:szCs w:val="19"/>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48" w:lineRule="exact"/>
        <w:rPr>
          <w:sz w:val="20"/>
          <w:szCs w:val="20"/>
          <w:color w:val="auto"/>
        </w:rPr>
      </w:pPr>
    </w:p>
    <w:p>
      <w:pPr>
        <w:ind w:right="1120" w:firstLine="143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partnership, corporation, limited liability company, unincorporated organization, trust or joint venture, or a governmental agency or political subdivision thereof.</w:t>
      </w:r>
    </w:p>
    <w:p>
      <w:pPr>
        <w:spacing w:after="0" w:line="10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Physical Notes</w:t>
      </w:r>
      <w:r>
        <w:rPr>
          <w:rFonts w:ascii="Arial" w:cs="Arial" w:eastAsia="Arial" w:hAnsi="Arial"/>
          <w:sz w:val="22"/>
          <w:szCs w:val="22"/>
          <w:color w:val="auto"/>
        </w:rPr>
        <w:t>” means certificated Notes in registered form.</w:t>
      </w:r>
    </w:p>
    <w:p>
      <w:pPr>
        <w:spacing w:after="0" w:line="206" w:lineRule="exact"/>
        <w:rPr>
          <w:sz w:val="20"/>
          <w:szCs w:val="20"/>
          <w:color w:val="auto"/>
        </w:rPr>
      </w:pPr>
    </w:p>
    <w:p>
      <w:pPr>
        <w:ind w:right="2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w:t>
      </w:r>
      <w:r>
        <w:rPr>
          <w:rFonts w:ascii="Arial" w:cs="Arial" w:eastAsia="Arial" w:hAnsi="Arial"/>
          <w:sz w:val="22"/>
          <w:szCs w:val="22"/>
          <w:color w:val="auto"/>
        </w:rPr>
        <w:t>” of a Note means the principal of the Note plus the premium, if any, payable on the Note which is due or overdue or is to become due at the relevant time.</w:t>
      </w:r>
    </w:p>
    <w:p>
      <w:pPr>
        <w:spacing w:after="0" w:line="173" w:lineRule="exact"/>
        <w:rPr>
          <w:sz w:val="20"/>
          <w:szCs w:val="20"/>
          <w:color w:val="auto"/>
        </w:rPr>
      </w:pPr>
    </w:p>
    <w:p>
      <w:pPr>
        <w:ind w:right="80"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Property</w:t>
      </w:r>
      <w:r>
        <w:rPr>
          <w:rFonts w:ascii="Arial" w:cs="Arial" w:eastAsia="Arial" w:hAnsi="Arial"/>
          <w:sz w:val="22"/>
          <w:szCs w:val="22"/>
          <w:color w:val="auto"/>
        </w:rPr>
        <w:t>” means any manufacturing plant or manufacturing facility owned (excluding any equipment or personalty located therein) by Parent or any of its Subsidiaries that has a net book value in excess of 1.5% of the Consolidated Net Tangible Assets of</w:t>
      </w:r>
    </w:p>
    <w:p>
      <w:pPr>
        <w:sectPr>
          <w:pgSz w:w="11900" w:h="16838" w:orient="portrait"/>
          <w:cols w:equalWidth="0" w:num="1">
            <w:col w:w="11000"/>
          </w:cols>
          <w:pgMar w:left="440" w:top="415" w:right="4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Property Subsidiary</w:t>
      </w:r>
      <w:r>
        <w:rPr>
          <w:rFonts w:ascii="Arial" w:cs="Arial" w:eastAsia="Arial" w:hAnsi="Arial"/>
          <w:sz w:val="19"/>
          <w:szCs w:val="19"/>
          <w:color w:val="auto"/>
        </w:rPr>
        <w:t>” means any Subsidiary that owns, operates or leases one or more Principal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Properties.</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Placement Legend</w:t>
      </w:r>
      <w:r>
        <w:rPr>
          <w:rFonts w:ascii="Arial" w:cs="Arial" w:eastAsia="Arial" w:hAnsi="Arial"/>
          <w:sz w:val="22"/>
          <w:szCs w:val="22"/>
          <w:color w:val="auto"/>
        </w:rPr>
        <w:t xml:space="preserve">” means the legend substantially in the form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Institutional Buyer</w:t>
      </w:r>
      <w:r>
        <w:rPr>
          <w:rFonts w:ascii="Arial" w:cs="Arial" w:eastAsia="Arial" w:hAnsi="Arial"/>
          <w:sz w:val="21"/>
          <w:szCs w:val="21"/>
          <w:color w:val="auto"/>
        </w:rPr>
        <w:t>” shall have the meaning specified in Rule 144A promulgated under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 Act.</w:t>
      </w:r>
    </w:p>
    <w:p>
      <w:pPr>
        <w:spacing w:after="0" w:line="188" w:lineRule="exact"/>
        <w:rPr>
          <w:sz w:val="20"/>
          <w:szCs w:val="20"/>
          <w:color w:val="auto"/>
        </w:rPr>
      </w:pPr>
    </w:p>
    <w:p>
      <w:pPr>
        <w:ind w:right="40" w:firstLine="143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85"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Parent to effect a Change of Control.</w:t>
      </w:r>
    </w:p>
    <w:p>
      <w:pPr>
        <w:spacing w:after="0" w:line="173" w:lineRule="exact"/>
        <w:rPr>
          <w:sz w:val="20"/>
          <w:szCs w:val="20"/>
          <w:color w:val="auto"/>
        </w:rPr>
      </w:pPr>
    </w:p>
    <w:p>
      <w:pPr>
        <w:ind w:right="160" w:firstLine="143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Ratings Event</w:t>
      </w:r>
      <w:r>
        <w:rPr>
          <w:rFonts w:ascii="Arial" w:cs="Arial" w:eastAsia="Arial" w:hAnsi="Arial"/>
          <w:sz w:val="19"/>
          <w:szCs w:val="19"/>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143" w:lineRule="exact"/>
        <w:rPr>
          <w:sz w:val="20"/>
          <w:szCs w:val="20"/>
          <w:color w:val="auto"/>
        </w:rPr>
      </w:pPr>
    </w:p>
    <w:p>
      <w:pPr>
        <w:ind w:left="780" w:right="160" w:firstLine="610"/>
        <w:spacing w:after="0" w:line="328" w:lineRule="auto"/>
        <w:tabs>
          <w:tab w:leader="none" w:pos="2079"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the Notes are rated by one or both Rating Agencies on the Rating Date as Investment Grade, the rating of the Notes shall be reduced so that the Notes are rated below Investment Grade by both Rating Agencies; or</w:t>
      </w:r>
    </w:p>
    <w:p>
      <w:pPr>
        <w:spacing w:after="0" w:line="105" w:lineRule="exact"/>
        <w:rPr>
          <w:rFonts w:ascii="Arial" w:cs="Arial" w:eastAsia="Arial" w:hAnsi="Arial"/>
          <w:sz w:val="19"/>
          <w:szCs w:val="19"/>
          <w:color w:val="auto"/>
        </w:rPr>
      </w:pPr>
    </w:p>
    <w:p>
      <w:pPr>
        <w:ind w:left="780" w:right="100" w:firstLine="610"/>
        <w:spacing w:after="0" w:line="251" w:lineRule="auto"/>
        <w:tabs>
          <w:tab w:leader="none" w:pos="2079"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the Notes are rated below Investment Grade by both Rating Agencies on the Rating Date, the rating of the Notes shall remain rated below Investment Grade by both Rating Agencies.</w:t>
      </w:r>
    </w:p>
    <w:p>
      <w:pPr>
        <w:spacing w:after="0" w:line="173" w:lineRule="exact"/>
        <w:rPr>
          <w:sz w:val="20"/>
          <w:szCs w:val="20"/>
          <w:color w:val="auto"/>
        </w:rPr>
      </w:pPr>
    </w:p>
    <w:p>
      <w:pPr>
        <w:ind w:right="12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when used with respect to any Note to be redeemed pursuant to paragraph 5 of the Notes means the date fixed for such redemption pursuant to the terms of this Indenture and the Notes.</w:t>
      </w:r>
    </w:p>
    <w:p>
      <w:pPr>
        <w:sectPr>
          <w:pgSz w:w="11900" w:h="16838" w:orient="portrait"/>
          <w:cols w:equalWidth="0" w:num="1">
            <w:col w:w="10980"/>
          </w:cols>
          <w:pgMar w:left="440" w:top="415" w:right="47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w:t>
      </w:r>
    </w:p>
    <w:p>
      <w:pPr>
        <w:spacing w:after="0" w:line="233" w:lineRule="exact"/>
        <w:rPr>
          <w:sz w:val="20"/>
          <w:szCs w:val="20"/>
          <w:color w:val="auto"/>
        </w:rPr>
      </w:pPr>
    </w:p>
    <w:p>
      <w:pPr>
        <w:ind w:right="34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German Bund Dealer</w:t>
      </w:r>
      <w:r>
        <w:rPr>
          <w:rFonts w:ascii="Arial" w:cs="Arial" w:eastAsia="Arial" w:hAnsi="Arial"/>
          <w:sz w:val="22"/>
          <w:szCs w:val="22"/>
          <w:color w:val="auto"/>
        </w:rPr>
        <w:t>” means any dealer of German Bundesanleihe securities appointed by the Issuer in good faith.</w:t>
      </w:r>
    </w:p>
    <w:p>
      <w:pPr>
        <w:spacing w:after="0" w:line="173" w:lineRule="exact"/>
        <w:rPr>
          <w:sz w:val="20"/>
          <w:szCs w:val="20"/>
          <w:color w:val="auto"/>
        </w:rPr>
      </w:pPr>
    </w:p>
    <w:p>
      <w:pPr>
        <w:ind w:right="120" w:firstLine="143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German Bund Dealer Quotations</w:t>
      </w:r>
      <w:r>
        <w:rPr>
          <w:rFonts w:ascii="Arial" w:cs="Arial" w:eastAsia="Arial" w:hAnsi="Arial"/>
          <w:sz w:val="19"/>
          <w:szCs w:val="19"/>
          <w:color w:val="auto"/>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Registrar</w:t>
      </w:r>
      <w:r>
        <w:rPr>
          <w:rFonts w:ascii="Arial" w:cs="Arial" w:eastAsia="Arial" w:hAnsi="Arial"/>
          <w:sz w:val="22"/>
          <w:szCs w:val="22"/>
          <w:color w:val="auto"/>
        </w:rPr>
        <w:t>” has the meaning set forth in Section 2.04.</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promulgated under the Securities Act.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Global Notes</w:t>
      </w:r>
      <w:r>
        <w:rPr>
          <w:rFonts w:ascii="Arial" w:cs="Arial" w:eastAsia="Arial" w:hAnsi="Arial"/>
          <w:sz w:val="22"/>
          <w:szCs w:val="22"/>
          <w:color w:val="auto"/>
        </w:rPr>
        <w:t>” has the meaning set forth in Section 2.16.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Notes</w:t>
      </w:r>
      <w:r>
        <w:rPr>
          <w:rFonts w:ascii="Arial" w:cs="Arial" w:eastAsia="Arial" w:hAnsi="Arial"/>
          <w:sz w:val="22"/>
          <w:szCs w:val="22"/>
          <w:color w:val="auto"/>
        </w:rPr>
        <w:t>” has the meaning set forth in Section 2.02.</w:t>
      </w:r>
    </w:p>
    <w:p>
      <w:pPr>
        <w:spacing w:after="0" w:line="206" w:lineRule="exact"/>
        <w:rPr>
          <w:sz w:val="20"/>
          <w:szCs w:val="20"/>
          <w:color w:val="auto"/>
        </w:rPr>
      </w:pPr>
    </w:p>
    <w:p>
      <w:pPr>
        <w:ind w:right="140" w:firstLine="1433"/>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means,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Global Note</w:t>
      </w:r>
      <w:r>
        <w:rPr>
          <w:rFonts w:ascii="Arial" w:cs="Arial" w:eastAsia="Arial" w:hAnsi="Arial"/>
          <w:sz w:val="22"/>
          <w:szCs w:val="22"/>
          <w:color w:val="auto"/>
        </w:rPr>
        <w:t>” means a Global Note that is a Restricted Note.</w:t>
      </w:r>
    </w:p>
    <w:p>
      <w:pPr>
        <w:spacing w:after="0" w:line="206" w:lineRule="exact"/>
        <w:rPr>
          <w:sz w:val="20"/>
          <w:szCs w:val="20"/>
          <w:color w:val="auto"/>
        </w:rPr>
      </w:pPr>
    </w:p>
    <w:p>
      <w:pPr>
        <w:jc w:val="both"/>
        <w:ind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w:t>
      </w:r>
      <w:r>
        <w:rPr>
          <w:rFonts w:ascii="Arial" w:cs="Arial" w:eastAsia="Arial" w:hAnsi="Arial"/>
          <w:sz w:val="22"/>
          <w:szCs w:val="22"/>
          <w:color w:val="auto"/>
        </w:rPr>
        <w:t xml:space="preserve">” has the same meaning as “restricted security” set forth in Rule 144(a)(3) promulgated under the Securities Act;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Trustee shall be entitled to request and conclusively rely upon an Opinion of Counsel with respect to whether any Note is a Restricted Note.</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has the meaning set forth in Section 2.16.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Physical Note</w:t>
      </w:r>
      <w:r>
        <w:rPr>
          <w:rFonts w:ascii="Arial" w:cs="Arial" w:eastAsia="Arial" w:hAnsi="Arial"/>
          <w:sz w:val="22"/>
          <w:szCs w:val="22"/>
          <w:color w:val="auto"/>
        </w:rPr>
        <w:t>” means a Physical Note that is a Restricted Note.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 Subsidiary.</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promulgated under the Securities Act.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promulgated under the Securities Act.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 Global Notes</w:t>
      </w:r>
      <w:r>
        <w:rPr>
          <w:rFonts w:ascii="Arial" w:cs="Arial" w:eastAsia="Arial" w:hAnsi="Arial"/>
          <w:sz w:val="22"/>
          <w:szCs w:val="22"/>
          <w:color w:val="auto"/>
        </w:rPr>
        <w:t>” has the meaning set forth in Section 2.16.</w:t>
      </w:r>
    </w:p>
    <w:p>
      <w:pPr>
        <w:sectPr>
          <w:pgSz w:w="11900" w:h="16838" w:orient="portrait"/>
          <w:cols w:equalWidth="0" w:num="1">
            <w:col w:w="10980"/>
          </w:cols>
          <w:pgMar w:left="440" w:top="415" w:right="4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 Notes</w:t>
      </w:r>
      <w:r>
        <w:rPr>
          <w:rFonts w:ascii="Arial" w:cs="Arial" w:eastAsia="Arial" w:hAnsi="Arial"/>
          <w:sz w:val="22"/>
          <w:szCs w:val="22"/>
          <w:color w:val="auto"/>
        </w:rPr>
        <w:t>” has the meaning set forth in Section 2.02.</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and its successors.</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has the meaning set forth in Section 4.15.</w:t>
      </w:r>
    </w:p>
    <w:p>
      <w:pPr>
        <w:spacing w:after="0" w:line="206" w:lineRule="exact"/>
        <w:rPr>
          <w:sz w:val="20"/>
          <w:szCs w:val="20"/>
          <w:color w:val="auto"/>
        </w:rPr>
      </w:pPr>
    </w:p>
    <w:p>
      <w:pPr>
        <w:ind w:right="10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Commission promulgated thereunder.</w:t>
      </w:r>
    </w:p>
    <w:p>
      <w:pPr>
        <w:spacing w:after="0" w:line="173" w:lineRule="exact"/>
        <w:rPr>
          <w:sz w:val="20"/>
          <w:szCs w:val="20"/>
          <w:color w:val="auto"/>
        </w:rPr>
      </w:pPr>
    </w:p>
    <w:p>
      <w:pPr>
        <w:ind w:firstLine="143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Subsidiary that would be a “significant subsidiary” as defined in Article 1, Rule 1-02 of Regulation S-X, promulgated pursuant to the Securities Act, as such Regulation is in effect on the Issue Date.</w:t>
      </w:r>
    </w:p>
    <w:p>
      <w:pPr>
        <w:spacing w:after="0" w:line="10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Spanish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w:t>
      </w:r>
    </w:p>
    <w:p>
      <w:pPr>
        <w:spacing w:after="0" w:line="206" w:lineRule="exact"/>
        <w:rPr>
          <w:sz w:val="20"/>
          <w:szCs w:val="20"/>
          <w:color w:val="auto"/>
        </w:rPr>
      </w:pPr>
    </w:p>
    <w:p>
      <w:pPr>
        <w:ind w:left="780" w:right="20" w:firstLine="610"/>
        <w:spacing w:after="0"/>
        <w:tabs>
          <w:tab w:leader="none" w:pos="213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86" w:lineRule="exact"/>
        <w:rPr>
          <w:rFonts w:ascii="Arial" w:cs="Arial" w:eastAsia="Arial" w:hAnsi="Arial"/>
          <w:sz w:val="22"/>
          <w:szCs w:val="22"/>
          <w:color w:val="auto"/>
        </w:rPr>
      </w:pPr>
    </w:p>
    <w:p>
      <w:pPr>
        <w:ind w:left="780" w:right="20" w:firstLine="610"/>
        <w:spacing w:after="0"/>
        <w:tabs>
          <w:tab w:leader="none" w:pos="213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has the meaning set forth in Section 4.20.</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Jurisdiction</w:t>
      </w:r>
      <w:r>
        <w:rPr>
          <w:rFonts w:ascii="Arial" w:cs="Arial" w:eastAsia="Arial" w:hAnsi="Arial"/>
          <w:sz w:val="22"/>
          <w:szCs w:val="22"/>
          <w:color w:val="auto"/>
        </w:rPr>
        <w:t>” has the meaning set forth in Section 4.20.</w:t>
      </w:r>
    </w:p>
    <w:p>
      <w:pPr>
        <w:spacing w:after="0" w:line="206" w:lineRule="exact"/>
        <w:rPr>
          <w:sz w:val="20"/>
          <w:szCs w:val="20"/>
          <w:color w:val="auto"/>
        </w:rPr>
      </w:pPr>
    </w:p>
    <w:p>
      <w:pPr>
        <w:ind w:right="10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TIA</w:t>
      </w:r>
      <w:r>
        <w:rPr>
          <w:rFonts w:ascii="Arial" w:cs="Arial" w:eastAsia="Arial" w:hAnsi="Arial"/>
          <w:sz w:val="22"/>
          <w:szCs w:val="22"/>
          <w:color w:val="auto"/>
        </w:rPr>
        <w:t>” or “</w:t>
      </w:r>
      <w:r>
        <w:rPr>
          <w:rFonts w:ascii="Arial" w:cs="Arial" w:eastAsia="Arial" w:hAnsi="Arial"/>
          <w:sz w:val="22"/>
          <w:szCs w:val="22"/>
          <w:u w:val="single" w:color="auto"/>
          <w:color w:val="auto"/>
        </w:rPr>
        <w:t>Trust Indenture Act</w:t>
      </w:r>
      <w:r>
        <w:rPr>
          <w:rFonts w:ascii="Arial" w:cs="Arial" w:eastAsia="Arial" w:hAnsi="Arial"/>
          <w:sz w:val="22"/>
          <w:szCs w:val="22"/>
          <w:color w:val="auto"/>
        </w:rPr>
        <w:t>” means the Trust Indenture Act of 1939 (15 U.S. Code §§ 77aaa-77bbbb) as in effect on the date of this Indenture (except as provided in Section 8.03).</w:t>
      </w:r>
    </w:p>
    <w:p>
      <w:pPr>
        <w:spacing w:after="0" w:line="173" w:lineRule="exact"/>
        <w:rPr>
          <w:sz w:val="20"/>
          <w:szCs w:val="20"/>
          <w:color w:val="auto"/>
        </w:rPr>
      </w:pPr>
    </w:p>
    <w:p>
      <w:pPr>
        <w:ind w:right="280"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has the meaning set forth in Section 2.04.</w:t>
      </w:r>
    </w:p>
    <w:p>
      <w:pPr>
        <w:sectPr>
          <w:pgSz w:w="11900" w:h="16838" w:orient="portrait"/>
          <w:cols w:equalWidth="0" w:num="1">
            <w:col w:w="11020"/>
          </w:cols>
          <w:pgMar w:left="440" w:top="415" w:right="4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p>
    <w:p>
      <w:pPr>
        <w:spacing w:after="0" w:line="233" w:lineRule="exact"/>
        <w:rPr>
          <w:sz w:val="20"/>
          <w:szCs w:val="20"/>
          <w:color w:val="auto"/>
        </w:rPr>
      </w:pPr>
    </w:p>
    <w:p>
      <w:pPr>
        <w:ind w:right="660" w:firstLine="1433"/>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means the party named as such in this Indenture until a successor replaces it pursuant to this Indenture and thereafter means the successor.</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Global Note</w:t>
      </w:r>
      <w:r>
        <w:rPr>
          <w:rFonts w:ascii="Arial" w:cs="Arial" w:eastAsia="Arial" w:hAnsi="Arial"/>
          <w:sz w:val="22"/>
          <w:szCs w:val="22"/>
          <w:color w:val="auto"/>
        </w:rPr>
        <w:t>” means a Global Note that is not a Restricted Note.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Notes</w:t>
      </w:r>
      <w:r>
        <w:rPr>
          <w:rFonts w:ascii="Arial" w:cs="Arial" w:eastAsia="Arial" w:hAnsi="Arial"/>
          <w:sz w:val="22"/>
          <w:szCs w:val="22"/>
          <w:color w:val="auto"/>
        </w:rPr>
        <w:t>” means Notes that are not Restricted Notes.</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Physical Note</w:t>
      </w:r>
      <w:r>
        <w:rPr>
          <w:rFonts w:ascii="Arial" w:cs="Arial" w:eastAsia="Arial" w:hAnsi="Arial"/>
          <w:sz w:val="22"/>
          <w:szCs w:val="22"/>
          <w:color w:val="auto"/>
        </w:rPr>
        <w:t>” means a Physical Note that is not a Restricted Note.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Guarantor</w:t>
      </w:r>
      <w:r>
        <w:rPr>
          <w:rFonts w:ascii="Arial" w:cs="Arial" w:eastAsia="Arial" w:hAnsi="Arial"/>
          <w:sz w:val="22"/>
          <w:szCs w:val="22"/>
          <w:color w:val="auto"/>
        </w:rPr>
        <w:t>” has the meaning set forth in Section 10.06.</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 xml:space="preserve">“U.S. </w:t>
      </w:r>
      <w:r>
        <w:rPr>
          <w:rFonts w:ascii="Arial" w:cs="Arial" w:eastAsia="Arial" w:hAnsi="Arial"/>
          <w:sz w:val="22"/>
          <w:szCs w:val="22"/>
          <w:u w:val="single" w:color="auto"/>
          <w:color w:val="auto"/>
        </w:rPr>
        <w:t>Person</w:t>
      </w:r>
      <w:r>
        <w:rPr>
          <w:rFonts w:ascii="Arial" w:cs="Arial" w:eastAsia="Arial" w:hAnsi="Arial"/>
          <w:sz w:val="22"/>
          <w:szCs w:val="22"/>
          <w:color w:val="auto"/>
        </w:rPr>
        <w:t>” means a “U.S. person” as defined in Rule 902(k) under the Securities Act.</w:t>
      </w:r>
    </w:p>
    <w:p>
      <w:pPr>
        <w:spacing w:after="0" w:line="206" w:lineRule="exact"/>
        <w:rPr>
          <w:sz w:val="20"/>
          <w:szCs w:val="20"/>
          <w:color w:val="auto"/>
        </w:rPr>
      </w:pPr>
    </w:p>
    <w:p>
      <w:pPr>
        <w:jc w:val="both"/>
        <w:ind w:right="20" w:firstLine="1433"/>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34" w:lineRule="exact"/>
        <w:rPr>
          <w:sz w:val="20"/>
          <w:szCs w:val="20"/>
          <w:color w:val="auto"/>
        </w:rPr>
      </w:pPr>
    </w:p>
    <w:p>
      <w:pPr>
        <w:ind w:firstLine="1433"/>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Incorporation by Reference of Trust Indenture Act</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rPr>
          <w:sz w:val="20"/>
          <w:szCs w:val="20"/>
          <w:color w:val="auto"/>
        </w:rPr>
      </w:pPr>
      <w:r>
        <w:rPr>
          <w:rFonts w:ascii="Arial" w:cs="Arial" w:eastAsia="Arial" w:hAnsi="Arial"/>
          <w:sz w:val="22"/>
          <w:szCs w:val="22"/>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8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“indenture securities” means the Notes.</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“indenture securityholder” means a Holder or Noteholder.</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“indenture to be qualified” means this Indenture.</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“obligor on the indenture securities” means the Issuer, the Guarantors or any other obligor on the Notes.</w:t>
      </w:r>
    </w:p>
    <w:p>
      <w:pPr>
        <w:sectPr>
          <w:pgSz w:w="11900" w:h="16838" w:orient="portrait"/>
          <w:cols w:equalWidth="0" w:num="1">
            <w:col w:w="10940"/>
          </w:cols>
          <w:pgMar w:left="440" w:top="415" w:right="5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p>
    <w:p>
      <w:pPr>
        <w:spacing w:after="0" w:line="233" w:lineRule="exact"/>
        <w:rPr>
          <w:sz w:val="20"/>
          <w:szCs w:val="20"/>
          <w:color w:val="auto"/>
        </w:rPr>
      </w:pPr>
    </w:p>
    <w:p>
      <w:pPr>
        <w:ind w:right="180" w:firstLine="1433"/>
        <w:spacing w:after="0" w:line="251" w:lineRule="auto"/>
        <w:rPr>
          <w:sz w:val="20"/>
          <w:szCs w:val="20"/>
          <w:color w:val="auto"/>
        </w:rPr>
      </w:pPr>
      <w:r>
        <w:rPr>
          <w:rFonts w:ascii="Arial" w:cs="Arial" w:eastAsia="Arial" w:hAnsi="Arial"/>
          <w:sz w:val="22"/>
          <w:szCs w:val="22"/>
          <w:color w:val="auto"/>
        </w:rPr>
        <w:t>All other terms used in this Indenture that are defined by the TIA, defined in the TIA by reference to another statute or defined by Commission rule have the meanings therein assigned to them.</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Unless the context otherwise requires:</w:t>
      </w:r>
    </w:p>
    <w:p>
      <w:pPr>
        <w:spacing w:after="0" w:line="206" w:lineRule="exact"/>
        <w:rPr>
          <w:sz w:val="20"/>
          <w:szCs w:val="20"/>
          <w:color w:val="auto"/>
        </w:rPr>
      </w:pPr>
    </w:p>
    <w:p>
      <w:pPr>
        <w:ind w:left="2080" w:hanging="690"/>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term has the meaning assigned to it herein, whether defined expressly or by reference;</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words used herein implying any gender shall apply to both genders;</w:t>
      </w:r>
    </w:p>
    <w:p>
      <w:pPr>
        <w:spacing w:after="0" w:line="206" w:lineRule="exact"/>
        <w:rPr>
          <w:rFonts w:ascii="Arial" w:cs="Arial" w:eastAsia="Arial" w:hAnsi="Arial"/>
          <w:sz w:val="22"/>
          <w:szCs w:val="22"/>
          <w:color w:val="auto"/>
        </w:rPr>
      </w:pPr>
    </w:p>
    <w:p>
      <w:pPr>
        <w:ind w:left="780" w:right="200" w:firstLine="610"/>
        <w:spacing w:after="0" w:line="251" w:lineRule="auto"/>
        <w:tabs>
          <w:tab w:leader="none" w:pos="2079" w:val="left"/>
        </w:tabs>
        <w:numPr>
          <w:ilvl w:val="0"/>
          <w:numId w:val="25"/>
        </w:numPr>
        <w:rPr>
          <w:rFonts w:ascii="Arial" w:cs="Arial" w:eastAsia="Arial" w:hAnsi="Arial"/>
          <w:sz w:val="22"/>
          <w:szCs w:val="22"/>
          <w:color w:val="auto"/>
        </w:rPr>
      </w:pPr>
      <w:r>
        <w:rPr>
          <w:rFonts w:ascii="Arial" w:cs="Arial" w:eastAsia="Arial" w:hAnsi="Arial"/>
          <w:sz w:val="22"/>
          <w:szCs w:val="22"/>
          <w:color w:val="auto"/>
        </w:rPr>
        <w:t>“herein,” “hereof” and other words of similar import refer to this Indenture as a whole and not to any particular Article, Section or other subsection;</w:t>
      </w:r>
    </w:p>
    <w:p>
      <w:pPr>
        <w:spacing w:after="0" w:line="173" w:lineRule="exact"/>
        <w:rPr>
          <w:rFonts w:ascii="Arial" w:cs="Arial" w:eastAsia="Arial" w:hAnsi="Arial"/>
          <w:sz w:val="22"/>
          <w:szCs w:val="22"/>
          <w:color w:val="auto"/>
        </w:rPr>
      </w:pPr>
    </w:p>
    <w:p>
      <w:pPr>
        <w:ind w:left="2080" w:hanging="690"/>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06" w:lineRule="exact"/>
        <w:rPr>
          <w:rFonts w:ascii="Arial" w:cs="Arial" w:eastAsia="Arial" w:hAnsi="Arial"/>
          <w:sz w:val="22"/>
          <w:szCs w:val="22"/>
          <w:color w:val="auto"/>
        </w:rPr>
      </w:pPr>
    </w:p>
    <w:p>
      <w:pPr>
        <w:ind w:left="780" w:right="120" w:firstLine="610"/>
        <w:spacing w:after="0"/>
        <w:tabs>
          <w:tab w:leader="none" w:pos="2079"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86" w:lineRule="exact"/>
        <w:rPr>
          <w:rFonts w:ascii="Arial" w:cs="Arial" w:eastAsia="Arial" w:hAnsi="Arial"/>
          <w:sz w:val="22"/>
          <w:szCs w:val="22"/>
          <w:color w:val="auto"/>
        </w:rPr>
      </w:pPr>
    </w:p>
    <w:p>
      <w:pPr>
        <w:ind w:left="780" w:right="80" w:firstLine="610"/>
        <w:spacing w:after="0" w:line="274" w:lineRule="auto"/>
        <w:tabs>
          <w:tab w:leader="none" w:pos="2079" w:val="left"/>
        </w:tabs>
        <w:numPr>
          <w:ilvl w:val="0"/>
          <w:numId w:val="25"/>
        </w:numPr>
        <w:rPr>
          <w:rFonts w:ascii="Arial" w:cs="Arial" w:eastAsia="Arial" w:hAnsi="Arial"/>
          <w:sz w:val="21"/>
          <w:szCs w:val="21"/>
          <w:color w:val="auto"/>
        </w:rPr>
      </w:pPr>
      <w:r>
        <w:rPr>
          <w:rFonts w:ascii="Arial" w:cs="Arial" w:eastAsia="Arial" w:hAnsi="Arial"/>
          <w:sz w:val="21"/>
          <w:szCs w:val="21"/>
          <w:color w:val="auto"/>
        </w:rPr>
        <w:t>“$” and “U.S. Dollars” each refer to United States dollars, or such other money of the United States of America that at the time of payment is legal tender for payment of public and private debts; and</w:t>
      </w:r>
    </w:p>
    <w:p>
      <w:pPr>
        <w:spacing w:after="0" w:line="150" w:lineRule="exact"/>
        <w:rPr>
          <w:rFonts w:ascii="Arial" w:cs="Arial" w:eastAsia="Arial" w:hAnsi="Arial"/>
          <w:sz w:val="21"/>
          <w:szCs w:val="21"/>
          <w:color w:val="auto"/>
        </w:rPr>
      </w:pPr>
    </w:p>
    <w:p>
      <w:pPr>
        <w:ind w:left="780" w:right="380" w:firstLine="610"/>
        <w:spacing w:after="0" w:line="328" w:lineRule="auto"/>
        <w:tabs>
          <w:tab w:leader="none" w:pos="2079" w:val="left"/>
        </w:tabs>
        <w:numPr>
          <w:ilvl w:val="0"/>
          <w:numId w:val="25"/>
        </w:numPr>
        <w:rPr>
          <w:rFonts w:ascii="Arial" w:cs="Arial" w:eastAsia="Arial" w:hAnsi="Arial"/>
          <w:sz w:val="19"/>
          <w:szCs w:val="19"/>
          <w:color w:val="auto"/>
        </w:rPr>
      </w:pPr>
      <w:r>
        <w:rPr>
          <w:rFonts w:ascii="Arial" w:cs="Arial" w:eastAsia="Arial" w:hAnsi="Arial"/>
          <w:sz w:val="19"/>
          <w:szCs w:val="19"/>
          <w:color w:val="auto"/>
        </w:rPr>
        <w:t>“€” and “Euros” each refer to the lawful currency of the member states of the European Union that adopt the single currency in accordance with the Treaty establishing the European Communities, as amended.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TWO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SECURITIES</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Amount of Notes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The Trustee shall initially authenticate €550,000,000 aggregate principal amount of Notes for original issue on the Issue Date upon a written order of the Issuer in the</w:t>
      </w:r>
    </w:p>
    <w:p>
      <w:pPr>
        <w:sectPr>
          <w:pgSz w:w="11900" w:h="16838" w:orient="portrait"/>
          <w:cols w:equalWidth="0" w:num="1">
            <w:col w:w="11000"/>
          </w:cols>
          <w:pgMar w:left="440" w:top="415" w:right="4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w:t>
      </w:r>
    </w:p>
    <w:p>
      <w:pPr>
        <w:spacing w:after="0" w:line="23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form of an Officers’ Certificate of the Issuer (other than as provided in Section 2.08). The Trustee shall authenticate additional Notes (“</w:t>
      </w:r>
      <w:r>
        <w:rPr>
          <w:rFonts w:ascii="Arial" w:cs="Arial" w:eastAsia="Arial" w:hAnsi="Arial"/>
          <w:sz w:val="21"/>
          <w:szCs w:val="21"/>
          <w:u w:val="single" w:color="auto"/>
          <w:color w:val="auto"/>
        </w:rPr>
        <w:t>Additional Notes</w:t>
      </w:r>
      <w:r>
        <w:rPr>
          <w:rFonts w:ascii="Arial" w:cs="Arial" w:eastAsia="Arial" w:hAnsi="Arial"/>
          <w:sz w:val="21"/>
          <w:szCs w:val="21"/>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20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Form and Dating; Legends</w:t>
      </w:r>
      <w:r>
        <w:rPr>
          <w:rFonts w:ascii="Arial" w:cs="Arial" w:eastAsia="Arial" w:hAnsi="Arial"/>
          <w:sz w:val="19"/>
          <w:szCs w:val="19"/>
          <w:color w:val="auto"/>
        </w:rPr>
        <w:t>.</w:t>
      </w:r>
    </w:p>
    <w:p>
      <w:pPr>
        <w:spacing w:after="0" w:line="206" w:lineRule="exact"/>
        <w:rPr>
          <w:sz w:val="20"/>
          <w:szCs w:val="20"/>
          <w:color w:val="auto"/>
        </w:rPr>
      </w:pPr>
    </w:p>
    <w:p>
      <w:pPr>
        <w:jc w:val="both"/>
        <w:ind w:right="60" w:firstLine="1433"/>
        <w:spacing w:after="0" w:line="297" w:lineRule="auto"/>
        <w:rPr>
          <w:sz w:val="20"/>
          <w:szCs w:val="20"/>
          <w:color w:val="auto"/>
        </w:rPr>
      </w:pPr>
      <w:r>
        <w:rPr>
          <w:rFonts w:ascii="Arial" w:cs="Arial" w:eastAsia="Arial" w:hAnsi="Arial"/>
          <w:sz w:val="19"/>
          <w:szCs w:val="19"/>
          <w:color w:val="auto"/>
        </w:rPr>
        <w:t xml:space="preserve">The Notes and the Trustee’s certificate of authentication with respect thereto shall be substantially in the form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(with respect to the Restricted Notes) and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(with respect to the Unrestricted Notes), each of which is incorporated in and forms a part of this Indenture. Each Note shall be dated the date of its authentication.</w:t>
      </w:r>
    </w:p>
    <w:p>
      <w:pPr>
        <w:spacing w:after="0" w:line="134" w:lineRule="exact"/>
        <w:rPr>
          <w:sz w:val="20"/>
          <w:szCs w:val="20"/>
          <w:color w:val="auto"/>
        </w:rPr>
      </w:pPr>
    </w:p>
    <w:p>
      <w:pPr>
        <w:ind w:firstLine="1433"/>
        <w:spacing w:after="0" w:line="236" w:lineRule="auto"/>
        <w:rPr>
          <w:sz w:val="20"/>
          <w:szCs w:val="20"/>
          <w:color w:val="auto"/>
        </w:rPr>
      </w:pPr>
      <w:r>
        <w:rPr>
          <w:rFonts w:ascii="Arial" w:cs="Arial" w:eastAsia="Arial" w:hAnsi="Arial"/>
          <w:sz w:val="22"/>
          <w:szCs w:val="22"/>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Arial" w:cs="Arial" w:eastAsia="Arial" w:hAnsi="Arial"/>
          <w:sz w:val="22"/>
          <w:szCs w:val="22"/>
          <w:u w:val="single" w:color="auto"/>
          <w:color w:val="auto"/>
        </w:rPr>
        <w:t>Rule 144A Notes</w:t>
      </w:r>
      <w:r>
        <w:rPr>
          <w:rFonts w:ascii="Arial" w:cs="Arial" w:eastAsia="Arial" w:hAnsi="Arial"/>
          <w:sz w:val="22"/>
          <w:szCs w:val="22"/>
          <w:color w:val="auto"/>
        </w:rPr>
        <w:t>”), Notes offered and sold in offshore transactions in reliance on Regulation S (“</w:t>
      </w:r>
      <w:r>
        <w:rPr>
          <w:rFonts w:ascii="Arial" w:cs="Arial" w:eastAsia="Arial" w:hAnsi="Arial"/>
          <w:sz w:val="22"/>
          <w:szCs w:val="22"/>
          <w:u w:val="single" w:color="auto"/>
          <w:color w:val="auto"/>
        </w:rPr>
        <w:t>Regulation S</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and all other Restricted Notes shall bear the Private Placement Legend. All Global Notes shall bear the Global Note Legend.</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Each Note issued hereunder that has more than a de minimis amount of original issue discount for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Federal Income Tax purposes shall bear a legend substantially in the form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The terms and provisions contained in the Notes shall constitute, and are expressly made, a part of this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Indenture and, to the extent applicable, the Issuer, the Guarantors and the Trustee, by their execution and delivery of this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expressly agree to such terms and provisions and agree to be bound thereby.</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The Notes may be presented for registration of transfer and exchange at the offices of the Registrar.</w:t>
      </w:r>
    </w:p>
    <w:p>
      <w:pPr>
        <w:spacing w:after="0" w:line="24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Execution and Authentication</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4" w:lineRule="auto"/>
        <w:rPr>
          <w:sz w:val="20"/>
          <w:szCs w:val="20"/>
          <w:color w:val="auto"/>
        </w:rPr>
      </w:pPr>
      <w:r>
        <w:rPr>
          <w:rFonts w:ascii="Arial" w:cs="Arial" w:eastAsia="Arial" w:hAnsi="Arial"/>
          <w:sz w:val="21"/>
          <w:szCs w:val="21"/>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51" w:lineRule="exact"/>
        <w:rPr>
          <w:sz w:val="20"/>
          <w:szCs w:val="20"/>
          <w:color w:val="auto"/>
        </w:rPr>
      </w:pPr>
    </w:p>
    <w:p>
      <w:pPr>
        <w:ind w:right="340" w:firstLine="1433"/>
        <w:spacing w:after="0" w:line="251" w:lineRule="auto"/>
        <w:rPr>
          <w:sz w:val="20"/>
          <w:szCs w:val="20"/>
          <w:color w:val="auto"/>
        </w:rPr>
      </w:pPr>
      <w:r>
        <w:rPr>
          <w:rFonts w:ascii="Arial" w:cs="Arial" w:eastAsia="Arial" w:hAnsi="Arial"/>
          <w:sz w:val="22"/>
          <w:szCs w:val="22"/>
          <w:color w:val="auto"/>
        </w:rPr>
        <w:t>If an Officer whose signature is on a Note was an Officer at the time of such execution but no longer holds that office at the time the Trustee authenticates the Note, the Note shall be valid nevertheless.</w:t>
      </w:r>
    </w:p>
    <w:p>
      <w:pPr>
        <w:sectPr>
          <w:pgSz w:w="11900" w:h="16838" w:orient="portrait"/>
          <w:cols w:equalWidth="0" w:num="1">
            <w:col w:w="11000"/>
          </w:cols>
          <w:pgMar w:left="440" w:top="415" w:right="4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p>
    <w:p>
      <w:pPr>
        <w:spacing w:after="0" w:line="233" w:lineRule="exact"/>
        <w:rPr>
          <w:sz w:val="20"/>
          <w:szCs w:val="20"/>
          <w:color w:val="auto"/>
        </w:rPr>
      </w:pPr>
    </w:p>
    <w:p>
      <w:pPr>
        <w:ind w:right="60" w:firstLine="1433"/>
        <w:spacing w:after="0" w:line="277" w:lineRule="auto"/>
        <w:rPr>
          <w:sz w:val="20"/>
          <w:szCs w:val="20"/>
          <w:color w:val="auto"/>
        </w:rPr>
      </w:pPr>
      <w:r>
        <w:rPr>
          <w:rFonts w:ascii="Arial" w:cs="Arial" w:eastAsia="Arial" w:hAnsi="Arial"/>
          <w:sz w:val="19"/>
          <w:szCs w:val="19"/>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53" w:lineRule="exact"/>
        <w:rPr>
          <w:sz w:val="20"/>
          <w:szCs w:val="20"/>
          <w:color w:val="auto"/>
        </w:rPr>
      </w:pPr>
    </w:p>
    <w:p>
      <w:pPr>
        <w:ind w:right="60" w:firstLine="1433"/>
        <w:spacing w:after="0" w:line="249" w:lineRule="auto"/>
        <w:rPr>
          <w:sz w:val="20"/>
          <w:szCs w:val="20"/>
          <w:color w:val="auto"/>
        </w:rPr>
      </w:pPr>
      <w:r>
        <w:rPr>
          <w:rFonts w:ascii="Arial" w:cs="Arial" w:eastAsia="Arial" w:hAnsi="Arial"/>
          <w:sz w:val="21"/>
          <w:szCs w:val="21"/>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79" w:lineRule="exact"/>
        <w:rPr>
          <w:sz w:val="20"/>
          <w:szCs w:val="20"/>
          <w:color w:val="auto"/>
        </w:rPr>
      </w:pPr>
    </w:p>
    <w:p>
      <w:pPr>
        <w:ind w:right="700" w:firstLine="1433"/>
        <w:spacing w:after="0" w:line="251" w:lineRule="auto"/>
        <w:rPr>
          <w:sz w:val="20"/>
          <w:szCs w:val="20"/>
          <w:color w:val="auto"/>
        </w:rPr>
      </w:pPr>
      <w:r>
        <w:rPr>
          <w:rFonts w:ascii="Arial" w:cs="Arial" w:eastAsia="Arial" w:hAnsi="Arial"/>
          <w:sz w:val="22"/>
          <w:szCs w:val="22"/>
          <w:color w:val="auto"/>
        </w:rPr>
        <w:t>Notes shall be issuable only in registered form without coupons in denominations of €100,000 and any integral multiple of €1,000 in excess thereof.</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Registrar, Paying Agent and Transfer Agent</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4" w:lineRule="auto"/>
        <w:rPr>
          <w:sz w:val="20"/>
          <w:szCs w:val="20"/>
          <w:color w:val="auto"/>
        </w:rPr>
      </w:pPr>
      <w:r>
        <w:rPr>
          <w:rFonts w:ascii="Arial" w:cs="Arial" w:eastAsia="Arial" w:hAnsi="Arial"/>
          <w:sz w:val="19"/>
          <w:szCs w:val="19"/>
          <w:color w:val="auto"/>
        </w:rPr>
        <w:t>The Issuer shall maintain (a) an office or agency where Notes may be presented for registration of transfer or for exchange (the “</w:t>
      </w:r>
      <w:r>
        <w:rPr>
          <w:rFonts w:ascii="Arial" w:cs="Arial" w:eastAsia="Arial" w:hAnsi="Arial"/>
          <w:sz w:val="19"/>
          <w:szCs w:val="19"/>
          <w:u w:val="single" w:color="auto"/>
          <w:color w:val="auto"/>
        </w:rPr>
        <w:t>Registrar</w:t>
      </w:r>
      <w:r>
        <w:rPr>
          <w:rFonts w:ascii="Arial" w:cs="Arial" w:eastAsia="Arial" w:hAnsi="Arial"/>
          <w:sz w:val="19"/>
          <w:szCs w:val="19"/>
          <w:color w:val="auto"/>
        </w:rPr>
        <w:t>”), (b) an office or agency in London, England where the Notes may be presented for payment (the “</w:t>
      </w:r>
      <w:r>
        <w:rPr>
          <w:rFonts w:ascii="Arial" w:cs="Arial" w:eastAsia="Arial" w:hAnsi="Arial"/>
          <w:sz w:val="19"/>
          <w:szCs w:val="19"/>
          <w:u w:val="single" w:color="auto"/>
          <w:color w:val="auto"/>
        </w:rPr>
        <w:t>Paying Agent</w:t>
      </w:r>
      <w:r>
        <w:rPr>
          <w:rFonts w:ascii="Arial" w:cs="Arial" w:eastAsia="Arial" w:hAnsi="Arial"/>
          <w:sz w:val="19"/>
          <w:szCs w:val="19"/>
          <w:color w:val="auto"/>
        </w:rPr>
        <w:t>”), (c) an office or agency where notices and demands to or upon the Issuer, if any, in respect of the Notes and this Indenture may be served and (d) an office or agency to act as transfer agent in respect of the Notes (the “</w:t>
      </w:r>
      <w:r>
        <w:rPr>
          <w:rFonts w:ascii="Arial" w:cs="Arial" w:eastAsia="Arial" w:hAnsi="Arial"/>
          <w:sz w:val="19"/>
          <w:szCs w:val="19"/>
          <w:u w:val="single" w:color="auto"/>
          <w:color w:val="auto"/>
        </w:rPr>
        <w:t>Transfer Agent</w:t>
      </w:r>
      <w:r>
        <w:rPr>
          <w:rFonts w:ascii="Arial" w:cs="Arial" w:eastAsia="Arial" w:hAnsi="Arial"/>
          <w:sz w:val="19"/>
          <w:szCs w:val="19"/>
          <w:color w:val="auto"/>
        </w:rPr>
        <w:t>”). The Registrar shall keep a register of the Notes and of their transfer and exchange. The Registrar shall provide a copy of such register from time to time upon request of the Issuer. The Issuer may have one or more co-registrars and one or more additional Paying Agents. The term “Registrar” includes any co-registrars. The term “Paying Agents” means the Paying Agent and any additional Paying Agents. The term “Transfer Agent” includes any co-transfer agents. The Issuer or any Affiliate thereof may act as Registrar, a Paying Agent or a Transfer Agent.</w:t>
      </w:r>
    </w:p>
    <w:p>
      <w:pPr>
        <w:spacing w:after="0" w:line="159" w:lineRule="exact"/>
        <w:rPr>
          <w:sz w:val="20"/>
          <w:szCs w:val="20"/>
          <w:color w:val="auto"/>
        </w:rPr>
      </w:pPr>
    </w:p>
    <w:p>
      <w:pPr>
        <w:ind w:right="220" w:firstLine="1433"/>
        <w:spacing w:after="0" w:line="297" w:lineRule="auto"/>
        <w:rPr>
          <w:sz w:val="20"/>
          <w:szCs w:val="20"/>
          <w:color w:val="auto"/>
        </w:rPr>
      </w:pPr>
      <w:r>
        <w:rPr>
          <w:rFonts w:ascii="Arial" w:cs="Arial" w:eastAsia="Arial" w:hAnsi="Arial"/>
          <w:sz w:val="19"/>
          <w:szCs w:val="19"/>
          <w:color w:val="auto"/>
        </w:rPr>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w:t>
      </w:r>
    </w:p>
    <w:p>
      <w:pPr>
        <w:sectPr>
          <w:pgSz w:w="11900" w:h="16838" w:orient="portrait"/>
          <w:cols w:equalWidth="0" w:num="1">
            <w:col w:w="11020"/>
          </w:cols>
          <w:pgMar w:left="440" w:top="415"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maintain a Registrar or any required co-registrar or Paying Agent, or fails to give the foregoing notice, the Trustee shall act as such and shall be entitled to appropriate compensation in accordance with Section 7.07.</w:t>
      </w:r>
    </w:p>
    <w:p>
      <w:pPr>
        <w:spacing w:after="0" w:line="173" w:lineRule="exact"/>
        <w:rPr>
          <w:sz w:val="20"/>
          <w:szCs w:val="20"/>
          <w:color w:val="auto"/>
        </w:rPr>
      </w:pPr>
    </w:p>
    <w:p>
      <w:pPr>
        <w:ind w:right="120" w:firstLine="1433"/>
        <w:spacing w:after="0" w:line="251" w:lineRule="auto"/>
        <w:rPr>
          <w:sz w:val="20"/>
          <w:szCs w:val="20"/>
          <w:color w:val="auto"/>
        </w:rPr>
      </w:pPr>
      <w:r>
        <w:rPr>
          <w:rFonts w:ascii="Arial" w:cs="Arial" w:eastAsia="Arial" w:hAnsi="Arial"/>
          <w:sz w:val="22"/>
          <w:szCs w:val="22"/>
          <w:color w:val="auto"/>
        </w:rPr>
        <w:t>The Issuer will ensure that it maintains a Paying Agent in a member state of the European Union that will not be obliged to withhold or deduct tax pursuant to Council Directives 2003/48/EC and 2015/2060/EU.</w:t>
      </w:r>
    </w:p>
    <w:p>
      <w:pPr>
        <w:spacing w:after="0" w:line="173" w:lineRule="exact"/>
        <w:rPr>
          <w:sz w:val="20"/>
          <w:szCs w:val="20"/>
          <w:color w:val="auto"/>
        </w:rPr>
      </w:pPr>
    </w:p>
    <w:p>
      <w:pPr>
        <w:jc w:val="both"/>
        <w:ind w:right="240" w:firstLine="1433"/>
        <w:spacing w:after="0"/>
        <w:rPr>
          <w:sz w:val="20"/>
          <w:szCs w:val="20"/>
          <w:color w:val="auto"/>
        </w:rPr>
      </w:pPr>
      <w:r>
        <w:rPr>
          <w:rFonts w:ascii="Arial" w:cs="Arial" w:eastAsia="Arial" w:hAnsi="Arial"/>
          <w:sz w:val="22"/>
          <w:szCs w:val="22"/>
          <w:color w:val="auto"/>
        </w:rPr>
        <w:t>The Issuer initially appoints the Trustee as agent for service of notices and demands in connection with the Notes and this Indenture. The Issuer initially appoints Elavon Financial Services DAC, in Dublin as Paying Agent, Registrar and Transfer Agent.</w:t>
      </w:r>
    </w:p>
    <w:p>
      <w:pPr>
        <w:spacing w:after="0" w:line="186" w:lineRule="exact"/>
        <w:rPr>
          <w:sz w:val="20"/>
          <w:szCs w:val="20"/>
          <w:color w:val="auto"/>
        </w:rPr>
      </w:pPr>
    </w:p>
    <w:p>
      <w:pPr>
        <w:ind w:firstLine="1433"/>
        <w:spacing w:after="0" w:line="249" w:lineRule="auto"/>
        <w:rPr>
          <w:sz w:val="20"/>
          <w:szCs w:val="20"/>
          <w:color w:val="auto"/>
        </w:rPr>
      </w:pPr>
      <w:r>
        <w:rPr>
          <w:rFonts w:ascii="Arial" w:cs="Arial" w:eastAsia="Arial" w:hAnsi="Arial"/>
          <w:sz w:val="21"/>
          <w:szCs w:val="21"/>
          <w:color w:val="auto"/>
        </w:rPr>
        <w:t>The Issuer may change the Paying Agent, the Registrar or the Transfer Agent without prior notice to the Holders. For so long as the Notes are listed on the Official List of the Luxembourg Stock Exchange and admitted for trading on the Euro MTF Market, the Issuer will publish a notice of any change of Paying Agent, Registrar or Transfer Agent in accordance with the rules of the Euro MTF Market or, to the extent and in the manner permitted by such rules, post such notice on the official website of the Luxembourg Stock Exchange (</w:t>
      </w:r>
      <w:r>
        <w:rPr>
          <w:rFonts w:ascii="Arial" w:cs="Arial" w:eastAsia="Arial" w:hAnsi="Arial"/>
          <w:sz w:val="21"/>
          <w:szCs w:val="21"/>
          <w:i w:val="1"/>
          <w:iCs w:val="1"/>
          <w:color w:val="auto"/>
        </w:rPr>
        <w:t>www.bourse.lu</w:t>
      </w:r>
      <w:r>
        <w:rPr>
          <w:rFonts w:ascii="Arial" w:cs="Arial" w:eastAsia="Arial" w:hAnsi="Arial"/>
          <w:sz w:val="21"/>
          <w:szCs w:val="21"/>
          <w:color w:val="auto"/>
        </w:rPr>
        <w:t>).</w:t>
      </w:r>
    </w:p>
    <w:p>
      <w:pPr>
        <w:spacing w:after="0" w:line="20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Paying Agent To Hold Money</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69" w:lineRule="auto"/>
        <w:rPr>
          <w:sz w:val="20"/>
          <w:szCs w:val="20"/>
          <w:color w:val="auto"/>
        </w:rPr>
      </w:pPr>
      <w:r>
        <w:rPr>
          <w:rFonts w:ascii="Arial" w:cs="Arial" w:eastAsia="Arial" w:hAnsi="Arial"/>
          <w:sz w:val="19"/>
          <w:szCs w:val="19"/>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w:t>
      </w:r>
    </w:p>
    <w:p>
      <w:pPr>
        <w:spacing w:after="0" w:line="5"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214"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Noteholder Lists</w:t>
      </w:r>
      <w:r>
        <w:rPr>
          <w:rFonts w:ascii="Arial" w:cs="Arial" w:eastAsia="Arial" w:hAnsi="Arial"/>
          <w:sz w:val="19"/>
          <w:szCs w:val="19"/>
          <w:color w:val="auto"/>
        </w:rPr>
        <w:t>.</w:t>
      </w:r>
    </w:p>
    <w:p>
      <w:pPr>
        <w:spacing w:after="0" w:line="206" w:lineRule="exact"/>
        <w:rPr>
          <w:sz w:val="20"/>
          <w:szCs w:val="20"/>
          <w:color w:val="auto"/>
        </w:rPr>
      </w:pPr>
    </w:p>
    <w:p>
      <w:pPr>
        <w:ind w:right="80" w:firstLine="1433"/>
        <w:spacing w:after="0" w:line="297"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w:t>
      </w:r>
    </w:p>
    <w:p>
      <w:pPr>
        <w:sectPr>
          <w:pgSz w:w="11900" w:h="16838" w:orient="portrait"/>
          <w:cols w:equalWidth="0" w:num="1">
            <w:col w:w="11020"/>
          </w:cols>
          <w:pgMar w:left="440" w:top="415" w:right="4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list in such form and as of such date as the Trustee may reasonably require of the names and addresses of the Noteholders.</w:t>
      </w:r>
    </w:p>
    <w:p>
      <w:pPr>
        <w:spacing w:after="0" w:line="26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1" w:lineRule="auto"/>
        <w:rPr>
          <w:sz w:val="20"/>
          <w:szCs w:val="20"/>
          <w:color w:val="auto"/>
        </w:rPr>
      </w:pPr>
      <w:r>
        <w:rPr>
          <w:rFonts w:ascii="Arial" w:cs="Arial" w:eastAsia="Arial" w:hAnsi="Arial"/>
          <w:sz w:val="19"/>
          <w:szCs w:val="19"/>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 apply to any exchange pursuant to Section 2.11, 3.06, 4.08, 4.12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62" w:lineRule="exact"/>
        <w:rPr>
          <w:sz w:val="20"/>
          <w:szCs w:val="20"/>
          <w:color w:val="auto"/>
        </w:rPr>
      </w:pPr>
    </w:p>
    <w:p>
      <w:pPr>
        <w:ind w:right="20" w:firstLine="1433"/>
        <w:spacing w:after="0" w:line="235" w:lineRule="auto"/>
        <w:rPr>
          <w:sz w:val="20"/>
          <w:szCs w:val="20"/>
          <w:color w:val="auto"/>
        </w:rPr>
      </w:pPr>
      <w:r>
        <w:rPr>
          <w:rFonts w:ascii="Arial" w:cs="Arial" w:eastAsia="Arial" w:hAnsi="Arial"/>
          <w:sz w:val="22"/>
          <w:szCs w:val="22"/>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Replacement Notes</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49" w:lineRule="auto"/>
        <w:rPr>
          <w:sz w:val="20"/>
          <w:szCs w:val="20"/>
          <w:color w:val="auto"/>
        </w:rPr>
      </w:pPr>
      <w:r>
        <w:rPr>
          <w:rFonts w:ascii="Arial" w:cs="Arial" w:eastAsia="Arial" w:hAnsi="Arial"/>
          <w:sz w:val="21"/>
          <w:szCs w:val="21"/>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w:t>
      </w:r>
    </w:p>
    <w:p>
      <w:pPr>
        <w:sectPr>
          <w:pgSz w:w="11900" w:h="16838" w:orient="portrait"/>
          <w:cols w:equalWidth="0" w:num="1">
            <w:col w:w="11000"/>
          </w:cols>
          <w:pgMar w:left="440" w:top="415" w:right="4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w:t>
      </w:r>
    </w:p>
    <w:p>
      <w:pPr>
        <w:spacing w:after="0" w:line="233"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the Transfer Agent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20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Outstanding Notes</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The Notes outstanding at any time are all Notes that have been authenticated by the Trustee except for</w:t>
      </w:r>
    </w:p>
    <w:p>
      <w:pPr>
        <w:spacing w:after="0" w:line="43" w:lineRule="exact"/>
        <w:rPr>
          <w:sz w:val="20"/>
          <w:szCs w:val="20"/>
          <w:color w:val="auto"/>
        </w:rPr>
      </w:pPr>
    </w:p>
    <w:p>
      <w:pPr>
        <w:ind w:firstLine="4"/>
        <w:spacing w:after="0" w:line="280" w:lineRule="auto"/>
        <w:tabs>
          <w:tab w:leader="none" w:pos="29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51" w:lineRule="exact"/>
        <w:rPr>
          <w:sz w:val="20"/>
          <w:szCs w:val="20"/>
          <w:color w:val="auto"/>
        </w:rPr>
      </w:pPr>
    </w:p>
    <w:p>
      <w:pPr>
        <w:jc w:val="both"/>
        <w:ind w:right="340" w:firstLine="1433"/>
        <w:spacing w:after="0"/>
        <w:rPr>
          <w:sz w:val="20"/>
          <w:szCs w:val="20"/>
          <w:color w:val="auto"/>
        </w:rPr>
      </w:pPr>
      <w:r>
        <w:rPr>
          <w:rFonts w:ascii="Arial" w:cs="Arial" w:eastAsia="Arial" w:hAnsi="Arial"/>
          <w:sz w:val="22"/>
          <w:szCs w:val="22"/>
          <w:color w:val="auto"/>
        </w:rPr>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86" w:lineRule="exact"/>
        <w:rPr>
          <w:sz w:val="20"/>
          <w:szCs w:val="20"/>
          <w:color w:val="auto"/>
        </w:rPr>
      </w:pPr>
    </w:p>
    <w:p>
      <w:pPr>
        <w:ind w:right="40" w:firstLine="1433"/>
        <w:spacing w:after="0" w:line="238" w:lineRule="auto"/>
        <w:rPr>
          <w:sz w:val="20"/>
          <w:szCs w:val="20"/>
          <w:color w:val="auto"/>
        </w:rPr>
      </w:pPr>
      <w:r>
        <w:rPr>
          <w:rFonts w:ascii="Arial" w:cs="Arial" w:eastAsia="Arial" w:hAnsi="Arial"/>
          <w:sz w:val="22"/>
          <w:szCs w:val="22"/>
          <w:color w:val="auto"/>
        </w:rPr>
        <w:t>If a Paying Agent holds, in its capacity as such, on any Maturity Date, Euros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Treasury Notes</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46" w:lineRule="auto"/>
        <w:rPr>
          <w:sz w:val="20"/>
          <w:szCs w:val="20"/>
          <w:color w:val="auto"/>
        </w:rPr>
      </w:pPr>
      <w:r>
        <w:rPr>
          <w:rFonts w:ascii="Arial" w:cs="Arial" w:eastAsia="Arial" w:hAnsi="Arial"/>
          <w:sz w:val="21"/>
          <w:szCs w:val="21"/>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w:t>
      </w:r>
    </w:p>
    <w:p>
      <w:pPr>
        <w:sectPr>
          <w:pgSz w:w="11900" w:h="16838" w:orient="portrait"/>
          <w:cols w:equalWidth="0" w:num="1">
            <w:col w:w="11000"/>
          </w:cols>
          <w:pgMar w:left="440" w:top="415" w:right="4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p>
    <w:p>
      <w:pPr>
        <w:spacing w:after="0" w:line="233"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to the Notes and that the pledgee is not the Issuer, a Guarantor, any other obligor on the Notes or any of their respective Affiliates.</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Temporary Notes</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47" w:lineRule="auto"/>
        <w:rPr>
          <w:sz w:val="20"/>
          <w:szCs w:val="20"/>
          <w:color w:val="auto"/>
        </w:rPr>
      </w:pPr>
      <w:r>
        <w:rPr>
          <w:rFonts w:ascii="Arial" w:cs="Arial" w:eastAsia="Arial" w:hAnsi="Arial"/>
          <w:sz w:val="21"/>
          <w:szCs w:val="21"/>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20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Cancellation</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82" w:lineRule="auto"/>
        <w:rPr>
          <w:sz w:val="20"/>
          <w:szCs w:val="20"/>
          <w:color w:val="auto"/>
        </w:rPr>
      </w:pPr>
      <w:r>
        <w:rPr>
          <w:rFonts w:ascii="Arial" w:cs="Arial" w:eastAsia="Arial" w:hAnsi="Arial"/>
          <w:sz w:val="19"/>
          <w:szCs w:val="19"/>
          <w:color w:val="auto"/>
        </w:rPr>
        <w:t>The Issuer at any time may deliver Notes to the Trustee for cancellation. The Registrar, the Transfer Agent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7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Defaulted Interest</w:t>
      </w:r>
      <w:r>
        <w:rPr>
          <w:rFonts w:ascii="Arial" w:cs="Arial" w:eastAsia="Arial" w:hAnsi="Arial"/>
          <w:sz w:val="19"/>
          <w:szCs w:val="19"/>
          <w:color w:val="auto"/>
        </w:rPr>
        <w:t>.</w:t>
      </w:r>
    </w:p>
    <w:p>
      <w:pPr>
        <w:spacing w:after="0" w:line="206" w:lineRule="exact"/>
        <w:rPr>
          <w:sz w:val="20"/>
          <w:szCs w:val="20"/>
          <w:color w:val="auto"/>
        </w:rPr>
      </w:pPr>
    </w:p>
    <w:p>
      <w:pPr>
        <w:ind w:right="100" w:firstLine="1433"/>
        <w:spacing w:after="0" w:line="273" w:lineRule="auto"/>
        <w:rPr>
          <w:sz w:val="20"/>
          <w:szCs w:val="20"/>
          <w:color w:val="auto"/>
        </w:rPr>
      </w:pPr>
      <w:r>
        <w:rPr>
          <w:rFonts w:ascii="Arial" w:cs="Arial" w:eastAsia="Arial" w:hAnsi="Arial"/>
          <w:sz w:val="19"/>
          <w:szCs w:val="19"/>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ectPr>
          <w:pgSz w:w="11900" w:h="16838" w:orient="portrait"/>
          <w:cols w:equalWidth="0" w:num="1">
            <w:col w:w="11020"/>
          </w:cols>
          <w:pgMar w:left="440" w:top="415" w:right="4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w:t>
      </w:r>
    </w:p>
    <w:p>
      <w:pPr>
        <w:spacing w:after="0" w:line="233" w:lineRule="exact"/>
        <w:rPr>
          <w:sz w:val="20"/>
          <w:szCs w:val="20"/>
          <w:color w:val="auto"/>
        </w:rPr>
      </w:pPr>
    </w:p>
    <w:p>
      <w:pPr>
        <w:ind w:right="80" w:firstLine="1433"/>
        <w:spacing w:after="0"/>
        <w:rPr>
          <w:sz w:val="20"/>
          <w:szCs w:val="20"/>
          <w:color w:val="auto"/>
        </w:rPr>
      </w:pPr>
      <w:r>
        <w:rPr>
          <w:rFonts w:ascii="Arial" w:cs="Arial" w:eastAsia="Arial" w:hAnsi="Arial"/>
          <w:sz w:val="22"/>
          <w:szCs w:val="22"/>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CUSIP, ISIN and Common Code Numbers</w:t>
      </w:r>
      <w:r>
        <w:rPr>
          <w:rFonts w:ascii="Arial" w:cs="Arial" w:eastAsia="Arial" w:hAnsi="Arial"/>
          <w:sz w:val="19"/>
          <w:szCs w:val="19"/>
          <w:color w:val="auto"/>
        </w:rPr>
        <w:t>.</w:t>
      </w:r>
    </w:p>
    <w:p>
      <w:pPr>
        <w:spacing w:after="0" w:line="206" w:lineRule="exact"/>
        <w:rPr>
          <w:sz w:val="20"/>
          <w:szCs w:val="20"/>
          <w:color w:val="auto"/>
        </w:rPr>
      </w:pPr>
    </w:p>
    <w:p>
      <w:pPr>
        <w:ind w:right="40" w:firstLine="1433"/>
        <w:spacing w:after="0" w:line="247" w:lineRule="auto"/>
        <w:rPr>
          <w:sz w:val="20"/>
          <w:szCs w:val="20"/>
          <w:color w:val="auto"/>
        </w:rPr>
      </w:pPr>
      <w:r>
        <w:rPr>
          <w:rFonts w:ascii="Arial" w:cs="Arial" w:eastAsia="Arial" w:hAnsi="Arial"/>
          <w:sz w:val="21"/>
          <w:szCs w:val="21"/>
          <w:color w:val="auto"/>
        </w:rPr>
        <w:t xml:space="preserve">The Issuer in issuing the Notes may use “CUSIP,” “ISIN” and “Common Code” numbers, and if so used, such CUSIP, ISIN and Common Code numbers shall be included in notices of redemption or exchange as a convenience to Holders;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any such notice may state that no representation is made as to the correctness or accuracy of the CUSIP, ISIN or</w:t>
      </w:r>
      <w:r>
        <w:rPr>
          <w:rFonts w:ascii="Arial" w:cs="Arial" w:eastAsia="Arial" w:hAnsi="Arial"/>
          <w:sz w:val="21"/>
          <w:szCs w:val="21"/>
          <w:i w:val="1"/>
          <w:iCs w:val="1"/>
          <w:color w:val="auto"/>
        </w:rPr>
        <w:t xml:space="preserve"> </w:t>
      </w:r>
      <w:r>
        <w:rPr>
          <w:rFonts w:ascii="Arial" w:cs="Arial" w:eastAsia="Arial" w:hAnsi="Arial"/>
          <w:sz w:val="21"/>
          <w:szCs w:val="21"/>
          <w:color w:val="auto"/>
        </w:rPr>
        <w:t>Common Code numbers printed in the notice or on the Notes, and that reliance may be placed only on the other identification numbers printed on the Notes. The Issuer shall promptly notify the Trustee, in writing, of any such CUSIP, ISIN or Common Code number used by the Issuer in connection with the issuance of the Notes and of any change in any such CUSIP, ISIN or Common Code number.</w:t>
      </w:r>
    </w:p>
    <w:p>
      <w:pPr>
        <w:spacing w:after="0" w:line="20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Deposit of Moneys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7" w:lineRule="auto"/>
        <w:rPr>
          <w:sz w:val="20"/>
          <w:szCs w:val="20"/>
          <w:color w:val="auto"/>
        </w:rPr>
      </w:pPr>
      <w:r>
        <w:rPr>
          <w:rFonts w:ascii="Arial" w:cs="Arial" w:eastAsia="Arial" w:hAnsi="Arial"/>
          <w:sz w:val="19"/>
          <w:szCs w:val="19"/>
          <w:color w:val="auto"/>
        </w:rPr>
        <w:t>Prior to 10:00 A.M., London time, one Business Day prior to each Interest Payment Date and Maturity Date, the Issuer shall have deposited with the Paying Agent in immediately available funds Euros sufficient to make cash payments, if any, due on such Interest Payment Date or Maturity Date, as the case may be, in a timely manner which permits such Paying Agent, subject to actual receipt of such funds, to remit payment to the Holders on such Interest Payment Date or Maturity Date, as the case may be. The principal and interest on Global Notes shall be payable to the Common Depositary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8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Book-Entry Provisions for Global Notes</w:t>
      </w:r>
      <w:r>
        <w:rPr>
          <w:rFonts w:ascii="Arial" w:cs="Arial" w:eastAsia="Arial" w:hAnsi="Arial"/>
          <w:sz w:val="19"/>
          <w:szCs w:val="19"/>
          <w:color w:val="auto"/>
        </w:rPr>
        <w:t>.</w:t>
      </w:r>
    </w:p>
    <w:p>
      <w:pPr>
        <w:spacing w:after="0" w:line="206" w:lineRule="exact"/>
        <w:rPr>
          <w:sz w:val="20"/>
          <w:szCs w:val="20"/>
          <w:color w:val="auto"/>
        </w:rPr>
      </w:pPr>
    </w:p>
    <w:p>
      <w:pPr>
        <w:ind w:firstLine="1436"/>
        <w:spacing w:after="0" w:line="234" w:lineRule="auto"/>
        <w:tabs>
          <w:tab w:leader="none" w:pos="2105" w:val="left"/>
        </w:tabs>
        <w:numPr>
          <w:ilvl w:val="0"/>
          <w:numId w:val="27"/>
        </w:numPr>
        <w:rPr>
          <w:rFonts w:ascii="Arial" w:cs="Arial" w:eastAsia="Arial" w:hAnsi="Arial"/>
          <w:sz w:val="22"/>
          <w:szCs w:val="22"/>
          <w:color w:val="auto"/>
        </w:rPr>
      </w:pPr>
      <w:r>
        <w:rPr>
          <w:rFonts w:ascii="Arial" w:cs="Arial" w:eastAsia="Arial" w:hAnsi="Arial"/>
          <w:sz w:val="22"/>
          <w:szCs w:val="22"/>
          <w:color w:val="auto"/>
        </w:rPr>
        <w:t>Rule 144A Notes initially shall be represented by one or more Notes in registered, global form without interest coupons (collectively, the “</w:t>
      </w:r>
      <w:r>
        <w:rPr>
          <w:rFonts w:ascii="Arial" w:cs="Arial" w:eastAsia="Arial" w:hAnsi="Arial"/>
          <w:sz w:val="22"/>
          <w:szCs w:val="22"/>
          <w:u w:val="single" w:color="auto"/>
          <w:color w:val="auto"/>
        </w:rPr>
        <w:t>Rule 144A Global Notes</w:t>
      </w:r>
      <w:r>
        <w:rPr>
          <w:rFonts w:ascii="Arial" w:cs="Arial" w:eastAsia="Arial" w:hAnsi="Arial"/>
          <w:sz w:val="22"/>
          <w:szCs w:val="22"/>
          <w:color w:val="auto"/>
        </w:rPr>
        <w:t>”). Regulation S Notes initially shall be represented by one or more Notes in registered, global form without interest coupons (collectively, the “</w:t>
      </w:r>
      <w:r>
        <w:rPr>
          <w:rFonts w:ascii="Arial" w:cs="Arial" w:eastAsia="Arial" w:hAnsi="Arial"/>
          <w:sz w:val="22"/>
          <w:szCs w:val="22"/>
          <w:u w:val="single" w:color="auto"/>
          <w:color w:val="auto"/>
        </w:rPr>
        <w:t>Regulation S Global Notes</w:t>
      </w:r>
      <w:r>
        <w:rPr>
          <w:rFonts w:ascii="Arial" w:cs="Arial" w:eastAsia="Arial" w:hAnsi="Arial"/>
          <w:sz w:val="22"/>
          <w:szCs w:val="22"/>
          <w:color w:val="auto"/>
        </w:rPr>
        <w:t>”). The term “</w:t>
      </w:r>
      <w:r>
        <w:rPr>
          <w:rFonts w:ascii="Arial" w:cs="Arial" w:eastAsia="Arial" w:hAnsi="Arial"/>
          <w:sz w:val="22"/>
          <w:szCs w:val="22"/>
          <w:u w:val="single" w:color="auto"/>
          <w:color w:val="auto"/>
        </w:rPr>
        <w:t>Global</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means the Rule 144A Global Notes and the Regulation S Global Notes. The Global Notes shall bear the Global Note Legend. The Global Notes initially shall (i) be registered in the name of the nominee of such Common Depositary, in each case for credit to an account of an Agent Member, (ii) be delivered to the Common Depositary and (iii) bear the Private Placement Legend.</w:t>
      </w:r>
    </w:p>
    <w:p>
      <w:pPr>
        <w:spacing w:after="0" w:line="191" w:lineRule="exact"/>
        <w:rPr>
          <w:sz w:val="20"/>
          <w:szCs w:val="20"/>
          <w:color w:val="auto"/>
        </w:rPr>
      </w:pPr>
    </w:p>
    <w:p>
      <w:pPr>
        <w:ind w:right="200" w:firstLine="1433"/>
        <w:spacing w:after="0" w:line="251" w:lineRule="auto"/>
        <w:rPr>
          <w:sz w:val="20"/>
          <w:szCs w:val="20"/>
          <w:color w:val="auto"/>
        </w:rPr>
      </w:pPr>
      <w:r>
        <w:rPr>
          <w:rFonts w:ascii="Arial" w:cs="Arial" w:eastAsia="Arial" w:hAnsi="Arial"/>
          <w:sz w:val="22"/>
          <w:szCs w:val="22"/>
          <w:color w:val="auto"/>
        </w:rPr>
        <w:t>Members of, or direct or indirect participants in, Euroclear or Clearstream (“</w:t>
      </w:r>
      <w:r>
        <w:rPr>
          <w:rFonts w:ascii="Arial" w:cs="Arial" w:eastAsia="Arial" w:hAnsi="Arial"/>
          <w:sz w:val="22"/>
          <w:szCs w:val="22"/>
          <w:u w:val="single" w:color="auto"/>
          <w:color w:val="auto"/>
        </w:rPr>
        <w:t>Agent Members</w:t>
      </w:r>
      <w:r>
        <w:rPr>
          <w:rFonts w:ascii="Arial" w:cs="Arial" w:eastAsia="Arial" w:hAnsi="Arial"/>
          <w:sz w:val="22"/>
          <w:szCs w:val="22"/>
          <w:color w:val="auto"/>
        </w:rPr>
        <w:t>”) shall have no rights under this Indenture with respect to any Global Note</w:t>
      </w:r>
    </w:p>
    <w:p>
      <w:pPr>
        <w:sectPr>
          <w:pgSz w:w="11900" w:h="16838" w:orient="portrait"/>
          <w:cols w:equalWidth="0" w:num="1">
            <w:col w:w="11020"/>
          </w:cols>
          <w:pgMar w:left="440" w:top="415"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w:t>
      </w:r>
    </w:p>
    <w:p>
      <w:pPr>
        <w:spacing w:after="0" w:line="233"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held on their behalf by the nominee of the Common Depositary or under the Global Notes. The nominee of the Common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Common Depositary or impair, as between Euroclear or Clearstream, as the case may be, and their respective Agent Members, the operation of customary practices governing the exercise of the rights of a Holder of any Note.</w:t>
      </w:r>
    </w:p>
    <w:p>
      <w:pPr>
        <w:spacing w:after="0" w:line="151" w:lineRule="exact"/>
        <w:rPr>
          <w:sz w:val="20"/>
          <w:szCs w:val="20"/>
          <w:color w:val="auto"/>
        </w:rPr>
      </w:pPr>
    </w:p>
    <w:p>
      <w:pPr>
        <w:ind w:firstLine="1436"/>
        <w:spacing w:after="0" w:line="271" w:lineRule="auto"/>
        <w:tabs>
          <w:tab w:leader="none" w:pos="211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Transfers of Global Notes shall be limited to transfer in whole, but not in part, to the Common Depositary, its successors or their respective nominees. Interests of beneficial owners in the Global Notes may be transferred or exchanged for Physical Notes only in accordance with the applicable rules and procedures of Euroclear or Clearstream, as the case may be, and the provisions of Section 2.17. In addition, a Global Note shall be exchangeable for Physical Notes only if</w:t>
      </w:r>
    </w:p>
    <w:p>
      <w:pPr>
        <w:spacing w:after="0" w:line="3" w:lineRule="exact"/>
        <w:rPr>
          <w:rFonts w:ascii="Arial" w:cs="Arial" w:eastAsia="Arial" w:hAnsi="Arial"/>
          <w:sz w:val="19"/>
          <w:szCs w:val="19"/>
          <w:color w:val="auto"/>
        </w:rPr>
      </w:pPr>
    </w:p>
    <w:p>
      <w:pPr>
        <w:ind w:right="140" w:firstLine="4"/>
        <w:spacing w:after="0" w:line="275" w:lineRule="auto"/>
        <w:tabs>
          <w:tab w:leader="none" w:pos="306" w:val="left"/>
        </w:tabs>
        <w:numPr>
          <w:ilvl w:val="0"/>
          <w:numId w:val="29"/>
        </w:numPr>
        <w:rPr>
          <w:rFonts w:ascii="Arial" w:cs="Arial" w:eastAsia="Arial" w:hAnsi="Arial"/>
          <w:sz w:val="19"/>
          <w:szCs w:val="19"/>
          <w:color w:val="auto"/>
        </w:rPr>
      </w:pPr>
      <w:r>
        <w:rPr>
          <w:rFonts w:ascii="Arial" w:cs="Arial" w:eastAsia="Arial" w:hAnsi="Arial"/>
          <w:sz w:val="19"/>
          <w:szCs w:val="19"/>
          <w:color w:val="auto"/>
        </w:rPr>
        <w:t>Euroclear or Clearstream notifies the Issuer that it is unwilling or unable to continue as clearing agency, (y) the Common Depositary notifies the Issuer that it is unwilling or unable to continue as common depositary for such Global Note and the Issuer fails to appoint a successor common depositary within 120 days of such notice or, (z) in the case of any Global Note there shall have occurred and be continuing an Event of Default with respect to such Global Note. In all cases, Physical Notes delivered in exchange for any Global Note or beneficial interests therein shall be registered in the names, and issued in any approved denominations, requested by or on behalf of the Common Depositary in accordance with its customary procedures.</w:t>
      </w:r>
    </w:p>
    <w:p>
      <w:pPr>
        <w:spacing w:after="0" w:line="154" w:lineRule="exact"/>
        <w:rPr>
          <w:rFonts w:ascii="Arial" w:cs="Arial" w:eastAsia="Arial" w:hAnsi="Arial"/>
          <w:sz w:val="19"/>
          <w:szCs w:val="19"/>
          <w:color w:val="auto"/>
        </w:rPr>
      </w:pPr>
    </w:p>
    <w:p>
      <w:pPr>
        <w:ind w:right="60" w:firstLine="1436"/>
        <w:spacing w:after="0" w:line="235" w:lineRule="auto"/>
        <w:tabs>
          <w:tab w:leader="none" w:pos="2105"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Common Depositary in writing in exchange for its beneficial interest in such Global Note, an equal aggregate principal amount of Physical Notes of authorized denominations.</w:t>
      </w:r>
    </w:p>
    <w:p>
      <w:pPr>
        <w:spacing w:after="0" w:line="188" w:lineRule="exact"/>
        <w:rPr>
          <w:rFonts w:ascii="Arial" w:cs="Arial" w:eastAsia="Arial" w:hAnsi="Arial"/>
          <w:sz w:val="22"/>
          <w:szCs w:val="22"/>
          <w:color w:val="auto"/>
        </w:rPr>
      </w:pPr>
    </w:p>
    <w:p>
      <w:pPr>
        <w:ind w:right="640" w:firstLine="1436"/>
        <w:spacing w:after="0" w:line="328" w:lineRule="auto"/>
        <w:tabs>
          <w:tab w:leader="none" w:pos="2105"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Restricted Physical Note delivered in exchange for an interest in a Global Note pursuant to Section 2.17 shall, except as otherwise provided in Section 2.17, bear the Private Placement Legend.</w:t>
      </w:r>
    </w:p>
    <w:p>
      <w:pPr>
        <w:spacing w:after="0" w:line="105" w:lineRule="exact"/>
        <w:rPr>
          <w:rFonts w:ascii="Arial" w:cs="Arial" w:eastAsia="Arial" w:hAnsi="Arial"/>
          <w:sz w:val="19"/>
          <w:szCs w:val="19"/>
          <w:color w:val="auto"/>
        </w:rPr>
      </w:pPr>
    </w:p>
    <w:p>
      <w:pPr>
        <w:ind w:right="120" w:firstLine="1436"/>
        <w:spacing w:after="0" w:line="287" w:lineRule="auto"/>
        <w:tabs>
          <w:tab w:leader="none" w:pos="2105"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Notwithstanding the foregoing, through and including the 40th day after the later of the commencement of the offering of the Notes represented by a Regulation S Global Note and the issue date of such Notes (such period through and including such 40th day,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xml:space="preserve">”), a beneficial interest in such Regulation S Global Note shall bear a legend in the form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through such date, which may be held only through</w:t>
      </w:r>
    </w:p>
    <w:p>
      <w:pPr>
        <w:sectPr>
          <w:pgSz w:w="11900" w:h="16838" w:orient="portrait"/>
          <w:cols w:equalWidth="0" w:num="1">
            <w:col w:w="11020"/>
          </w:cols>
          <w:pgMar w:left="440" w:top="415" w:right="4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Euroclear or Clearstream unless delivery is made in accordance with the applicable provisions of Section 2.17.</w:t>
      </w:r>
    </w:p>
    <w:p>
      <w:pPr>
        <w:spacing w:after="0" w:line="206" w:lineRule="exact"/>
        <w:rPr>
          <w:sz w:val="20"/>
          <w:szCs w:val="20"/>
          <w:color w:val="auto"/>
        </w:rPr>
      </w:pPr>
    </w:p>
    <w:p>
      <w:pPr>
        <w:ind w:right="160" w:firstLine="1436"/>
        <w:spacing w:after="0"/>
        <w:tabs>
          <w:tab w:leader="none" w:pos="207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Transfer and Exchange of Notes</w:t>
      </w:r>
      <w:r>
        <w:rPr>
          <w:rFonts w:ascii="Arial" w:cs="Arial" w:eastAsia="Arial" w:hAnsi="Arial"/>
          <w:sz w:val="19"/>
          <w:szCs w:val="19"/>
          <w:color w:val="auto"/>
        </w:rPr>
        <w:t>.</w:t>
      </w:r>
    </w:p>
    <w:p>
      <w:pPr>
        <w:spacing w:after="0" w:line="206" w:lineRule="exact"/>
        <w:rPr>
          <w:sz w:val="20"/>
          <w:szCs w:val="20"/>
          <w:color w:val="auto"/>
        </w:rPr>
      </w:pPr>
    </w:p>
    <w:p>
      <w:pPr>
        <w:ind w:right="120" w:firstLine="1436"/>
        <w:spacing w:after="0" w:line="271" w:lineRule="auto"/>
        <w:tabs>
          <w:tab w:leader="none" w:pos="2105"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Global Notes</w:t>
      </w:r>
      <w:r>
        <w:rPr>
          <w:rFonts w:ascii="Arial" w:cs="Arial" w:eastAsia="Arial" w:hAnsi="Arial"/>
          <w:sz w:val="19"/>
          <w:szCs w:val="19"/>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2.17(b) or 2.17(f).</w:t>
      </w:r>
    </w:p>
    <w:p>
      <w:pPr>
        <w:spacing w:after="0" w:line="188" w:lineRule="exact"/>
        <w:rPr>
          <w:rFonts w:ascii="Arial" w:cs="Arial" w:eastAsia="Arial" w:hAnsi="Arial"/>
          <w:sz w:val="19"/>
          <w:szCs w:val="19"/>
          <w:color w:val="auto"/>
        </w:rPr>
      </w:pPr>
    </w:p>
    <w:p>
      <w:pPr>
        <w:ind w:right="20" w:firstLine="1436"/>
        <w:spacing w:after="0" w:line="270" w:lineRule="auto"/>
        <w:tabs>
          <w:tab w:leader="none" w:pos="2117"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Beneficial Interests in Global Notes</w:t>
      </w:r>
      <w:r>
        <w:rPr>
          <w:rFonts w:ascii="Arial" w:cs="Arial" w:eastAsia="Arial" w:hAnsi="Arial"/>
          <w:sz w:val="19"/>
          <w:szCs w:val="19"/>
          <w:color w:val="auto"/>
        </w:rPr>
        <w:t>. The transfer and exchange of beneficial interests in the Global Notes shall be effected through the Common Depositary, in accordance with the provisions of this Indenture and the applicable rules and procedures of Euroclear and Clearstream.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w:t>
      </w:r>
    </w:p>
    <w:p>
      <w:pPr>
        <w:spacing w:after="0" w:line="1" w:lineRule="exact"/>
        <w:rPr>
          <w:rFonts w:ascii="Arial" w:cs="Arial" w:eastAsia="Arial" w:hAnsi="Arial"/>
          <w:sz w:val="19"/>
          <w:szCs w:val="19"/>
          <w:color w:val="auto"/>
        </w:rPr>
      </w:pPr>
    </w:p>
    <w:p>
      <w:pPr>
        <w:ind w:left="260" w:hanging="256"/>
        <w:spacing w:after="0"/>
        <w:tabs>
          <w:tab w:leader="none" w:pos="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or (ii) below, as applicable, as well as one or more of the other following subparagraphs, as applicable:</w:t>
      </w:r>
    </w:p>
    <w:p>
      <w:pPr>
        <w:spacing w:after="0" w:line="188" w:lineRule="exact"/>
        <w:rPr>
          <w:rFonts w:ascii="Arial" w:cs="Arial" w:eastAsia="Arial" w:hAnsi="Arial"/>
          <w:sz w:val="22"/>
          <w:szCs w:val="22"/>
          <w:color w:val="auto"/>
        </w:rPr>
      </w:pPr>
    </w:p>
    <w:p>
      <w:pPr>
        <w:ind w:left="660" w:right="60" w:firstLine="730"/>
        <w:spacing w:after="0" w:line="275" w:lineRule="auto"/>
        <w:tabs>
          <w:tab w:leader="none" w:pos="2021"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Transfer of Beneficial Interests in the Same Global Note</w:t>
      </w:r>
      <w:r>
        <w:rPr>
          <w:rFonts w:ascii="Arial" w:cs="Arial" w:eastAsia="Arial" w:hAnsi="Arial"/>
          <w:sz w:val="19"/>
          <w:szCs w:val="19"/>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the expiration of the Restricted Period,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158" w:lineRule="exact"/>
        <w:rPr>
          <w:rFonts w:ascii="Arial" w:cs="Arial" w:eastAsia="Arial" w:hAnsi="Arial"/>
          <w:sz w:val="19"/>
          <w:szCs w:val="19"/>
          <w:color w:val="auto"/>
        </w:rPr>
      </w:pPr>
    </w:p>
    <w:p>
      <w:pPr>
        <w:ind w:left="660" w:firstLine="730"/>
        <w:spacing w:after="0"/>
        <w:tabs>
          <w:tab w:leader="none" w:pos="2081"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All Other Transfers and Exchanges of Beneficial Interests in Global Notes</w:t>
      </w:r>
      <w:r>
        <w:rPr>
          <w:rFonts w:ascii="Arial" w:cs="Arial" w:eastAsia="Arial" w:hAnsi="Arial"/>
          <w:sz w:val="22"/>
          <w:szCs w:val="22"/>
          <w:color w:val="auto"/>
        </w:rPr>
        <w:t>. In connection with all transfers and exchanges of beneficial interests in any Global Note that is not subject to Section 2.17(b)(i), the transferor of such beneficial</w:t>
      </w:r>
    </w:p>
    <w:p>
      <w:pPr>
        <w:sectPr>
          <w:pgSz w:w="11900" w:h="16838" w:orient="portrait"/>
          <w:cols w:equalWidth="0" w:num="1">
            <w:col w:w="11000"/>
          </w:cols>
          <w:pgMar w:left="440" w:top="415" w:right="459" w:bottom="1440" w:gutter="0" w:footer="0" w:header="0"/>
        </w:sectPr>
      </w:pPr>
    </w:p>
    <w:bookmarkStart w:id="42" w:name="page43"/>
    <w:bookmarkEnd w:id="42"/>
    <w:p>
      <w:pPr>
        <w:jc w:val="center"/>
        <w:ind w:right="6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interest must deliver to the Registrar (1) a written order from an Agent Member given to the Common Depositary in accordance with the applicable rules and procedures of Euroclear and Clearstream directing the Common Depositary to credit or cause to be credited a beneficial interest in another Global Note in an amount equal to the beneficial interest to be transferred or exchanged and (2) instructions given in accordance with the applicable rules and procedures of Euroclear and Clearstream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Registrar shall adjust the principal amount of the relevant Global Note(s) pursuant to Section 2.17(f).</w:t>
      </w:r>
    </w:p>
    <w:p>
      <w:pPr>
        <w:spacing w:after="0" w:line="158" w:lineRule="exact"/>
        <w:rPr>
          <w:sz w:val="20"/>
          <w:szCs w:val="20"/>
          <w:color w:val="auto"/>
        </w:rPr>
      </w:pPr>
    </w:p>
    <w:p>
      <w:pPr>
        <w:ind w:right="80" w:firstLine="730"/>
        <w:spacing w:after="0" w:line="238" w:lineRule="auto"/>
        <w:tabs>
          <w:tab w:leader="none" w:pos="1481"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to Another Restricted Global Note</w:t>
      </w:r>
      <w:r>
        <w:rPr>
          <w:rFonts w:ascii="Arial" w:cs="Arial" w:eastAsia="Arial" w:hAnsi="Arial"/>
          <w:sz w:val="22"/>
          <w:szCs w:val="22"/>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185" w:lineRule="exact"/>
        <w:rPr>
          <w:rFonts w:ascii="Arial" w:cs="Arial" w:eastAsia="Arial" w:hAnsi="Arial"/>
          <w:sz w:val="22"/>
          <w:szCs w:val="22"/>
          <w:color w:val="auto"/>
        </w:rPr>
      </w:pPr>
    </w:p>
    <w:p>
      <w:pPr>
        <w:ind w:left="780" w:right="60" w:firstLine="668"/>
        <w:spacing w:after="0" w:line="276" w:lineRule="auto"/>
        <w:tabs>
          <w:tab w:leader="none" w:pos="2183"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if the transferee will take delivery in the form of a beneficial interest in a Rule 144A Global Note, then the transferor must deliver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w:t>
      </w:r>
    </w:p>
    <w:p>
      <w:pPr>
        <w:spacing w:after="0" w:line="1"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(1) thereof; and</w:t>
      </w:r>
    </w:p>
    <w:p>
      <w:pPr>
        <w:spacing w:after="0" w:line="188" w:lineRule="exact"/>
        <w:rPr>
          <w:rFonts w:ascii="Arial" w:cs="Arial" w:eastAsia="Arial" w:hAnsi="Arial"/>
          <w:sz w:val="19"/>
          <w:szCs w:val="19"/>
          <w:color w:val="auto"/>
        </w:rPr>
      </w:pPr>
    </w:p>
    <w:p>
      <w:pPr>
        <w:jc w:val="both"/>
        <w:ind w:left="780" w:right="60" w:firstLine="668"/>
        <w:spacing w:after="0" w:line="276" w:lineRule="auto"/>
        <w:tabs>
          <w:tab w:leader="none" w:pos="2171"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w:t>
      </w:r>
    </w:p>
    <w:p>
      <w:pPr>
        <w:spacing w:after="0" w:line="1"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(2) thereof.</w:t>
      </w:r>
    </w:p>
    <w:p>
      <w:pPr>
        <w:spacing w:after="0" w:line="188" w:lineRule="exact"/>
        <w:rPr>
          <w:rFonts w:ascii="Arial" w:cs="Arial" w:eastAsia="Arial" w:hAnsi="Arial"/>
          <w:sz w:val="19"/>
          <w:szCs w:val="19"/>
          <w:color w:val="auto"/>
        </w:rPr>
      </w:pPr>
    </w:p>
    <w:p>
      <w:pPr>
        <w:ind w:right="20" w:firstLine="730"/>
        <w:spacing w:after="0" w:line="249" w:lineRule="auto"/>
        <w:tabs>
          <w:tab w:leader="none" w:pos="1469"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Transfer and Exchange of Beneficial Interests in a Restricted Global Note for Beneficial Interests in an Unrestricted Global Note</w:t>
      </w:r>
      <w:r>
        <w:rPr>
          <w:rFonts w:ascii="Arial" w:cs="Arial" w:eastAsia="Arial" w:hAnsi="Arial"/>
          <w:sz w:val="21"/>
          <w:szCs w:val="21"/>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178" w:lineRule="exact"/>
        <w:rPr>
          <w:rFonts w:ascii="Arial" w:cs="Arial" w:eastAsia="Arial" w:hAnsi="Arial"/>
          <w:sz w:val="21"/>
          <w:szCs w:val="21"/>
          <w:color w:val="auto"/>
        </w:rPr>
      </w:pPr>
    </w:p>
    <w:p>
      <w:pPr>
        <w:jc w:val="both"/>
        <w:ind w:left="780" w:right="40" w:firstLine="668"/>
        <w:spacing w:after="0" w:line="258" w:lineRule="auto"/>
        <w:tabs>
          <w:tab w:leader="none" w:pos="2183" w:val="left"/>
        </w:tabs>
        <w:numPr>
          <w:ilvl w:val="1"/>
          <w:numId w:val="33"/>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including the certifications in item (1)(a) thereof; or</w:t>
      </w:r>
    </w:p>
    <w:p>
      <w:pPr>
        <w:spacing w:after="0" w:line="166" w:lineRule="exact"/>
        <w:rPr>
          <w:rFonts w:ascii="Arial" w:cs="Arial" w:eastAsia="Arial" w:hAnsi="Arial"/>
          <w:sz w:val="21"/>
          <w:szCs w:val="21"/>
          <w:color w:val="auto"/>
        </w:rPr>
      </w:pPr>
    </w:p>
    <w:p>
      <w:pPr>
        <w:ind w:left="780" w:right="200" w:firstLine="668"/>
        <w:spacing w:after="0"/>
        <w:tabs>
          <w:tab w:leader="none" w:pos="2171" w:val="left"/>
        </w:tabs>
        <w:numPr>
          <w:ilvl w:val="1"/>
          <w:numId w:val="3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w:t>
      </w:r>
    </w:p>
    <w:p>
      <w:pPr>
        <w:sectPr>
          <w:pgSz w:w="11900" w:h="16838" w:orient="portrait"/>
          <w:cols w:equalWidth="0" w:num="1">
            <w:col w:w="10340"/>
          </w:cols>
          <w:pgMar w:left="1100" w:top="415" w:right="45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p>
    <w:p>
      <w:pPr>
        <w:spacing w:after="0" w:line="233"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 xml:space="preserve">Note, a certificate from such holder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 (4) thereof,</w:t>
      </w:r>
    </w:p>
    <w:p>
      <w:pPr>
        <w:spacing w:after="0" w:line="241" w:lineRule="exact"/>
        <w:rPr>
          <w:sz w:val="20"/>
          <w:szCs w:val="20"/>
          <w:color w:val="auto"/>
        </w:rPr>
      </w:pPr>
    </w:p>
    <w:p>
      <w:pPr>
        <w:ind w:left="640"/>
        <w:spacing w:after="0" w:line="274" w:lineRule="auto"/>
        <w:rPr>
          <w:sz w:val="20"/>
          <w:szCs w:val="20"/>
          <w:color w:val="auto"/>
        </w:rPr>
      </w:pPr>
      <w:r>
        <w:rPr>
          <w:rFonts w:ascii="Arial" w:cs="Arial" w:eastAsia="Arial" w:hAnsi="Arial"/>
          <w:sz w:val="19"/>
          <w:szCs w:val="19"/>
          <w:color w:val="auto"/>
        </w:rPr>
        <w:t>and, in each such case, if the Registrar so requests or if the applicable rules and procedures of the Euroclear and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159" w:lineRule="exact"/>
        <w:rPr>
          <w:sz w:val="20"/>
          <w:szCs w:val="20"/>
          <w:color w:val="auto"/>
        </w:rPr>
      </w:pPr>
    </w:p>
    <w:p>
      <w:pPr>
        <w:jc w:val="both"/>
        <w:ind w:left="640" w:right="20" w:firstLine="730"/>
        <w:spacing w:after="0" w:line="297" w:lineRule="auto"/>
        <w:tabs>
          <w:tab w:leader="none" w:pos="2049"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Beneficial Interests in an Unrestricted Global Note for Beneficial Interests in a Restricted Global Note</w:t>
      </w:r>
      <w:r>
        <w:rPr>
          <w:rFonts w:ascii="Arial" w:cs="Arial" w:eastAsia="Arial" w:hAnsi="Arial"/>
          <w:sz w:val="19"/>
          <w:szCs w:val="19"/>
          <w:color w:val="auto"/>
        </w:rPr>
        <w:t>. Beneficial interests in an Unrestricted Global Note cannot be exchanged for, or transferred to Persons who take delivery thereof in the form of, a beneficial interest in a Restricted Global Note.</w:t>
      </w:r>
    </w:p>
    <w:p>
      <w:pPr>
        <w:spacing w:after="0" w:line="134" w:lineRule="exact"/>
        <w:rPr>
          <w:rFonts w:ascii="Arial" w:cs="Arial" w:eastAsia="Arial" w:hAnsi="Arial"/>
          <w:sz w:val="19"/>
          <w:szCs w:val="19"/>
          <w:color w:val="auto"/>
        </w:rPr>
      </w:pPr>
    </w:p>
    <w:p>
      <w:pPr>
        <w:ind w:left="-20" w:right="20" w:firstLine="1436"/>
        <w:spacing w:after="0" w:line="238" w:lineRule="auto"/>
        <w:tabs>
          <w:tab w:leader="none" w:pos="2085"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Beneficial Interests in Global Notes for Physical Notes</w:t>
      </w:r>
      <w:r>
        <w:rPr>
          <w:rFonts w:ascii="Arial" w:cs="Arial" w:eastAsia="Arial" w:hAnsi="Arial"/>
          <w:sz w:val="22"/>
          <w:szCs w:val="22"/>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85" w:lineRule="exact"/>
        <w:rPr>
          <w:rFonts w:ascii="Arial" w:cs="Arial" w:eastAsia="Arial" w:hAnsi="Arial"/>
          <w:sz w:val="22"/>
          <w:szCs w:val="22"/>
          <w:color w:val="auto"/>
        </w:rPr>
      </w:pPr>
    </w:p>
    <w:p>
      <w:pPr>
        <w:ind w:left="-20" w:firstLine="1436"/>
        <w:spacing w:after="0" w:line="251" w:lineRule="auto"/>
        <w:tabs>
          <w:tab w:leader="none" w:pos="2097"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Physical Notes for Beneficial Interests in Global Notes</w:t>
      </w:r>
      <w:r>
        <w:rPr>
          <w:rFonts w:ascii="Arial" w:cs="Arial" w:eastAsia="Arial" w:hAnsi="Arial"/>
          <w:sz w:val="22"/>
          <w:szCs w:val="22"/>
          <w:color w:val="auto"/>
        </w:rPr>
        <w:t>. Physical Notes shall be transferred or exchanged only for beneficial interests in Global Notes as described below:</w:t>
      </w:r>
    </w:p>
    <w:p>
      <w:pPr>
        <w:spacing w:after="0" w:line="173" w:lineRule="exact"/>
        <w:rPr>
          <w:sz w:val="20"/>
          <w:szCs w:val="20"/>
          <w:color w:val="auto"/>
        </w:rPr>
      </w:pPr>
    </w:p>
    <w:p>
      <w:pPr>
        <w:ind w:left="640" w:right="300" w:firstLine="730"/>
        <w:spacing w:after="0" w:line="287" w:lineRule="auto"/>
        <w:tabs>
          <w:tab w:leader="none" w:pos="200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Restricted Physical Notes to Beneficial Interests in Restricted Global Notes</w:t>
      </w:r>
      <w:r>
        <w:rPr>
          <w:rFonts w:ascii="Arial" w:cs="Arial" w:eastAsia="Arial" w:hAnsi="Arial"/>
          <w:sz w:val="19"/>
          <w:szCs w:val="19"/>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143" w:lineRule="exact"/>
        <w:rPr>
          <w:rFonts w:ascii="Arial" w:cs="Arial" w:eastAsia="Arial" w:hAnsi="Arial"/>
          <w:sz w:val="19"/>
          <w:szCs w:val="19"/>
          <w:color w:val="auto"/>
        </w:rPr>
      </w:pPr>
    </w:p>
    <w:p>
      <w:pPr>
        <w:ind w:left="1420" w:right="120" w:firstLine="668"/>
        <w:spacing w:after="0"/>
        <w:tabs>
          <w:tab w:leader="none" w:pos="2823"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Physical Note proposes to exchange such Restricted Physical Note for a beneficial interest in a Restricted Global Note, a certificate from such Holder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including the certifications in item (2)(a) thereof;</w:t>
      </w:r>
    </w:p>
    <w:p>
      <w:pPr>
        <w:sectPr>
          <w:pgSz w:w="11900" w:h="16838" w:orient="portrait"/>
          <w:cols w:equalWidth="0" w:num="1">
            <w:col w:w="11000"/>
          </w:cols>
          <w:pgMar w:left="460" w:top="415" w:right="439" w:bottom="1440" w:gutter="0" w:footer="0" w:header="0"/>
        </w:sectPr>
      </w:pPr>
    </w:p>
    <w:bookmarkStart w:id="44" w:name="page45"/>
    <w:bookmarkEnd w:id="44"/>
    <w:p>
      <w:pPr>
        <w:ind w:left="46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p>
    <w:p>
      <w:pPr>
        <w:spacing w:after="0" w:line="233" w:lineRule="exact"/>
        <w:rPr>
          <w:sz w:val="20"/>
          <w:szCs w:val="20"/>
          <w:color w:val="auto"/>
        </w:rPr>
      </w:pPr>
    </w:p>
    <w:p>
      <w:pPr>
        <w:ind w:left="780" w:right="20" w:firstLine="668"/>
        <w:spacing w:after="0"/>
        <w:tabs>
          <w:tab w:leader="none" w:pos="2171"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if such Restricted Physical Note is being transferred to a Qualified Institutional Buyer in accordance with Rule 144A under the Securities Act, a certificate to the effect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(1) thereof;</w:t>
      </w:r>
    </w:p>
    <w:p>
      <w:pPr>
        <w:spacing w:after="0" w:line="186" w:lineRule="exact"/>
        <w:rPr>
          <w:rFonts w:ascii="Arial" w:cs="Arial" w:eastAsia="Arial" w:hAnsi="Arial"/>
          <w:sz w:val="22"/>
          <w:szCs w:val="22"/>
          <w:color w:val="auto"/>
        </w:rPr>
      </w:pPr>
    </w:p>
    <w:p>
      <w:pPr>
        <w:ind w:left="780" w:right="360" w:firstLine="668"/>
        <w:spacing w:after="0"/>
        <w:tabs>
          <w:tab w:leader="none" w:pos="2171"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if such Restricted Physical Note is being transferred to a Non-U.S. Person in an offshore transaction in accordance with Rule 903 or Rule 904 under the Securities Act, a certificate to the effect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(2) thereof;</w:t>
      </w:r>
    </w:p>
    <w:p>
      <w:pPr>
        <w:spacing w:after="0" w:line="186" w:lineRule="exact"/>
        <w:rPr>
          <w:rFonts w:ascii="Arial" w:cs="Arial" w:eastAsia="Arial" w:hAnsi="Arial"/>
          <w:sz w:val="22"/>
          <w:szCs w:val="22"/>
          <w:color w:val="auto"/>
        </w:rPr>
      </w:pPr>
    </w:p>
    <w:p>
      <w:pPr>
        <w:ind w:left="780" w:right="600" w:firstLine="668"/>
        <w:spacing w:after="0" w:line="297" w:lineRule="auto"/>
        <w:tabs>
          <w:tab w:leader="none" w:pos="218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 (3)(a) thereof;</w:t>
      </w:r>
    </w:p>
    <w:p>
      <w:pPr>
        <w:spacing w:after="0" w:line="134" w:lineRule="exact"/>
        <w:rPr>
          <w:rFonts w:ascii="Arial" w:cs="Arial" w:eastAsia="Arial" w:hAnsi="Arial"/>
          <w:sz w:val="19"/>
          <w:szCs w:val="19"/>
          <w:color w:val="auto"/>
        </w:rPr>
      </w:pPr>
    </w:p>
    <w:p>
      <w:pPr>
        <w:ind w:left="780" w:right="100" w:firstLine="668"/>
        <w:spacing w:after="0" w:line="287" w:lineRule="auto"/>
        <w:tabs>
          <w:tab w:leader="none" w:pos="2159"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certificates and Opinion of Counsel required by item (3)(d) thereof, if applicable; or</w:t>
      </w:r>
    </w:p>
    <w:p>
      <w:pPr>
        <w:spacing w:after="0" w:line="143" w:lineRule="exact"/>
        <w:rPr>
          <w:rFonts w:ascii="Arial" w:cs="Arial" w:eastAsia="Arial" w:hAnsi="Arial"/>
          <w:sz w:val="19"/>
          <w:szCs w:val="19"/>
          <w:color w:val="auto"/>
        </w:rPr>
      </w:pPr>
    </w:p>
    <w:p>
      <w:pPr>
        <w:ind w:left="780" w:right="340" w:firstLine="668"/>
        <w:spacing w:after="0" w:line="328" w:lineRule="auto"/>
        <w:tabs>
          <w:tab w:leader="none" w:pos="214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such Restricted Physical Note is being transferred to the Issuer or a Subsidiary thereof, a certificate to the effect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 (3)(b) thereof,</w:t>
      </w:r>
    </w:p>
    <w:p>
      <w:pPr>
        <w:spacing w:after="0" w:line="105"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the Trustee shall cancel the Restricted Physical Note, and increase or cause to be increased the aggregate principal amount of the appropriate Restricted Global Note.</w:t>
      </w:r>
    </w:p>
    <w:p>
      <w:pPr>
        <w:spacing w:after="0" w:line="173" w:lineRule="exact"/>
        <w:rPr>
          <w:sz w:val="20"/>
          <w:szCs w:val="20"/>
          <w:color w:val="auto"/>
        </w:rPr>
      </w:pPr>
    </w:p>
    <w:p>
      <w:pPr>
        <w:ind w:firstLine="730"/>
        <w:spacing w:after="0" w:line="252" w:lineRule="auto"/>
        <w:tabs>
          <w:tab w:leader="none" w:pos="1421"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Restricted Physical Notes to Beneficial Interests in Unrestricted Global Notes</w:t>
      </w:r>
      <w:r>
        <w:rPr>
          <w:rFonts w:ascii="Arial" w:cs="Arial" w:eastAsia="Arial" w:hAnsi="Arial"/>
          <w:sz w:val="21"/>
          <w:szCs w:val="21"/>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174" w:lineRule="exact"/>
        <w:rPr>
          <w:rFonts w:ascii="Arial" w:cs="Arial" w:eastAsia="Arial" w:hAnsi="Arial"/>
          <w:sz w:val="21"/>
          <w:szCs w:val="21"/>
          <w:color w:val="auto"/>
        </w:rPr>
      </w:pPr>
    </w:p>
    <w:p>
      <w:pPr>
        <w:ind w:left="780" w:right="80" w:firstLine="668"/>
        <w:spacing w:after="0"/>
        <w:tabs>
          <w:tab w:leader="none" w:pos="2183" w:val="left"/>
        </w:tabs>
        <w:numPr>
          <w:ilvl w:val="1"/>
          <w:numId w:val="37"/>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Physical Note proposes to exchange such Restricted Physical Note for a beneficial interest in an Unrestricted Global Note, a certificate from such Holder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including the certifications in item (1)(b) thereof; or</w:t>
      </w:r>
    </w:p>
    <w:p>
      <w:pPr>
        <w:spacing w:after="0" w:line="186" w:lineRule="exact"/>
        <w:rPr>
          <w:rFonts w:ascii="Arial" w:cs="Arial" w:eastAsia="Arial" w:hAnsi="Arial"/>
          <w:sz w:val="22"/>
          <w:szCs w:val="22"/>
          <w:color w:val="auto"/>
        </w:rPr>
      </w:pPr>
    </w:p>
    <w:p>
      <w:pPr>
        <w:jc w:val="both"/>
        <w:ind w:left="780" w:right="140" w:firstLine="668"/>
        <w:spacing w:after="0"/>
        <w:tabs>
          <w:tab w:leader="none" w:pos="2171" w:val="left"/>
        </w:tabs>
        <w:numPr>
          <w:ilvl w:val="1"/>
          <w:numId w:val="37"/>
        </w:numPr>
        <w:rPr>
          <w:rFonts w:ascii="Arial" w:cs="Arial" w:eastAsia="Arial" w:hAnsi="Arial"/>
          <w:sz w:val="22"/>
          <w:szCs w:val="22"/>
          <w:color w:val="auto"/>
        </w:rPr>
      </w:pPr>
      <w:r>
        <w:rPr>
          <w:rFonts w:ascii="Arial" w:cs="Arial" w:eastAsia="Arial" w:hAnsi="Arial"/>
          <w:sz w:val="22"/>
          <w:szCs w:val="22"/>
          <w:color w:val="auto"/>
        </w:rPr>
        <w:t>if the Holder of such Restricted Physical Notes proposes to transfer such Restricted Physical Note to a Person who shall take delivery thereof in the form of a beneficial interest in an Unrestricted Global Note, a</w:t>
      </w:r>
    </w:p>
    <w:p>
      <w:pPr>
        <w:sectPr>
          <w:pgSz w:w="11900" w:h="16838" w:orient="portrait"/>
          <w:cols w:equalWidth="0" w:num="1">
            <w:col w:w="10320"/>
          </w:cols>
          <w:pgMar w:left="1100" w:top="415" w:right="47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p>
    <w:p>
      <w:pPr>
        <w:spacing w:after="0" w:line="233"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 xml:space="preserve">certificate from such Holder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(4) thereof,</w:t>
      </w:r>
    </w:p>
    <w:p>
      <w:pPr>
        <w:spacing w:after="0" w:line="206" w:lineRule="exact"/>
        <w:rPr>
          <w:sz w:val="20"/>
          <w:szCs w:val="20"/>
          <w:color w:val="auto"/>
        </w:rPr>
      </w:pPr>
    </w:p>
    <w:p>
      <w:pPr>
        <w:ind w:left="720"/>
        <w:spacing w:after="0" w:line="273" w:lineRule="auto"/>
        <w:rPr>
          <w:sz w:val="20"/>
          <w:szCs w:val="20"/>
          <w:color w:val="auto"/>
        </w:rPr>
      </w:pPr>
      <w:r>
        <w:rPr>
          <w:rFonts w:ascii="Arial" w:cs="Arial" w:eastAsia="Arial" w:hAnsi="Arial"/>
          <w:sz w:val="19"/>
          <w:szCs w:val="19"/>
          <w:color w:val="auto"/>
        </w:rPr>
        <w:t>and, in each such case, if the Registrar so requests or if the applicable rules and procedures of Euroclear or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156" w:lineRule="exact"/>
        <w:rPr>
          <w:sz w:val="20"/>
          <w:szCs w:val="20"/>
          <w:color w:val="auto"/>
        </w:rPr>
      </w:pPr>
    </w:p>
    <w:p>
      <w:pPr>
        <w:ind w:left="600" w:right="120" w:firstLine="730"/>
        <w:spacing w:after="0" w:line="244" w:lineRule="auto"/>
        <w:tabs>
          <w:tab w:leader="none" w:pos="2081"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Unrestricted Physical Notes to Beneficial Interests in Unrestricted Global Notes</w:t>
      </w:r>
      <w:r>
        <w:rPr>
          <w:rFonts w:ascii="Arial" w:cs="Arial" w:eastAsia="Arial" w:hAnsi="Arial"/>
          <w:sz w:val="21"/>
          <w:szCs w:val="21"/>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189" w:lineRule="exact"/>
        <w:rPr>
          <w:rFonts w:ascii="Arial" w:cs="Arial" w:eastAsia="Arial" w:hAnsi="Arial"/>
          <w:sz w:val="21"/>
          <w:szCs w:val="21"/>
          <w:color w:val="auto"/>
        </w:rPr>
      </w:pPr>
    </w:p>
    <w:p>
      <w:pPr>
        <w:ind w:left="600" w:right="640" w:firstLine="730"/>
        <w:spacing w:after="0"/>
        <w:tabs>
          <w:tab w:leader="none" w:pos="2069"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Unrestricted Physical Notes to Beneficial Interests in Restricted Global Notes</w:t>
      </w:r>
      <w:r>
        <w:rPr>
          <w:rFonts w:ascii="Arial" w:cs="Arial" w:eastAsia="Arial" w:hAnsi="Arial"/>
          <w:sz w:val="22"/>
          <w:szCs w:val="22"/>
          <w:color w:val="auto"/>
        </w:rPr>
        <w:t>. An Unrestricted Physical Note cannot be exchanged for, or transferred to a Person who takes delivery thereof in the form of, a beneficial interest in a Restricted Global Note.</w:t>
      </w:r>
    </w:p>
    <w:p>
      <w:pPr>
        <w:spacing w:after="0" w:line="186" w:lineRule="exact"/>
        <w:rPr>
          <w:rFonts w:ascii="Arial" w:cs="Arial" w:eastAsia="Arial" w:hAnsi="Arial"/>
          <w:sz w:val="22"/>
          <w:szCs w:val="22"/>
          <w:color w:val="auto"/>
        </w:rPr>
      </w:pPr>
    </w:p>
    <w:p>
      <w:pPr>
        <w:ind w:left="-60" w:right="60" w:firstLine="1436"/>
        <w:spacing w:after="0" w:line="238" w:lineRule="auto"/>
        <w:tabs>
          <w:tab w:leader="none" w:pos="2045"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Physical Notes for Physical Notes</w:t>
      </w:r>
      <w:r>
        <w:rPr>
          <w:rFonts w:ascii="Arial" w:cs="Arial" w:eastAsia="Arial" w:hAnsi="Arial"/>
          <w:sz w:val="22"/>
          <w:szCs w:val="22"/>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w:t>
      </w:r>
    </w:p>
    <w:p>
      <w:pPr>
        <w:sectPr>
          <w:pgSz w:w="11900" w:h="16838" w:orient="portrait"/>
          <w:cols w:equalWidth="0" w:num="1">
            <w:col w:w="10920"/>
          </w:cols>
          <w:pgMar w:left="500" w:top="415" w:right="47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w:t>
      </w:r>
    </w:p>
    <w:p>
      <w:pPr>
        <w:spacing w:after="0" w:line="233"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185" w:lineRule="exact"/>
        <w:rPr>
          <w:sz w:val="20"/>
          <w:szCs w:val="20"/>
          <w:color w:val="auto"/>
        </w:rPr>
      </w:pPr>
    </w:p>
    <w:p>
      <w:pPr>
        <w:ind w:left="660" w:right="80" w:firstLine="730"/>
        <w:spacing w:after="0"/>
        <w:tabs>
          <w:tab w:leader="none" w:pos="202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Restricted Physical Notes to Restricted Physical Notes</w:t>
      </w:r>
      <w:r>
        <w:rPr>
          <w:rFonts w:ascii="Arial" w:cs="Arial" w:eastAsia="Arial" w:hAnsi="Arial"/>
          <w:sz w:val="22"/>
          <w:szCs w:val="22"/>
          <w:color w:val="auto"/>
        </w:rPr>
        <w:t>. A Restricted Physical Note may be transferred to and registered in the name of a Person who takes delivery thereof in the form of a Restricted Physical Note if the Registrar receives the following:</w:t>
      </w:r>
    </w:p>
    <w:p>
      <w:pPr>
        <w:spacing w:after="0" w:line="186" w:lineRule="exact"/>
        <w:rPr>
          <w:rFonts w:ascii="Arial" w:cs="Arial" w:eastAsia="Arial" w:hAnsi="Arial"/>
          <w:sz w:val="22"/>
          <w:szCs w:val="22"/>
          <w:color w:val="auto"/>
        </w:rPr>
      </w:pPr>
    </w:p>
    <w:p>
      <w:pPr>
        <w:ind w:left="1440" w:right="40" w:firstLine="572"/>
        <w:spacing w:after="0" w:line="328" w:lineRule="auto"/>
        <w:tabs>
          <w:tab w:leader="none" w:pos="2747" w:val="left"/>
        </w:tabs>
        <w:numPr>
          <w:ilvl w:val="2"/>
          <w:numId w:val="39"/>
        </w:numPr>
        <w:rPr>
          <w:rFonts w:ascii="Arial" w:cs="Arial" w:eastAsia="Arial" w:hAnsi="Arial"/>
          <w:sz w:val="19"/>
          <w:szCs w:val="19"/>
          <w:color w:val="auto"/>
        </w:rPr>
      </w:pPr>
      <w:r>
        <w:rPr>
          <w:rFonts w:ascii="Arial" w:cs="Arial" w:eastAsia="Arial" w:hAnsi="Arial"/>
          <w:sz w:val="19"/>
          <w:szCs w:val="19"/>
          <w:color w:val="auto"/>
        </w:rPr>
        <w:t xml:space="preserve">if the transfer will be made pursuant to Rule 144A under the Securities Act, then the transferor must deliver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 (1) thereof;</w:t>
      </w:r>
    </w:p>
    <w:p>
      <w:pPr>
        <w:spacing w:after="0" w:line="105" w:lineRule="exact"/>
        <w:rPr>
          <w:rFonts w:ascii="Arial" w:cs="Arial" w:eastAsia="Arial" w:hAnsi="Arial"/>
          <w:sz w:val="19"/>
          <w:szCs w:val="19"/>
          <w:color w:val="auto"/>
        </w:rPr>
      </w:pPr>
    </w:p>
    <w:p>
      <w:pPr>
        <w:ind w:left="1440" w:right="20" w:firstLine="572"/>
        <w:spacing w:after="0" w:line="328" w:lineRule="auto"/>
        <w:tabs>
          <w:tab w:leader="none" w:pos="2736" w:val="left"/>
        </w:tabs>
        <w:numPr>
          <w:ilvl w:val="2"/>
          <w:numId w:val="39"/>
        </w:numPr>
        <w:rPr>
          <w:rFonts w:ascii="Arial" w:cs="Arial" w:eastAsia="Arial" w:hAnsi="Arial"/>
          <w:sz w:val="19"/>
          <w:szCs w:val="19"/>
          <w:color w:val="auto"/>
        </w:rPr>
      </w:pPr>
      <w:r>
        <w:rPr>
          <w:rFonts w:ascii="Arial" w:cs="Arial" w:eastAsia="Arial" w:hAnsi="Arial"/>
          <w:sz w:val="19"/>
          <w:szCs w:val="19"/>
          <w:color w:val="auto"/>
        </w:rPr>
        <w:t xml:space="preserve">if the transfer will be made pursuant to Rule 903 or Rule 904 under the Securities Act, then the transferor must deliver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including the certifications in item (2) thereof;</w:t>
      </w:r>
    </w:p>
    <w:p>
      <w:pPr>
        <w:spacing w:after="0" w:line="105" w:lineRule="exact"/>
        <w:rPr>
          <w:rFonts w:ascii="Arial" w:cs="Arial" w:eastAsia="Arial" w:hAnsi="Arial"/>
          <w:sz w:val="19"/>
          <w:szCs w:val="19"/>
          <w:color w:val="auto"/>
        </w:rPr>
      </w:pPr>
    </w:p>
    <w:p>
      <w:pPr>
        <w:ind w:left="1440" w:right="80" w:firstLine="572"/>
        <w:spacing w:after="0"/>
        <w:tabs>
          <w:tab w:leader="none" w:pos="2736" w:val="left"/>
        </w:tabs>
        <w:numPr>
          <w:ilvl w:val="2"/>
          <w:numId w:val="39"/>
        </w:numPr>
        <w:rPr>
          <w:rFonts w:ascii="Arial" w:cs="Arial" w:eastAsia="Arial" w:hAnsi="Arial"/>
          <w:sz w:val="22"/>
          <w:szCs w:val="22"/>
          <w:color w:val="auto"/>
        </w:rPr>
      </w:pPr>
      <w:r>
        <w:rPr>
          <w:rFonts w:ascii="Arial" w:cs="Arial" w:eastAsia="Arial" w:hAnsi="Arial"/>
          <w:sz w:val="22"/>
          <w:szCs w:val="22"/>
          <w:color w:val="auto"/>
        </w:rPr>
        <w:t xml:space="preserve">if the transfer will be made pursuant to an exemption from the registration requirements of the Securities Act in accordance with Rule 144 under the Securities Act, a certificate to the effect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(3)(a) thereof;</w:t>
      </w:r>
    </w:p>
    <w:p>
      <w:pPr>
        <w:spacing w:after="0" w:line="186" w:lineRule="exact"/>
        <w:rPr>
          <w:rFonts w:ascii="Arial" w:cs="Arial" w:eastAsia="Arial" w:hAnsi="Arial"/>
          <w:sz w:val="22"/>
          <w:szCs w:val="22"/>
          <w:color w:val="auto"/>
        </w:rPr>
      </w:pPr>
    </w:p>
    <w:p>
      <w:pPr>
        <w:ind w:left="1440" w:right="80" w:firstLine="572"/>
        <w:spacing w:after="0" w:line="276" w:lineRule="auto"/>
        <w:tabs>
          <w:tab w:leader="none" w:pos="2747" w:val="left"/>
        </w:tabs>
        <w:numPr>
          <w:ilvl w:val="2"/>
          <w:numId w:val="39"/>
        </w:numPr>
        <w:rPr>
          <w:rFonts w:ascii="Arial" w:cs="Arial" w:eastAsia="Arial" w:hAnsi="Arial"/>
          <w:sz w:val="19"/>
          <w:szCs w:val="19"/>
          <w:color w:val="auto"/>
        </w:rPr>
      </w:pPr>
      <w:r>
        <w:rPr>
          <w:rFonts w:ascii="Arial" w:cs="Arial" w:eastAsia="Arial" w:hAnsi="Arial"/>
          <w:sz w:val="19"/>
          <w:szCs w:val="19"/>
          <w:color w:val="auto"/>
        </w:rPr>
        <w:t>if the transfer will be made to an Institutional Accredited Investor in reliance on an exemption from the registration requirements of the Securities Act other than those listed in subparagraphs (A) through</w:t>
      </w:r>
    </w:p>
    <w:p>
      <w:pPr>
        <w:spacing w:after="0" w:line="1" w:lineRule="exact"/>
        <w:rPr>
          <w:rFonts w:ascii="Arial" w:cs="Arial" w:eastAsia="Arial" w:hAnsi="Arial"/>
          <w:sz w:val="19"/>
          <w:szCs w:val="19"/>
          <w:color w:val="auto"/>
        </w:rPr>
      </w:pPr>
    </w:p>
    <w:p>
      <w:pPr>
        <w:ind w:left="1440" w:hanging="4"/>
        <w:spacing w:after="0" w:line="237" w:lineRule="auto"/>
        <w:tabs>
          <w:tab w:leader="none" w:pos="1782"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above, a certificate to the effect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certificates and Opinion of Counsel required by item (3)(d) thereof, if applicable; and</w:t>
      </w:r>
    </w:p>
    <w:p>
      <w:pPr>
        <w:spacing w:after="0" w:line="184" w:lineRule="exact"/>
        <w:rPr>
          <w:rFonts w:ascii="Arial" w:cs="Arial" w:eastAsia="Arial" w:hAnsi="Arial"/>
          <w:sz w:val="22"/>
          <w:szCs w:val="22"/>
          <w:color w:val="auto"/>
        </w:rPr>
      </w:pPr>
    </w:p>
    <w:p>
      <w:pPr>
        <w:ind w:left="1440" w:right="140" w:firstLine="572"/>
        <w:spacing w:after="0" w:line="251" w:lineRule="auto"/>
        <w:tabs>
          <w:tab w:leader="none" w:pos="2723" w:val="left"/>
        </w:tabs>
        <w:numPr>
          <w:ilvl w:val="2"/>
          <w:numId w:val="40"/>
        </w:numPr>
        <w:rPr>
          <w:rFonts w:ascii="Arial" w:cs="Arial" w:eastAsia="Arial" w:hAnsi="Arial"/>
          <w:sz w:val="22"/>
          <w:szCs w:val="22"/>
          <w:color w:val="auto"/>
        </w:rPr>
      </w:pPr>
      <w:r>
        <w:rPr>
          <w:rFonts w:ascii="Arial" w:cs="Arial" w:eastAsia="Arial" w:hAnsi="Arial"/>
          <w:sz w:val="22"/>
          <w:szCs w:val="22"/>
          <w:color w:val="auto"/>
        </w:rPr>
        <w:t xml:space="preserve">if such transfer will be made to the Issuer or a Subsidiary thereof, a certificate to the effect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(3)(b) thereof.</w:t>
      </w:r>
    </w:p>
    <w:p>
      <w:pPr>
        <w:spacing w:after="0" w:line="173" w:lineRule="exact"/>
        <w:rPr>
          <w:rFonts w:ascii="Arial" w:cs="Arial" w:eastAsia="Arial" w:hAnsi="Arial"/>
          <w:sz w:val="22"/>
          <w:szCs w:val="22"/>
          <w:color w:val="auto"/>
        </w:rPr>
      </w:pPr>
    </w:p>
    <w:p>
      <w:pPr>
        <w:jc w:val="both"/>
        <w:ind w:left="660" w:right="600" w:firstLine="730"/>
        <w:spacing w:after="0" w:line="297" w:lineRule="auto"/>
        <w:tabs>
          <w:tab w:leader="none" w:pos="208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Restricted Physical Notes to Unrestricted Physical Notes</w:t>
      </w:r>
      <w:r>
        <w:rPr>
          <w:rFonts w:ascii="Arial" w:cs="Arial" w:eastAsia="Arial" w:hAnsi="Arial"/>
          <w:sz w:val="19"/>
          <w:szCs w:val="19"/>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134" w:lineRule="exact"/>
        <w:rPr>
          <w:sz w:val="20"/>
          <w:szCs w:val="20"/>
          <w:color w:val="auto"/>
        </w:rPr>
      </w:pPr>
    </w:p>
    <w:p>
      <w:pPr>
        <w:ind w:left="1440" w:right="60" w:firstLine="572"/>
        <w:spacing w:after="0"/>
        <w:tabs>
          <w:tab w:leader="none" w:pos="2699"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Physical Note proposes to exchange such Restricted Physical Note for an Unrestricted Physical Note, a certificate from such Holder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including the certifications in item (1)(c) thereof; or</w:t>
      </w:r>
    </w:p>
    <w:p>
      <w:pPr>
        <w:sectPr>
          <w:pgSz w:w="11900" w:h="16838" w:orient="portrait"/>
          <w:cols w:equalWidth="0" w:num="1">
            <w:col w:w="10960"/>
          </w:cols>
          <w:pgMar w:left="440" w:top="415" w:right="49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w:t>
      </w:r>
    </w:p>
    <w:p>
      <w:pPr>
        <w:spacing w:after="0" w:line="233" w:lineRule="exact"/>
        <w:rPr>
          <w:sz w:val="20"/>
          <w:szCs w:val="20"/>
          <w:color w:val="auto"/>
        </w:rPr>
      </w:pPr>
    </w:p>
    <w:p>
      <w:pPr>
        <w:ind w:left="1400" w:firstLine="668"/>
        <w:spacing w:after="0"/>
        <w:tabs>
          <w:tab w:leader="none" w:pos="2755"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the certifications in item (4) thereof,</w:t>
      </w:r>
    </w:p>
    <w:p>
      <w:pPr>
        <w:spacing w:after="0" w:line="186" w:lineRule="exact"/>
        <w:rPr>
          <w:sz w:val="20"/>
          <w:szCs w:val="20"/>
          <w:color w:val="auto"/>
        </w:rPr>
      </w:pPr>
    </w:p>
    <w:p>
      <w:pPr>
        <w:jc w:val="both"/>
        <w:ind w:left="620" w:right="80"/>
        <w:spacing w:after="0" w:line="238" w:lineRule="auto"/>
        <w:rPr>
          <w:sz w:val="20"/>
          <w:szCs w:val="20"/>
          <w:color w:val="auto"/>
        </w:rPr>
      </w:pPr>
      <w:r>
        <w:rPr>
          <w:rFonts w:ascii="Arial" w:cs="Arial" w:eastAsia="Arial" w:hAnsi="Arial"/>
          <w:sz w:val="22"/>
          <w:szCs w:val="22"/>
          <w:color w:val="auto"/>
        </w:rPr>
        <w:t>and, in each such case,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5" w:lineRule="exact"/>
        <w:rPr>
          <w:sz w:val="20"/>
          <w:szCs w:val="20"/>
          <w:color w:val="auto"/>
        </w:rPr>
      </w:pPr>
    </w:p>
    <w:p>
      <w:pPr>
        <w:ind w:left="620" w:right="60" w:firstLine="730"/>
        <w:spacing w:after="0" w:line="252" w:lineRule="auto"/>
        <w:tabs>
          <w:tab w:leader="none" w:pos="2101"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Unrestricted Physical Notes to Unrestricted Physical Notes</w:t>
      </w:r>
      <w:r>
        <w:rPr>
          <w:rFonts w:ascii="Arial" w:cs="Arial" w:eastAsia="Arial" w:hAnsi="Arial"/>
          <w:sz w:val="21"/>
          <w:szCs w:val="21"/>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174" w:lineRule="exact"/>
        <w:rPr>
          <w:rFonts w:ascii="Arial" w:cs="Arial" w:eastAsia="Arial" w:hAnsi="Arial"/>
          <w:sz w:val="21"/>
          <w:szCs w:val="21"/>
          <w:color w:val="auto"/>
        </w:rPr>
      </w:pPr>
    </w:p>
    <w:p>
      <w:pPr>
        <w:ind w:left="620" w:right="300" w:firstLine="730"/>
        <w:spacing w:after="0" w:line="328" w:lineRule="auto"/>
        <w:tabs>
          <w:tab w:leader="none" w:pos="208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Unrestricted Physical Notes to Restricted Physical Notes</w:t>
      </w:r>
      <w:r>
        <w:rPr>
          <w:rFonts w:ascii="Arial" w:cs="Arial" w:eastAsia="Arial" w:hAnsi="Arial"/>
          <w:sz w:val="19"/>
          <w:szCs w:val="19"/>
          <w:color w:val="auto"/>
        </w:rPr>
        <w:t>. An Unrestricted Physical Note cannot be exchanged for, or transferred to a Person who takes delivery thereof in the form of, a Restricted Physical Note.</w:t>
      </w:r>
    </w:p>
    <w:p>
      <w:pPr>
        <w:spacing w:after="0" w:line="105" w:lineRule="exact"/>
        <w:rPr>
          <w:rFonts w:ascii="Arial" w:cs="Arial" w:eastAsia="Arial" w:hAnsi="Arial"/>
          <w:sz w:val="19"/>
          <w:szCs w:val="19"/>
          <w:color w:val="auto"/>
        </w:rPr>
      </w:pPr>
    </w:p>
    <w:p>
      <w:pPr>
        <w:ind w:left="-40" w:firstLine="1436"/>
        <w:spacing w:after="0" w:line="273" w:lineRule="auto"/>
        <w:tabs>
          <w:tab w:leader="none" w:pos="2041"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Cancellation and/or Adjustment of Global Notes</w:t>
      </w:r>
      <w:r>
        <w:rPr>
          <w:rFonts w:ascii="Arial" w:cs="Arial" w:eastAsia="Arial" w:hAnsi="Arial"/>
          <w:sz w:val="19"/>
          <w:szCs w:val="19"/>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w:t>
      </w:r>
    </w:p>
    <w:p>
      <w:pPr>
        <w:spacing w:after="0" w:line="161" w:lineRule="exact"/>
        <w:rPr>
          <w:rFonts w:ascii="Arial" w:cs="Arial" w:eastAsia="Arial" w:hAnsi="Arial"/>
          <w:sz w:val="19"/>
          <w:szCs w:val="19"/>
          <w:color w:val="auto"/>
        </w:rPr>
      </w:pPr>
    </w:p>
    <w:p>
      <w:pPr>
        <w:ind w:left="-40" w:firstLine="1436"/>
        <w:spacing w:after="0" w:line="235" w:lineRule="auto"/>
        <w:tabs>
          <w:tab w:leader="none" w:pos="2077"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Private Placement Legend</w:t>
      </w:r>
      <w:r>
        <w:rPr>
          <w:rFonts w:ascii="Arial" w:cs="Arial" w:eastAsia="Arial" w:hAnsi="Arial"/>
          <w:sz w:val="22"/>
          <w:szCs w:val="22"/>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w:t>
      </w:r>
    </w:p>
    <w:p>
      <w:pPr>
        <w:sectPr>
          <w:pgSz w:w="11900" w:h="16838" w:orient="portrait"/>
          <w:cols w:equalWidth="0" w:num="1">
            <w:col w:w="10940"/>
          </w:cols>
          <w:pgMar w:left="480" w:top="415" w:right="47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-38-</w:t>
      </w:r>
    </w:p>
    <w:p>
      <w:pPr>
        <w:spacing w:after="0" w:line="23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86" w:lineRule="exact"/>
        <w:rPr>
          <w:sz w:val="20"/>
          <w:szCs w:val="20"/>
          <w:color w:val="auto"/>
        </w:rPr>
      </w:pPr>
    </w:p>
    <w:p>
      <w:pPr>
        <w:jc w:val="both"/>
        <w:ind w:firstLine="1436"/>
        <w:spacing w:after="0" w:line="297" w:lineRule="auto"/>
        <w:tabs>
          <w:tab w:leader="none" w:pos="211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34" w:lineRule="exact"/>
        <w:rPr>
          <w:sz w:val="20"/>
          <w:szCs w:val="20"/>
          <w:color w:val="auto"/>
        </w:rPr>
      </w:pPr>
    </w:p>
    <w:p>
      <w:pPr>
        <w:ind w:right="180" w:firstLine="1433"/>
        <w:spacing w:after="0" w:line="238" w:lineRule="auto"/>
        <w:rPr>
          <w:sz w:val="20"/>
          <w:szCs w:val="20"/>
          <w:color w:val="auto"/>
        </w:rPr>
      </w:pPr>
      <w:r>
        <w:rPr>
          <w:rFonts w:ascii="Arial" w:cs="Arial" w:eastAsia="Arial" w:hAnsi="Arial"/>
          <w:sz w:val="22"/>
          <w:szCs w:val="22"/>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Computation of Interest</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Interest on the Notes shall be computed on the basis of a 360-day year of twelve 30-day months and actual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days elapsed.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Election To Redeem; Notices to Trustee</w:t>
      </w:r>
      <w:r>
        <w:rPr>
          <w:rFonts w:ascii="Arial" w:cs="Arial" w:eastAsia="Arial" w:hAnsi="Arial"/>
          <w:sz w:val="19"/>
          <w:szCs w:val="19"/>
          <w:color w:val="auto"/>
        </w:rPr>
        <w:t>.</w:t>
      </w:r>
    </w:p>
    <w:p>
      <w:pPr>
        <w:spacing w:after="0" w:line="206" w:lineRule="exact"/>
        <w:rPr>
          <w:sz w:val="20"/>
          <w:szCs w:val="20"/>
          <w:color w:val="auto"/>
        </w:rPr>
      </w:pPr>
    </w:p>
    <w:p>
      <w:pPr>
        <w:ind w:right="120" w:firstLine="1433"/>
        <w:spacing w:after="0" w:line="234" w:lineRule="auto"/>
        <w:rPr>
          <w:sz w:val="20"/>
          <w:szCs w:val="20"/>
          <w:color w:val="auto"/>
        </w:rPr>
      </w:pPr>
      <w:r>
        <w:rPr>
          <w:rFonts w:ascii="Arial" w:cs="Arial" w:eastAsia="Arial" w:hAnsi="Arial"/>
          <w:sz w:val="22"/>
          <w:szCs w:val="22"/>
          <w:color w:val="auto"/>
        </w:rPr>
        <w:t>If the Issuer elects to redeem Notes pursuant to paragraph 5 or 6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or 6 of the Notes. Except as provided in Section 3.04, notice given to the Trustee pursuant to this Section 3.01 may not be revoked after the time that notice is given to Noteholders pursuant to Section 3.03.</w:t>
      </w:r>
    </w:p>
    <w:p>
      <w:pPr>
        <w:spacing w:after="0" w:line="21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u w:val="single" w:color="auto"/>
          <w:color w:val="auto"/>
        </w:rPr>
        <w:t>Selection by Trustee of Notes To Be Redeemed</w:t>
      </w:r>
      <w:r>
        <w:rPr>
          <w:rFonts w:ascii="Arial" w:cs="Arial" w:eastAsia="Arial" w:hAnsi="Arial"/>
          <w:sz w:val="19"/>
          <w:szCs w:val="19"/>
          <w:color w:val="auto"/>
        </w:rPr>
        <w:t>.</w:t>
      </w:r>
    </w:p>
    <w:p>
      <w:pPr>
        <w:spacing w:after="0" w:line="206" w:lineRule="exact"/>
        <w:rPr>
          <w:sz w:val="20"/>
          <w:szCs w:val="20"/>
          <w:color w:val="auto"/>
        </w:rPr>
      </w:pPr>
    </w:p>
    <w:p>
      <w:pPr>
        <w:ind w:right="200" w:firstLine="1433"/>
        <w:spacing w:after="0" w:line="297" w:lineRule="auto"/>
        <w:rPr>
          <w:sz w:val="20"/>
          <w:szCs w:val="20"/>
          <w:color w:val="auto"/>
        </w:rPr>
      </w:pPr>
      <w:r>
        <w:rPr>
          <w:rFonts w:ascii="Arial" w:cs="Arial" w:eastAsia="Arial" w:hAnsi="Arial"/>
          <w:sz w:val="19"/>
          <w:szCs w:val="19"/>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Notes with a principal</w:t>
      </w:r>
    </w:p>
    <w:p>
      <w:pPr>
        <w:sectPr>
          <w:pgSz w:w="11900" w:h="16838" w:orient="portrait"/>
          <w:cols w:equalWidth="0" w:num="1">
            <w:col w:w="11020"/>
          </w:cols>
          <w:pgMar w:left="440" w:top="415" w:right="4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w:t>
      </w:r>
    </w:p>
    <w:p>
      <w:pPr>
        <w:spacing w:after="0" w:line="23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amount of €100,000 or less shall be redeemed in part. For all purposes of this Indenture unless the context otherwise requires, provisions of this Indenture that apply to the Notes called for redemption also apply to portions of Notes called for redemption.</w:t>
      </w:r>
    </w:p>
    <w:p>
      <w:pPr>
        <w:spacing w:after="0" w:line="1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06" w:lineRule="exact"/>
        <w:rPr>
          <w:sz w:val="20"/>
          <w:szCs w:val="20"/>
          <w:color w:val="auto"/>
        </w:rPr>
      </w:pPr>
    </w:p>
    <w:p>
      <w:pPr>
        <w:ind w:right="300" w:firstLine="1433"/>
        <w:spacing w:after="0" w:line="297" w:lineRule="auto"/>
        <w:rPr>
          <w:sz w:val="20"/>
          <w:szCs w:val="20"/>
          <w:color w:val="auto"/>
        </w:rPr>
      </w:pPr>
      <w:r>
        <w:rPr>
          <w:rFonts w:ascii="Arial" w:cs="Arial" w:eastAsia="Arial" w:hAnsi="Arial"/>
          <w:sz w:val="19"/>
          <w:szCs w:val="19"/>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34"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The notice shall identify the Notes to be redeemed (including the CUSIP, ISIN and/or Common Code numbers thereof) and shall state:</w:t>
      </w:r>
    </w:p>
    <w:p>
      <w:pPr>
        <w:spacing w:after="0" w:line="173" w:lineRule="exact"/>
        <w:rPr>
          <w:sz w:val="20"/>
          <w:szCs w:val="20"/>
          <w:color w:val="auto"/>
        </w:rPr>
      </w:pPr>
    </w:p>
    <w:p>
      <w:pPr>
        <w:ind w:left="2080" w:hanging="690"/>
        <w:spacing w:after="0"/>
        <w:tabs>
          <w:tab w:leader="none" w:pos="2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redemption price and the amount of premium and accrued interest to be paid;</w:t>
      </w:r>
    </w:p>
    <w:p>
      <w:pPr>
        <w:spacing w:after="0" w:line="206" w:lineRule="exact"/>
        <w:rPr>
          <w:rFonts w:ascii="Arial" w:cs="Arial" w:eastAsia="Arial" w:hAnsi="Arial"/>
          <w:sz w:val="22"/>
          <w:szCs w:val="22"/>
          <w:color w:val="auto"/>
        </w:rPr>
      </w:pPr>
    </w:p>
    <w:p>
      <w:pPr>
        <w:jc w:val="both"/>
        <w:ind w:left="660" w:firstLine="730"/>
        <w:spacing w:after="0"/>
        <w:tabs>
          <w:tab w:leader="none" w:pos="20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186" w:lineRule="exact"/>
        <w:rPr>
          <w:rFonts w:ascii="Arial" w:cs="Arial" w:eastAsia="Arial" w:hAnsi="Arial"/>
          <w:sz w:val="22"/>
          <w:szCs w:val="22"/>
          <w:color w:val="auto"/>
        </w:rPr>
      </w:pPr>
    </w:p>
    <w:p>
      <w:pPr>
        <w:ind w:left="2080" w:hanging="690"/>
        <w:spacing w:after="0"/>
        <w:tabs>
          <w:tab w:leader="none" w:pos="2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that Notes called for redemption must be surrendered to the Paying Agent to collect the redemption</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price;</w:t>
      </w:r>
    </w:p>
    <w:p>
      <w:pPr>
        <w:spacing w:after="0" w:line="188" w:lineRule="exact"/>
        <w:rPr>
          <w:rFonts w:ascii="Arial" w:cs="Arial" w:eastAsia="Arial" w:hAnsi="Arial"/>
          <w:sz w:val="19"/>
          <w:szCs w:val="19"/>
          <w:color w:val="auto"/>
        </w:rPr>
      </w:pPr>
    </w:p>
    <w:p>
      <w:pPr>
        <w:ind w:left="660" w:right="860" w:firstLine="730"/>
        <w:spacing w:after="0" w:line="251" w:lineRule="auto"/>
        <w:tabs>
          <w:tab w:leader="none" w:pos="20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that unless the Issuer defaults in making the redemption payment, interest on Notes called for redemption ceases to accrue on and after the Redemption Date;</w:t>
      </w:r>
    </w:p>
    <w:p>
      <w:pPr>
        <w:spacing w:after="0" w:line="173" w:lineRule="exact"/>
        <w:rPr>
          <w:rFonts w:ascii="Arial" w:cs="Arial" w:eastAsia="Arial" w:hAnsi="Arial"/>
          <w:sz w:val="22"/>
          <w:szCs w:val="22"/>
          <w:color w:val="auto"/>
        </w:rPr>
      </w:pPr>
    </w:p>
    <w:p>
      <w:pPr>
        <w:ind w:left="660" w:right="300" w:firstLine="730"/>
        <w:spacing w:after="0" w:line="251" w:lineRule="auto"/>
        <w:tabs>
          <w:tab w:leader="none" w:pos="20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that paragraph 5 or paragraph 6 of the Notes, as applicable, is the provision of the Notes pursuant to which the redemption is occurring; and</w:t>
      </w:r>
    </w:p>
    <w:p>
      <w:pPr>
        <w:spacing w:after="0" w:line="173" w:lineRule="exact"/>
        <w:rPr>
          <w:rFonts w:ascii="Arial" w:cs="Arial" w:eastAsia="Arial" w:hAnsi="Arial"/>
          <w:sz w:val="22"/>
          <w:szCs w:val="22"/>
          <w:color w:val="auto"/>
        </w:rPr>
      </w:pPr>
    </w:p>
    <w:p>
      <w:pPr>
        <w:ind w:left="2080" w:hanging="690"/>
        <w:spacing w:after="0"/>
        <w:tabs>
          <w:tab w:leader="none" w:pos="2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aggregate principal amount of such Notes that are being redeemed.</w:t>
      </w:r>
    </w:p>
    <w:p>
      <w:pPr>
        <w:spacing w:after="0" w:line="206" w:lineRule="exact"/>
        <w:rPr>
          <w:sz w:val="20"/>
          <w:szCs w:val="20"/>
          <w:color w:val="auto"/>
        </w:rPr>
      </w:pPr>
    </w:p>
    <w:p>
      <w:pPr>
        <w:ind w:firstLine="1433"/>
        <w:spacing w:after="0"/>
        <w:rPr>
          <w:sz w:val="20"/>
          <w:szCs w:val="20"/>
          <w:color w:val="auto"/>
        </w:rPr>
      </w:pPr>
      <w:r>
        <w:rPr>
          <w:rFonts w:ascii="Arial" w:cs="Arial" w:eastAsia="Arial" w:hAnsi="Arial"/>
          <w:sz w:val="22"/>
          <w:szCs w:val="22"/>
          <w:color w:val="auto"/>
        </w:rPr>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186"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For Notes which are represented by global certificates held on behalf of Euroclear or Clearstream, notices may be given by delivery of the relevant notices to Euroclear or</w:t>
      </w:r>
    </w:p>
    <w:p>
      <w:pPr>
        <w:sectPr>
          <w:pgSz w:w="11900" w:h="16838" w:orient="portrait"/>
          <w:cols w:equalWidth="0" w:num="1">
            <w:col w:w="11000"/>
          </w:cols>
          <w:pgMar w:left="440" w:top="415" w:right="4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w:t>
      </w:r>
    </w:p>
    <w:p>
      <w:pPr>
        <w:spacing w:after="0" w:line="23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Clearstream for communication to entitled account holders in substitution for the aforesaid mailing. So long as any Notes are listed on the Official List of the Luxembourg Stock Exchange and admitted for trading on the Euro MTF Market,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Issuer will notify the Luxembourg Stock Exchange of any change in the principal amount of Notes outstanding.</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73" w:lineRule="auto"/>
        <w:rPr>
          <w:sz w:val="20"/>
          <w:szCs w:val="20"/>
          <w:color w:val="auto"/>
        </w:rPr>
      </w:pPr>
      <w:r>
        <w:rPr>
          <w:rFonts w:ascii="Arial" w:cs="Arial" w:eastAsia="Arial" w:hAnsi="Arial"/>
          <w:sz w:val="19"/>
          <w:szCs w:val="19"/>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redemption and notice thereof pursuant to this Indenture may, in the Issuer’s discretion, be subject to the satisfaction of one 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a Redemption Date is a Legal Holiday, payment shall be made on the next succeeding Business Day and no interest shall accrue for the period from such Redemption Date to such succeeding Business Day.</w:t>
      </w:r>
    </w:p>
    <w:p>
      <w:pPr>
        <w:spacing w:after="0" w:line="18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w:t>
      </w:r>
    </w:p>
    <w:p>
      <w:pPr>
        <w:spacing w:after="0" w:line="206" w:lineRule="exact"/>
        <w:rPr>
          <w:sz w:val="20"/>
          <w:szCs w:val="20"/>
          <w:color w:val="auto"/>
        </w:rPr>
      </w:pPr>
    </w:p>
    <w:p>
      <w:pPr>
        <w:jc w:val="both"/>
        <w:ind w:right="120" w:firstLine="1433"/>
        <w:spacing w:after="0" w:line="238" w:lineRule="auto"/>
        <w:rPr>
          <w:sz w:val="20"/>
          <w:szCs w:val="20"/>
          <w:color w:val="auto"/>
        </w:rPr>
      </w:pPr>
      <w:r>
        <w:rPr>
          <w:rFonts w:ascii="Arial" w:cs="Arial" w:eastAsia="Arial" w:hAnsi="Arial"/>
          <w:sz w:val="22"/>
          <w:szCs w:val="22"/>
          <w:color w:val="auto"/>
        </w:rPr>
        <w:t>Prior to 10:00 A.M., London time, one Business Day prior to each Redemption Date, the Issuer shall deposit with the Paying Agent Euros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85" w:lineRule="exact"/>
        <w:rPr>
          <w:sz w:val="20"/>
          <w:szCs w:val="20"/>
          <w:color w:val="auto"/>
        </w:rPr>
      </w:pPr>
    </w:p>
    <w:p>
      <w:pPr>
        <w:ind w:firstLine="1433"/>
        <w:spacing w:after="0" w:line="234" w:lineRule="auto"/>
        <w:rPr>
          <w:sz w:val="20"/>
          <w:szCs w:val="20"/>
          <w:color w:val="auto"/>
        </w:rPr>
      </w:pPr>
      <w:r>
        <w:rPr>
          <w:rFonts w:ascii="Arial" w:cs="Arial" w:eastAsia="Arial" w:hAnsi="Arial"/>
          <w:sz w:val="22"/>
          <w:szCs w:val="22"/>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the Redemption Date. If any Note surrendered for redemption shall not be so paid, interest will be paid, from the Redemption Date until such redemption payment is made, on the unpaid principal of the Note</w:t>
      </w:r>
    </w:p>
    <w:p>
      <w:pPr>
        <w:sectPr>
          <w:pgSz w:w="11900" w:h="16838" w:orient="portrait"/>
          <w:cols w:equalWidth="0" w:num="1">
            <w:col w:w="10980"/>
          </w:cols>
          <w:pgMar w:left="440" w:top="415" w:right="4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and any interest not paid on such unpaid principal, in each case at the rate and in the manner provided in the Notes.</w:t>
      </w:r>
    </w:p>
    <w:p>
      <w:pPr>
        <w:spacing w:after="0" w:line="24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Notes Redeemed in Part</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97" w:lineRule="auto"/>
        <w:rPr>
          <w:sz w:val="20"/>
          <w:szCs w:val="20"/>
          <w:color w:val="auto"/>
        </w:rPr>
      </w:pPr>
      <w:r>
        <w:rPr>
          <w:rFonts w:ascii="Arial" w:cs="Arial" w:eastAsia="Arial" w:hAnsi="Arial"/>
          <w:sz w:val="19"/>
          <w:szCs w:val="19"/>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6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Mandatory Redemption</w:t>
      </w:r>
      <w:r>
        <w:rPr>
          <w:rFonts w:ascii="Arial" w:cs="Arial" w:eastAsia="Arial" w:hAnsi="Arial"/>
          <w:sz w:val="19"/>
          <w:szCs w:val="19"/>
          <w:color w:val="auto"/>
        </w:rPr>
        <w:t>.</w:t>
      </w:r>
    </w:p>
    <w:p>
      <w:pPr>
        <w:spacing w:after="0" w:line="206" w:lineRule="exact"/>
        <w:rPr>
          <w:sz w:val="20"/>
          <w:szCs w:val="20"/>
          <w:color w:val="auto"/>
        </w:rPr>
      </w:pPr>
    </w:p>
    <w:p>
      <w:pPr>
        <w:ind w:right="220" w:firstLine="1433"/>
        <w:spacing w:after="0" w:line="251" w:lineRule="auto"/>
        <w:rPr>
          <w:sz w:val="20"/>
          <w:szCs w:val="20"/>
          <w:color w:val="auto"/>
        </w:rPr>
      </w:pPr>
      <w:r>
        <w:rPr>
          <w:rFonts w:ascii="Arial" w:cs="Arial" w:eastAsia="Arial" w:hAnsi="Arial"/>
          <w:sz w:val="22"/>
          <w:szCs w:val="22"/>
          <w:color w:val="auto"/>
        </w:rPr>
        <w:t>Except as provided in Section 4.08 or as contemplated by Article Six, the Issuer is not required to make any mandatory redemption of the Notes or any sinking fund payments with respect to the Notes.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FOUR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COVENANTS</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Payment of Notes</w:t>
      </w:r>
      <w:r>
        <w:rPr>
          <w:rFonts w:ascii="Arial" w:cs="Arial" w:eastAsia="Arial" w:hAnsi="Arial"/>
          <w:sz w:val="19"/>
          <w:szCs w:val="19"/>
          <w:color w:val="auto"/>
        </w:rPr>
        <w:t>.</w:t>
      </w:r>
    </w:p>
    <w:p>
      <w:pPr>
        <w:spacing w:after="0" w:line="206" w:lineRule="exact"/>
        <w:rPr>
          <w:sz w:val="20"/>
          <w:szCs w:val="20"/>
          <w:color w:val="auto"/>
        </w:rPr>
      </w:pPr>
    </w:p>
    <w:p>
      <w:pPr>
        <w:ind w:right="40" w:firstLine="1433"/>
        <w:spacing w:after="0" w:line="297" w:lineRule="auto"/>
        <w:rPr>
          <w:sz w:val="20"/>
          <w:szCs w:val="20"/>
          <w:color w:val="auto"/>
        </w:rPr>
      </w:pPr>
      <w:r>
        <w:rPr>
          <w:rFonts w:ascii="Arial" w:cs="Arial" w:eastAsia="Arial" w:hAnsi="Arial"/>
          <w:sz w:val="19"/>
          <w:szCs w:val="19"/>
          <w:color w:val="auto"/>
        </w:rPr>
        <w:t>The Issuer shall pay the principal of and interest on the Notes on the dates and in the manner provided in such Notes and this Indenture. An installment of principal or interest shall be considered paid on the date it is due if the Trustee or the Paying Agents hold on that date Euros designated for and sufficient to pay such installment.</w:t>
      </w:r>
    </w:p>
    <w:p>
      <w:pPr>
        <w:spacing w:after="0" w:line="134" w:lineRule="exact"/>
        <w:rPr>
          <w:sz w:val="20"/>
          <w:szCs w:val="20"/>
          <w:color w:val="auto"/>
        </w:rPr>
      </w:pPr>
    </w:p>
    <w:p>
      <w:pPr>
        <w:ind w:right="200" w:firstLine="1433"/>
        <w:spacing w:after="0" w:line="274" w:lineRule="auto"/>
        <w:rPr>
          <w:sz w:val="20"/>
          <w:szCs w:val="20"/>
          <w:color w:val="auto"/>
        </w:rPr>
      </w:pPr>
      <w:r>
        <w:rPr>
          <w:rFonts w:ascii="Arial" w:cs="Arial" w:eastAsia="Arial" w:hAnsi="Arial"/>
          <w:sz w:val="21"/>
          <w:szCs w:val="21"/>
          <w:color w:val="auto"/>
        </w:rPr>
        <w:t>The Issuer shall pay interest on overdue principal (including post-petition interest in a proceeding under any Bankruptcy Law), and overdue interest, to the extent lawful, at the rate specified in the Notes.</w:t>
      </w:r>
    </w:p>
    <w:p>
      <w:pPr>
        <w:spacing w:after="0" w:line="17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w:t>
      </w:r>
    </w:p>
    <w:p>
      <w:pPr>
        <w:spacing w:after="0" w:line="206" w:lineRule="exact"/>
        <w:rPr>
          <w:sz w:val="20"/>
          <w:szCs w:val="20"/>
          <w:color w:val="auto"/>
        </w:rPr>
      </w:pPr>
    </w:p>
    <w:p>
      <w:pPr>
        <w:ind w:firstLine="1436"/>
        <w:spacing w:after="0" w:line="277" w:lineRule="auto"/>
        <w:tabs>
          <w:tab w:leader="none" w:pos="2101"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Issuer shall maintain in the Borough of Manhattan, The City of New York, and in Dublin, Ireland, an office or agency (which may be an office of the Trustee or Registrar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ectPr>
          <w:pgSz w:w="11900" w:h="16838" w:orient="portrait"/>
          <w:cols w:equalWidth="0" w:num="1">
            <w:col w:w="10980"/>
          </w:cols>
          <w:pgMar w:left="440" w:top="415" w:right="47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p>
    <w:p>
      <w:pPr>
        <w:spacing w:after="0" w:line="233" w:lineRule="exact"/>
        <w:rPr>
          <w:sz w:val="20"/>
          <w:szCs w:val="20"/>
          <w:color w:val="auto"/>
        </w:rPr>
      </w:pPr>
    </w:p>
    <w:p>
      <w:pPr>
        <w:ind w:firstLine="1436"/>
        <w:spacing w:after="0" w:line="282" w:lineRule="auto"/>
        <w:tabs>
          <w:tab w:leader="none" w:pos="2113"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designation or rescission shall in any manner relieve the Issuer of its obligation to maintain an office or</w:t>
      </w:r>
      <w:r>
        <w:rPr>
          <w:rFonts w:ascii="Arial" w:cs="Arial" w:eastAsia="Arial" w:hAnsi="Arial"/>
          <w:sz w:val="19"/>
          <w:szCs w:val="19"/>
          <w:i w:val="1"/>
          <w:iCs w:val="1"/>
          <w:color w:val="auto"/>
        </w:rPr>
        <w:t xml:space="preserve"> </w:t>
      </w:r>
      <w:r>
        <w:rPr>
          <w:rFonts w:ascii="Arial" w:cs="Arial" w:eastAsia="Arial" w:hAnsi="Arial"/>
          <w:sz w:val="19"/>
          <w:szCs w:val="19"/>
          <w:color w:val="auto"/>
        </w:rPr>
        <w:t>agency in the Borough of Manhattan, The City of New York, and in Dublin, Ireland. The Issuer shall give prompt written notice to the Trustee of any such designation or rescission and of any change in the location of any such other office or agency.</w:t>
      </w:r>
    </w:p>
    <w:p>
      <w:pPr>
        <w:spacing w:after="0" w:line="147" w:lineRule="exact"/>
        <w:rPr>
          <w:rFonts w:ascii="Arial" w:cs="Arial" w:eastAsia="Arial" w:hAnsi="Arial"/>
          <w:sz w:val="19"/>
          <w:szCs w:val="19"/>
          <w:color w:val="auto"/>
        </w:rPr>
      </w:pPr>
    </w:p>
    <w:p>
      <w:pPr>
        <w:ind w:right="60" w:firstLine="1436"/>
        <w:spacing w:after="0"/>
        <w:tabs>
          <w:tab w:leader="none" w:pos="210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Issuer hereby designates the Corporate Trust Office of the Trustee, or its Agent, in the Borough of Manhattan, The City of New York, and in Dublin, Ireland, in each case as such office or agency of the Issuer in accordance with Section 2.04.</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Legal Existence</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73" w:lineRule="auto"/>
        <w:rPr>
          <w:sz w:val="20"/>
          <w:szCs w:val="20"/>
          <w:color w:val="auto"/>
        </w:rPr>
      </w:pPr>
      <w:r>
        <w:rPr>
          <w:rFonts w:ascii="Arial" w:cs="Arial" w:eastAsia="Arial" w:hAnsi="Arial"/>
          <w:sz w:val="19"/>
          <w:szCs w:val="19"/>
          <w:color w:val="auto"/>
        </w:rPr>
        <w:t xml:space="preserve">Except as permitted by Article Five, Parent shall do or cause to be done all things necessary to preserve and keep in full force and effect (i) 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89"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u w:val="single" w:color="auto"/>
          <w:color w:val="auto"/>
        </w:rPr>
        <w:t>Compliance with Law</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97" w:lineRule="auto"/>
        <w:rPr>
          <w:sz w:val="20"/>
          <w:szCs w:val="20"/>
          <w:color w:val="auto"/>
        </w:rPr>
      </w:pPr>
      <w:r>
        <w:rPr>
          <w:rFonts w:ascii="Arial" w:cs="Arial" w:eastAsia="Arial" w:hAnsi="Arial"/>
          <w:sz w:val="19"/>
          <w:szCs w:val="19"/>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6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u w:val="single" w:color="auto"/>
          <w:color w:val="auto"/>
        </w:rPr>
        <w:t>Waiver of Stay, Extension or Usury Laws</w:t>
      </w:r>
      <w:r>
        <w:rPr>
          <w:rFonts w:ascii="Arial" w:cs="Arial" w:eastAsia="Arial" w:hAnsi="Arial"/>
          <w:sz w:val="19"/>
          <w:szCs w:val="19"/>
          <w:color w:val="auto"/>
        </w:rPr>
        <w:t>.</w:t>
      </w:r>
    </w:p>
    <w:p>
      <w:pPr>
        <w:spacing w:after="0" w:line="206" w:lineRule="exact"/>
        <w:rPr>
          <w:sz w:val="20"/>
          <w:szCs w:val="20"/>
          <w:color w:val="auto"/>
        </w:rPr>
      </w:pPr>
    </w:p>
    <w:p>
      <w:pPr>
        <w:ind w:right="200" w:firstLine="1433"/>
        <w:spacing w:after="0" w:line="249" w:lineRule="auto"/>
        <w:rPr>
          <w:sz w:val="20"/>
          <w:szCs w:val="20"/>
          <w:color w:val="auto"/>
        </w:rPr>
      </w:pPr>
      <w:r>
        <w:rPr>
          <w:rFonts w:ascii="Arial" w:cs="Arial" w:eastAsia="Arial" w:hAnsi="Arial"/>
          <w:sz w:val="21"/>
          <w:szCs w:val="21"/>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any of the Guarantors from paying all or any portion of the principal of, premium, if any, and/or interest on the Notes as contemplated herein, wherever enacted, now or at any time hereafter in force, or</w:t>
      </w:r>
    </w:p>
    <w:p>
      <w:pPr>
        <w:sectPr>
          <w:pgSz w:w="11900" w:h="16838" w:orient="portrait"/>
          <w:cols w:equalWidth="0" w:num="1">
            <w:col w:w="11020"/>
          </w:cols>
          <w:pgMar w:left="440" w:top="415" w:right="4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u w:val="single" w:color="auto"/>
          <w:color w:val="auto"/>
        </w:rPr>
        <w:t>Compliance Certificate</w:t>
      </w:r>
      <w:r>
        <w:rPr>
          <w:rFonts w:ascii="Arial" w:cs="Arial" w:eastAsia="Arial" w:hAnsi="Arial"/>
          <w:sz w:val="19"/>
          <w:szCs w:val="19"/>
          <w:color w:val="auto"/>
        </w:rPr>
        <w:t>.</w:t>
      </w:r>
    </w:p>
    <w:p>
      <w:pPr>
        <w:spacing w:after="0" w:line="206" w:lineRule="exact"/>
        <w:rPr>
          <w:sz w:val="20"/>
          <w:szCs w:val="20"/>
          <w:color w:val="auto"/>
        </w:rPr>
      </w:pPr>
    </w:p>
    <w:p>
      <w:pPr>
        <w:ind w:right="160" w:firstLine="1436"/>
        <w:spacing w:after="0" w:line="277" w:lineRule="auto"/>
        <w:tabs>
          <w:tab w:leader="none" w:pos="2101"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Issuer shall deliver to the Trustee, within 120 days after the end of each Fiscal Year, an Officers’ Certificate (as enumerated by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Issuer have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52" w:lineRule="exact"/>
        <w:rPr>
          <w:rFonts w:ascii="Arial" w:cs="Arial" w:eastAsia="Arial" w:hAnsi="Arial"/>
          <w:sz w:val="19"/>
          <w:szCs w:val="19"/>
          <w:color w:val="auto"/>
        </w:rPr>
      </w:pPr>
    </w:p>
    <w:p>
      <w:pPr>
        <w:ind w:right="20" w:firstLine="1436"/>
        <w:spacing w:after="0" w:line="234" w:lineRule="auto"/>
        <w:tabs>
          <w:tab w:leader="none" w:pos="211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Issuer shall deliver to the Trustee, within five Business Days after an Officer becomes aware of a Default or Event of Default, a statement specifying such Default or Event of Default. The Trustee may withhold from the Holders notice of any continuing Default or Event of Default (except a Default or Event of Default relating to the payment of principal or interest) if it determines that withholding notice is in the Holders’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91" w:lineRule="exact"/>
        <w:rPr>
          <w:rFonts w:ascii="Arial" w:cs="Arial" w:eastAsia="Arial" w:hAnsi="Arial"/>
          <w:sz w:val="22"/>
          <w:szCs w:val="22"/>
          <w:color w:val="auto"/>
        </w:rPr>
      </w:pPr>
    </w:p>
    <w:p>
      <w:pPr>
        <w:ind w:left="2100" w:hanging="664"/>
        <w:spacing w:after="0"/>
        <w:tabs>
          <w:tab w:leader="none" w:pos="2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Issuer shall provide written notice to the Trustee of any change in Parent’s or Issuer’s Fiscal Year.</w:t>
      </w:r>
    </w:p>
    <w:p>
      <w:pPr>
        <w:spacing w:after="0" w:line="240" w:lineRule="exact"/>
        <w:rPr>
          <w:rFonts w:ascii="Arial" w:cs="Arial" w:eastAsia="Arial" w:hAnsi="Arial"/>
          <w:sz w:val="19"/>
          <w:szCs w:val="19"/>
          <w:color w:val="auto"/>
        </w:rPr>
      </w:pPr>
    </w:p>
    <w:p>
      <w:pPr>
        <w:jc w:val="both"/>
        <w:ind w:right="240" w:firstLine="1436"/>
        <w:spacing w:after="0"/>
        <w:tabs>
          <w:tab w:leader="none" w:pos="2113"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The Issuer shall promptly notify the Trustee, in writing, the first time the Notes are rated Investment Grade Rating;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failure to deliver such notice shall in no event be deemed a Default or an Event of Default.</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ind w:right="120" w:firstLine="1433"/>
        <w:spacing w:after="0" w:line="249" w:lineRule="auto"/>
        <w:rPr>
          <w:sz w:val="20"/>
          <w:szCs w:val="20"/>
          <w:color w:val="auto"/>
        </w:rPr>
      </w:pPr>
      <w:r>
        <w:rPr>
          <w:rFonts w:ascii="Arial" w:cs="Arial" w:eastAsia="Arial" w:hAnsi="Arial"/>
          <w:sz w:val="21"/>
          <w:szCs w:val="21"/>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neither Parent nor any of its Subsidiaries shall be required to pay or discharge or cause to be paid or discharged any such tax, assessment, charge or claim whose amount, applicability or</w:t>
      </w:r>
    </w:p>
    <w:p>
      <w:pPr>
        <w:sectPr>
          <w:pgSz w:w="11900" w:h="16838" w:orient="portrait"/>
          <w:cols w:equalWidth="0" w:num="1">
            <w:col w:w="11020"/>
          </w:cols>
          <w:pgMar w:left="440" w:top="415" w:right="4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w:t>
      </w:r>
    </w:p>
    <w:p>
      <w:pPr>
        <w:spacing w:after="0" w:line="23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validity is being contested in good faith by appropriate proceedings and for which disputed amounts adequate reserves have been made in accordance with GAAP.</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Repurchase at the Option of Holders upon Change of Control Repurchase Event</w:t>
      </w:r>
      <w:r>
        <w:rPr>
          <w:rFonts w:ascii="Arial" w:cs="Arial" w:eastAsia="Arial" w:hAnsi="Arial"/>
          <w:sz w:val="19"/>
          <w:szCs w:val="19"/>
          <w:color w:val="auto"/>
        </w:rPr>
        <w:t>.</w:t>
      </w:r>
    </w:p>
    <w:p>
      <w:pPr>
        <w:spacing w:after="0" w:line="206" w:lineRule="exact"/>
        <w:rPr>
          <w:sz w:val="20"/>
          <w:szCs w:val="20"/>
          <w:color w:val="auto"/>
        </w:rPr>
      </w:pPr>
    </w:p>
    <w:p>
      <w:pPr>
        <w:ind w:firstLine="1436"/>
        <w:spacing w:after="0" w:line="236" w:lineRule="auto"/>
        <w:tabs>
          <w:tab w:leader="none" w:pos="2105" w:val="left"/>
        </w:tabs>
        <w:numPr>
          <w:ilvl w:val="1"/>
          <w:numId w:val="50"/>
        </w:numPr>
        <w:rPr>
          <w:rFonts w:ascii="Arial" w:cs="Arial" w:eastAsia="Arial" w:hAnsi="Arial"/>
          <w:sz w:val="22"/>
          <w:szCs w:val="22"/>
          <w:color w:val="auto"/>
        </w:rPr>
      </w:pPr>
      <w:r>
        <w:rPr>
          <w:rFonts w:ascii="Arial" w:cs="Arial" w:eastAsia="Arial" w:hAnsi="Arial"/>
          <w:sz w:val="22"/>
          <w:szCs w:val="22"/>
          <w:color w:val="auto"/>
        </w:rPr>
        <w:t>Upon the occurrence of a Change of Control Repurchase Event, each Holder of Notes shall have the right to require the Issuer to repurchase all or any part (equal to €100,000 or an integral multiple of €1,000 in excess thereof) of such Holder’s Notes pursuant to the offer described below (the “</w:t>
      </w:r>
      <w:r>
        <w:rPr>
          <w:rFonts w:ascii="Arial" w:cs="Arial" w:eastAsia="Arial" w:hAnsi="Arial"/>
          <w:sz w:val="22"/>
          <w:szCs w:val="22"/>
          <w:u w:val="single" w:color="auto"/>
          <w:color w:val="auto"/>
        </w:rPr>
        <w:t>Change of Control Offer</w:t>
      </w:r>
      <w:r>
        <w:rPr>
          <w:rFonts w:ascii="Arial" w:cs="Arial" w:eastAsia="Arial" w:hAnsi="Arial"/>
          <w:sz w:val="22"/>
          <w:szCs w:val="22"/>
          <w:color w:val="auto"/>
        </w:rPr>
        <w:t>”) at an offer price in cash equal to 101% of such Holder’s aggregate principal amount of Notes, plus accrued and unpaid interest, if any, thereon to the date of purchase (the “</w:t>
      </w:r>
      <w:r>
        <w:rPr>
          <w:rFonts w:ascii="Arial" w:cs="Arial" w:eastAsia="Arial" w:hAnsi="Arial"/>
          <w:sz w:val="22"/>
          <w:szCs w:val="22"/>
          <w:u w:val="single" w:color="auto"/>
          <w:color w:val="auto"/>
        </w:rPr>
        <w:t>Change of Control Payment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60" w:firstLine="1436"/>
        <w:spacing w:after="0" w:line="244" w:lineRule="auto"/>
        <w:tabs>
          <w:tab w:leader="none" w:pos="2113" w:val="left"/>
        </w:tabs>
        <w:numPr>
          <w:ilvl w:val="1"/>
          <w:numId w:val="50"/>
        </w:numPr>
        <w:rPr>
          <w:rFonts w:ascii="Arial" w:cs="Arial" w:eastAsia="Arial" w:hAnsi="Arial"/>
          <w:sz w:val="21"/>
          <w:szCs w:val="21"/>
          <w:color w:val="auto"/>
        </w:rPr>
      </w:pPr>
      <w:r>
        <w:rPr>
          <w:rFonts w:ascii="Arial" w:cs="Arial" w:eastAsia="Arial" w:hAnsi="Arial"/>
          <w:sz w:val="21"/>
          <w:szCs w:val="21"/>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such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Arial" w:cs="Arial" w:eastAsia="Arial" w:hAnsi="Arial"/>
          <w:sz w:val="21"/>
          <w:szCs w:val="21"/>
          <w:u w:val="single" w:color="auto"/>
          <w:color w:val="auto"/>
        </w:rPr>
        <w:t>Change of Control Payment Date</w:t>
      </w:r>
      <w:r>
        <w:rPr>
          <w:rFonts w:ascii="Arial" w:cs="Arial" w:eastAsia="Arial" w:hAnsi="Arial"/>
          <w:sz w:val="21"/>
          <w:szCs w:val="21"/>
          <w:color w:val="auto"/>
        </w:rPr>
        <w:t>”) pursuant to the procedures required by this Indenture and described in such notice. Such obligation will not continue after a discharge of the Issuer or defeasance from its obligations with respect to the Notes. The notice to the Holders shall contain all instructions and materials necessary to enable such Holders to tender Notes pursuant to the Change of Control Offer. Such notice shall state:</w:t>
      </w:r>
    </w:p>
    <w:p>
      <w:pPr>
        <w:spacing w:after="0" w:line="189" w:lineRule="exact"/>
        <w:rPr>
          <w:rFonts w:ascii="Arial" w:cs="Arial" w:eastAsia="Arial" w:hAnsi="Arial"/>
          <w:sz w:val="21"/>
          <w:szCs w:val="21"/>
          <w:color w:val="auto"/>
        </w:rPr>
      </w:pPr>
    </w:p>
    <w:p>
      <w:pPr>
        <w:ind w:left="660" w:right="120" w:firstLine="730"/>
        <w:spacing w:after="0" w:line="251" w:lineRule="auto"/>
        <w:tabs>
          <w:tab w:leader="none" w:pos="206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validly tendered and not validly withdrawn will be accepted for payment;</w:t>
      </w:r>
    </w:p>
    <w:p>
      <w:pPr>
        <w:spacing w:after="0" w:line="173" w:lineRule="exact"/>
        <w:rPr>
          <w:rFonts w:ascii="Arial" w:cs="Arial" w:eastAsia="Arial" w:hAnsi="Arial"/>
          <w:sz w:val="22"/>
          <w:szCs w:val="22"/>
          <w:color w:val="auto"/>
        </w:rPr>
      </w:pPr>
    </w:p>
    <w:p>
      <w:pPr>
        <w:ind w:left="660" w:right="340" w:firstLine="730"/>
        <w:spacing w:after="0" w:line="328" w:lineRule="auto"/>
        <w:tabs>
          <w:tab w:leader="none" w:pos="206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Change of Control Payment and the Change of Control Payment Date (which shall be no earlier than 30 days nor later than 60 days from the date such notice is sent, other than as may be required by law);</w:t>
      </w:r>
    </w:p>
    <w:p>
      <w:pPr>
        <w:spacing w:after="0" w:line="105" w:lineRule="exact"/>
        <w:rPr>
          <w:rFonts w:ascii="Arial" w:cs="Arial" w:eastAsia="Arial" w:hAnsi="Arial"/>
          <w:sz w:val="19"/>
          <w:szCs w:val="19"/>
          <w:color w:val="auto"/>
        </w:rPr>
      </w:pPr>
    </w:p>
    <w:p>
      <w:pPr>
        <w:ind w:left="2080" w:hanging="690"/>
        <w:spacing w:after="0"/>
        <w:tabs>
          <w:tab w:leader="none" w:pos="20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that any Note not tendered will continue to accrue interest;</w:t>
      </w:r>
    </w:p>
    <w:p>
      <w:pPr>
        <w:spacing w:after="0" w:line="206" w:lineRule="exact"/>
        <w:rPr>
          <w:rFonts w:ascii="Arial" w:cs="Arial" w:eastAsia="Arial" w:hAnsi="Arial"/>
          <w:sz w:val="22"/>
          <w:szCs w:val="22"/>
          <w:color w:val="auto"/>
        </w:rPr>
      </w:pPr>
    </w:p>
    <w:p>
      <w:pPr>
        <w:ind w:left="660" w:right="60" w:firstLine="730"/>
        <w:spacing w:after="0" w:line="328" w:lineRule="auto"/>
        <w:tabs>
          <w:tab w:leader="none" w:pos="206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that, unless the Issuer defaults in making payment therefor, any Note accepted for payment pursuant to the Change of Control Offer shall cease to accrue interest after the Change of Control Payment Date;</w:t>
      </w:r>
    </w:p>
    <w:p>
      <w:pPr>
        <w:sectPr>
          <w:pgSz w:w="11900" w:h="16838" w:orient="portrait"/>
          <w:cols w:equalWidth="0" w:num="1">
            <w:col w:w="11020"/>
          </w:cols>
          <w:pgMar w:left="440" w:top="415" w:right="4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p>
    <w:p>
      <w:pPr>
        <w:spacing w:after="0" w:line="233" w:lineRule="exact"/>
        <w:rPr>
          <w:sz w:val="20"/>
          <w:szCs w:val="20"/>
          <w:color w:val="auto"/>
        </w:rPr>
      </w:pPr>
    </w:p>
    <w:p>
      <w:pPr>
        <w:ind w:left="660" w:right="40" w:firstLine="730"/>
        <w:spacing w:after="0" w:line="252" w:lineRule="auto"/>
        <w:tabs>
          <w:tab w:leader="none" w:pos="2069"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that Holders electing to have a Note purchased pursuant to the Change of Control Offer will be required to surrender the Note, with the form entitled “Option of Holder to Elect Purchase” on the reverse of such Note completed, to the Paying Agent and Registrar for such Note at the address specified in the notice prior to the close of business on the Business Day prior to the Change of Control Payment Date;</w:t>
      </w:r>
    </w:p>
    <w:p>
      <w:pPr>
        <w:spacing w:after="0" w:line="174" w:lineRule="exact"/>
        <w:rPr>
          <w:rFonts w:ascii="Arial" w:cs="Arial" w:eastAsia="Arial" w:hAnsi="Arial"/>
          <w:sz w:val="21"/>
          <w:szCs w:val="21"/>
          <w:color w:val="auto"/>
        </w:rPr>
      </w:pPr>
    </w:p>
    <w:p>
      <w:pPr>
        <w:ind w:left="660" w:right="180" w:firstLine="730"/>
        <w:spacing w:after="0" w:line="287" w:lineRule="auto"/>
        <w:tabs>
          <w:tab w:leader="none" w:pos="2069"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143" w:lineRule="exact"/>
        <w:rPr>
          <w:rFonts w:ascii="Arial" w:cs="Arial" w:eastAsia="Arial" w:hAnsi="Arial"/>
          <w:sz w:val="19"/>
          <w:szCs w:val="19"/>
          <w:color w:val="auto"/>
        </w:rPr>
      </w:pPr>
    </w:p>
    <w:p>
      <w:pPr>
        <w:ind w:left="660" w:right="80" w:firstLine="730"/>
        <w:spacing w:after="0" w:line="297" w:lineRule="auto"/>
        <w:tabs>
          <w:tab w:leader="none" w:pos="206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that Holders whose Notes are purchased only in part will be issued new Notes in a principal amount equal to the unpurchased portion of the Notes surrendered;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Note purchased and each new Note issued shall be in a principal amount of €100,000 or integral multiples of €1,000 in excess thereof; and</w:t>
      </w:r>
    </w:p>
    <w:p>
      <w:pPr>
        <w:spacing w:after="0" w:line="134" w:lineRule="exact"/>
        <w:rPr>
          <w:rFonts w:ascii="Arial" w:cs="Arial" w:eastAsia="Arial" w:hAnsi="Arial"/>
          <w:sz w:val="19"/>
          <w:szCs w:val="19"/>
          <w:color w:val="auto"/>
        </w:rPr>
      </w:pPr>
    </w:p>
    <w:p>
      <w:pPr>
        <w:ind w:left="2080" w:hanging="690"/>
        <w:spacing w:after="0"/>
        <w:tabs>
          <w:tab w:leader="none" w:pos="20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circumstances and relevant facts regarding such Change of Control Repurchase Event.</w:t>
      </w:r>
    </w:p>
    <w:p>
      <w:pPr>
        <w:spacing w:after="0" w:line="206" w:lineRule="exact"/>
        <w:rPr>
          <w:rFonts w:ascii="Arial" w:cs="Arial" w:eastAsia="Arial" w:hAnsi="Arial"/>
          <w:sz w:val="22"/>
          <w:szCs w:val="22"/>
          <w:color w:val="auto"/>
        </w:rPr>
      </w:pPr>
    </w:p>
    <w:p>
      <w:pPr>
        <w:ind w:left="2100" w:hanging="664"/>
        <w:spacing w:after="0"/>
        <w:tabs>
          <w:tab w:leader="none" w:pos="21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On the Change of Control Payment Date, the Issuer shall, to the extent lawful:</w:t>
      </w:r>
    </w:p>
    <w:p>
      <w:pPr>
        <w:spacing w:after="0" w:line="206" w:lineRule="exact"/>
        <w:rPr>
          <w:sz w:val="20"/>
          <w:szCs w:val="20"/>
          <w:color w:val="auto"/>
        </w:rPr>
      </w:pPr>
    </w:p>
    <w:p>
      <w:pPr>
        <w:ind w:left="660" w:right="380" w:firstLine="730"/>
        <w:spacing w:after="0"/>
        <w:tabs>
          <w:tab w:leader="none" w:pos="20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accept for payment all Notes or portions thereof (in minimum amounts of €100,000 or an integral multiple of €1,000 in excess thereof) validly tendered and not validly withdrawn pursuant to the Change of Control Offer;</w:t>
      </w:r>
    </w:p>
    <w:p>
      <w:pPr>
        <w:spacing w:after="0" w:line="186" w:lineRule="exact"/>
        <w:rPr>
          <w:rFonts w:ascii="Arial" w:cs="Arial" w:eastAsia="Arial" w:hAnsi="Arial"/>
          <w:sz w:val="22"/>
          <w:szCs w:val="22"/>
          <w:color w:val="auto"/>
        </w:rPr>
      </w:pPr>
    </w:p>
    <w:p>
      <w:pPr>
        <w:ind w:left="660" w:right="140" w:firstLine="730"/>
        <w:spacing w:after="0" w:line="251" w:lineRule="auto"/>
        <w:tabs>
          <w:tab w:leader="none" w:pos="20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deposit with the Paying Agent an amount in Euros equal to the Change of Control Payment in respect of all Notes or portions thereof properly tendered; and</w:t>
      </w:r>
    </w:p>
    <w:p>
      <w:pPr>
        <w:spacing w:after="0" w:line="173" w:lineRule="exact"/>
        <w:rPr>
          <w:rFonts w:ascii="Arial" w:cs="Arial" w:eastAsia="Arial" w:hAnsi="Arial"/>
          <w:sz w:val="22"/>
          <w:szCs w:val="22"/>
          <w:color w:val="auto"/>
        </w:rPr>
      </w:pPr>
    </w:p>
    <w:p>
      <w:pPr>
        <w:jc w:val="both"/>
        <w:ind w:left="660" w:right="800" w:firstLine="730"/>
        <w:spacing w:after="0" w:line="328" w:lineRule="auto"/>
        <w:tabs>
          <w:tab w:leader="none" w:pos="2069"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deliver or cause to be delivered to the Trustee all Notes so accepted together with an Officers’ Certificate stating the aggregate principal amount of Notes (or portions thereof) being purchased by the Issuer.</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Upon receipt by the Paying Agent of the monies specified in clause (2) above and the Officers’ Certificate specified in clause</w:t>
      </w:r>
    </w:p>
    <w:p>
      <w:pPr>
        <w:spacing w:after="0" w:line="43" w:lineRule="exact"/>
        <w:rPr>
          <w:sz w:val="20"/>
          <w:szCs w:val="20"/>
          <w:color w:val="auto"/>
        </w:rPr>
      </w:pPr>
    </w:p>
    <w:p>
      <w:pPr>
        <w:ind w:firstLine="4"/>
        <w:spacing w:after="0" w:line="233" w:lineRule="auto"/>
        <w:tabs>
          <w:tab w:leader="none" w:pos="306" w:val="left"/>
        </w:tabs>
        <w:numPr>
          <w:ilvl w:val="0"/>
          <w:numId w:val="54"/>
        </w:numPr>
        <w:rPr>
          <w:rFonts w:ascii="Arial" w:cs="Arial" w:eastAsia="Arial" w:hAnsi="Arial"/>
          <w:sz w:val="22"/>
          <w:szCs w:val="22"/>
          <w:color w:val="auto"/>
        </w:rPr>
      </w:pPr>
      <w:r>
        <w:rPr>
          <w:rFonts w:ascii="Arial" w:cs="Arial" w:eastAsia="Arial" w:hAnsi="Arial"/>
          <w:sz w:val="22"/>
          <w:szCs w:val="22"/>
          <w:color w:val="auto"/>
        </w:rPr>
        <w:t>above, such Paying Agent shall promptly mail or deliver through Euroclear or Clearstream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w:t>
      </w:r>
    </w:p>
    <w:p>
      <w:pPr>
        <w:sectPr>
          <w:pgSz w:w="11900" w:h="16838" w:orient="portrait"/>
          <w:cols w:equalWidth="0" w:num="1">
            <w:col w:w="11000"/>
          </w:cols>
          <w:pgMar w:left="440" w:top="415" w:right="4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p>
    <w:p>
      <w:pPr>
        <w:spacing w:after="0" w:line="23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 xml:space="preserve">Notes surrendered, if 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new Note shall be in a principal amount of €100,000 or an integral multiple of €1,000 in excess thereof. The Issuer shall publicly announce the results of the Change of Control Offer on or as soon as practicable after the Change of Control Payment Date.</w:t>
      </w:r>
    </w:p>
    <w:p>
      <w:pPr>
        <w:spacing w:after="0" w:line="186" w:lineRule="exact"/>
        <w:rPr>
          <w:sz w:val="20"/>
          <w:szCs w:val="20"/>
          <w:color w:val="auto"/>
        </w:rPr>
      </w:pPr>
    </w:p>
    <w:p>
      <w:pPr>
        <w:ind w:right="160" w:firstLine="1436"/>
        <w:spacing w:after="0"/>
        <w:tabs>
          <w:tab w:leader="none" w:pos="2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86" w:lineRule="exact"/>
        <w:rPr>
          <w:rFonts w:ascii="Arial" w:cs="Arial" w:eastAsia="Arial" w:hAnsi="Arial"/>
          <w:sz w:val="22"/>
          <w:szCs w:val="22"/>
          <w:color w:val="auto"/>
        </w:rPr>
      </w:pPr>
    </w:p>
    <w:p>
      <w:pPr>
        <w:ind w:firstLine="1436"/>
        <w:spacing w:after="0" w:line="274" w:lineRule="auto"/>
        <w:tabs>
          <w:tab w:leader="none" w:pos="210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58" w:lineRule="exact"/>
        <w:rPr>
          <w:rFonts w:ascii="Arial" w:cs="Arial" w:eastAsia="Arial" w:hAnsi="Arial"/>
          <w:sz w:val="19"/>
          <w:szCs w:val="19"/>
          <w:color w:val="auto"/>
        </w:rPr>
      </w:pPr>
    </w:p>
    <w:p>
      <w:pPr>
        <w:ind w:firstLine="1436"/>
        <w:spacing w:after="0" w:line="282" w:lineRule="auto"/>
        <w:tabs>
          <w:tab w:leader="none" w:pos="2077"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w:t>
      </w:r>
    </w:p>
    <w:p>
      <w:pPr>
        <w:spacing w:after="0" w:line="147" w:lineRule="exact"/>
        <w:rPr>
          <w:rFonts w:ascii="Arial" w:cs="Arial" w:eastAsia="Arial" w:hAnsi="Arial"/>
          <w:sz w:val="19"/>
          <w:szCs w:val="19"/>
          <w:color w:val="auto"/>
        </w:rPr>
      </w:pPr>
    </w:p>
    <w:p>
      <w:pPr>
        <w:ind w:right="180" w:firstLine="1436"/>
        <w:spacing w:after="0"/>
        <w:tabs>
          <w:tab w:leader="none" w:pos="2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and for so long as the Notes are listed on the Official List of the Luxembourg Stock Exchange and admitted for trading on the Euro MTF Market, the Issuer will publish notices relating to the Change of Control Offer in accordance with the rules of the Euro MTF Market.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SECTION 4.09.</w:t>
            </w:r>
          </w:p>
        </w:tc>
        <w:tc>
          <w:tcPr>
            <w:tcW w:w="1760" w:type="dxa"/>
            <w:vAlign w:val="bottom"/>
            <w:gridSpan w:val="2"/>
          </w:tcPr>
          <w:p>
            <w:pPr>
              <w:spacing w:after="0"/>
              <w:rPr>
                <w:sz w:val="20"/>
                <w:szCs w:val="20"/>
                <w:color w:val="auto"/>
              </w:rPr>
            </w:pPr>
            <w:r>
              <w:rPr>
                <w:rFonts w:ascii="Arial" w:cs="Arial" w:eastAsia="Arial" w:hAnsi="Arial"/>
                <w:sz w:val="22"/>
                <w:szCs w:val="22"/>
                <w:color w:val="auto"/>
              </w:rPr>
              <w:t>[Reserved]</w:t>
            </w:r>
          </w:p>
        </w:tc>
      </w:tr>
      <w:tr>
        <w:trPr>
          <w:trHeight w:val="486"/>
        </w:trPr>
        <w:tc>
          <w:tcPr>
            <w:tcW w:w="1980" w:type="dxa"/>
            <w:vAlign w:val="bottom"/>
          </w:tcPr>
          <w:p>
            <w:pPr>
              <w:spacing w:after="0"/>
              <w:rPr>
                <w:sz w:val="20"/>
                <w:szCs w:val="20"/>
                <w:color w:val="auto"/>
              </w:rPr>
            </w:pPr>
            <w:r>
              <w:rPr>
                <w:rFonts w:ascii="Arial" w:cs="Arial" w:eastAsia="Arial" w:hAnsi="Arial"/>
                <w:sz w:val="22"/>
                <w:szCs w:val="22"/>
                <w:color w:val="auto"/>
              </w:rPr>
              <w:t>SECTION 4.10.</w:t>
            </w:r>
          </w:p>
        </w:tc>
        <w:tc>
          <w:tcPr>
            <w:tcW w:w="1760" w:type="dxa"/>
            <w:vAlign w:val="bottom"/>
            <w:gridSpan w:val="2"/>
          </w:tcPr>
          <w:p>
            <w:pPr>
              <w:spacing w:after="0"/>
              <w:rPr>
                <w:sz w:val="20"/>
                <w:szCs w:val="20"/>
                <w:color w:val="auto"/>
              </w:rPr>
            </w:pPr>
            <w:r>
              <w:rPr>
                <w:rFonts w:ascii="Arial" w:cs="Arial" w:eastAsia="Arial" w:hAnsi="Arial"/>
                <w:sz w:val="22"/>
                <w:szCs w:val="22"/>
                <w:color w:val="auto"/>
              </w:rPr>
              <w:t>[Reserved]</w:t>
            </w:r>
          </w:p>
        </w:tc>
      </w:tr>
      <w:tr>
        <w:trPr>
          <w:trHeight w:val="436"/>
        </w:trPr>
        <w:tc>
          <w:tcPr>
            <w:tcW w:w="1980" w:type="dxa"/>
            <w:vAlign w:val="bottom"/>
          </w:tcPr>
          <w:p>
            <w:pPr>
              <w:spacing w:after="0"/>
              <w:rPr>
                <w:sz w:val="20"/>
                <w:szCs w:val="20"/>
                <w:color w:val="auto"/>
              </w:rPr>
            </w:pPr>
            <w:r>
              <w:rPr>
                <w:rFonts w:ascii="Arial" w:cs="Arial" w:eastAsia="Arial" w:hAnsi="Arial"/>
                <w:sz w:val="22"/>
                <w:szCs w:val="22"/>
                <w:color w:val="auto"/>
              </w:rPr>
              <w:t>SECTION 4.11.</w:t>
            </w:r>
          </w:p>
        </w:tc>
        <w:tc>
          <w:tcPr>
            <w:tcW w:w="1760" w:type="dxa"/>
            <w:vAlign w:val="bottom"/>
            <w:gridSpan w:val="2"/>
          </w:tcPr>
          <w:p>
            <w:pPr>
              <w:spacing w:after="0"/>
              <w:rPr>
                <w:sz w:val="20"/>
                <w:szCs w:val="20"/>
                <w:color w:val="auto"/>
              </w:rPr>
            </w:pPr>
            <w:r>
              <w:rPr>
                <w:rFonts w:ascii="Arial" w:cs="Arial" w:eastAsia="Arial" w:hAnsi="Arial"/>
                <w:sz w:val="22"/>
                <w:szCs w:val="22"/>
                <w:color w:val="auto"/>
                <w:w w:val="91"/>
              </w:rPr>
              <w:t>Limitation on Liens.</w:t>
            </w:r>
          </w:p>
        </w:tc>
      </w:tr>
      <w:tr>
        <w:trPr>
          <w:trHeight w:val="20"/>
        </w:trPr>
        <w:tc>
          <w:tcPr>
            <w:tcW w:w="19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20" w:firstLine="1433"/>
        <w:spacing w:after="0" w:line="251" w:lineRule="auto"/>
        <w:rPr>
          <w:sz w:val="20"/>
          <w:szCs w:val="20"/>
          <w:color w:val="auto"/>
        </w:rPr>
      </w:pPr>
      <w:r>
        <w:rPr>
          <w:rFonts w:ascii="Arial" w:cs="Arial" w:eastAsia="Arial" w:hAnsi="Arial"/>
          <w:sz w:val="22"/>
          <w:szCs w:val="22"/>
          <w:color w:val="auto"/>
        </w:rPr>
        <w:t>Parent shall not, nor shall it permit any of its Restricted Subsidiaries to, create, incur or assume any Lien (other than Permitted Liens) upon any Principal Property or upon</w:t>
      </w:r>
    </w:p>
    <w:p>
      <w:pPr>
        <w:sectPr>
          <w:pgSz w:w="11900" w:h="16838" w:orient="portrait"/>
          <w:cols w:equalWidth="0" w:num="1">
            <w:col w:w="10980"/>
          </w:cols>
          <w:pgMar w:left="440" w:top="415" w:right="47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SECTION 4.12.</w:t>
            </w:r>
          </w:p>
        </w:tc>
        <w:tc>
          <w:tcPr>
            <w:tcW w:w="4140" w:type="dxa"/>
            <w:vAlign w:val="bottom"/>
            <w:gridSpan w:val="2"/>
          </w:tcPr>
          <w:p>
            <w:pPr>
              <w:spacing w:after="0"/>
              <w:rPr>
                <w:sz w:val="20"/>
                <w:szCs w:val="20"/>
                <w:color w:val="auto"/>
              </w:rPr>
            </w:pPr>
            <w:r>
              <w:rPr>
                <w:rFonts w:ascii="Arial" w:cs="Arial" w:eastAsia="Arial" w:hAnsi="Arial"/>
                <w:sz w:val="22"/>
                <w:szCs w:val="22"/>
                <w:color w:val="auto"/>
              </w:rPr>
              <w:t>[Reserved]</w:t>
            </w:r>
          </w:p>
        </w:tc>
      </w:tr>
      <w:tr>
        <w:trPr>
          <w:trHeight w:val="486"/>
        </w:trPr>
        <w:tc>
          <w:tcPr>
            <w:tcW w:w="1980" w:type="dxa"/>
            <w:vAlign w:val="bottom"/>
          </w:tcPr>
          <w:p>
            <w:pPr>
              <w:spacing w:after="0"/>
              <w:rPr>
                <w:sz w:val="20"/>
                <w:szCs w:val="20"/>
                <w:color w:val="auto"/>
              </w:rPr>
            </w:pPr>
            <w:r>
              <w:rPr>
                <w:rFonts w:ascii="Arial" w:cs="Arial" w:eastAsia="Arial" w:hAnsi="Arial"/>
                <w:sz w:val="22"/>
                <w:szCs w:val="22"/>
                <w:color w:val="auto"/>
              </w:rPr>
              <w:t>SECTION 4.13.</w:t>
            </w:r>
          </w:p>
        </w:tc>
        <w:tc>
          <w:tcPr>
            <w:tcW w:w="4140" w:type="dxa"/>
            <w:vAlign w:val="bottom"/>
            <w:gridSpan w:val="2"/>
          </w:tcPr>
          <w:p>
            <w:pPr>
              <w:spacing w:after="0"/>
              <w:rPr>
                <w:sz w:val="20"/>
                <w:szCs w:val="20"/>
                <w:color w:val="auto"/>
              </w:rPr>
            </w:pPr>
            <w:r>
              <w:rPr>
                <w:rFonts w:ascii="Arial" w:cs="Arial" w:eastAsia="Arial" w:hAnsi="Arial"/>
                <w:sz w:val="22"/>
                <w:szCs w:val="22"/>
                <w:color w:val="auto"/>
              </w:rPr>
              <w:t>[Reserved]</w:t>
            </w:r>
          </w:p>
        </w:tc>
      </w:tr>
      <w:tr>
        <w:trPr>
          <w:trHeight w:val="486"/>
        </w:trPr>
        <w:tc>
          <w:tcPr>
            <w:tcW w:w="1980" w:type="dxa"/>
            <w:vAlign w:val="bottom"/>
          </w:tcPr>
          <w:p>
            <w:pPr>
              <w:spacing w:after="0"/>
              <w:rPr>
                <w:sz w:val="20"/>
                <w:szCs w:val="20"/>
                <w:color w:val="auto"/>
              </w:rPr>
            </w:pPr>
            <w:r>
              <w:rPr>
                <w:rFonts w:ascii="Arial" w:cs="Arial" w:eastAsia="Arial" w:hAnsi="Arial"/>
                <w:sz w:val="22"/>
                <w:szCs w:val="22"/>
                <w:color w:val="auto"/>
              </w:rPr>
              <w:t>SECTION 4.14.</w:t>
            </w:r>
          </w:p>
        </w:tc>
        <w:tc>
          <w:tcPr>
            <w:tcW w:w="4140" w:type="dxa"/>
            <w:vAlign w:val="bottom"/>
            <w:gridSpan w:val="2"/>
          </w:tcPr>
          <w:p>
            <w:pPr>
              <w:spacing w:after="0"/>
              <w:rPr>
                <w:sz w:val="20"/>
                <w:szCs w:val="20"/>
                <w:color w:val="auto"/>
              </w:rPr>
            </w:pPr>
            <w:r>
              <w:rPr>
                <w:rFonts w:ascii="Arial" w:cs="Arial" w:eastAsia="Arial" w:hAnsi="Arial"/>
                <w:sz w:val="22"/>
                <w:szCs w:val="22"/>
                <w:color w:val="auto"/>
              </w:rPr>
              <w:t>[Reserved]</w:t>
            </w:r>
          </w:p>
        </w:tc>
      </w:tr>
      <w:tr>
        <w:trPr>
          <w:trHeight w:val="436"/>
        </w:trPr>
        <w:tc>
          <w:tcPr>
            <w:tcW w:w="1980" w:type="dxa"/>
            <w:vAlign w:val="bottom"/>
          </w:tcPr>
          <w:p>
            <w:pPr>
              <w:spacing w:after="0"/>
              <w:rPr>
                <w:sz w:val="20"/>
                <w:szCs w:val="20"/>
                <w:color w:val="auto"/>
              </w:rPr>
            </w:pPr>
            <w:r>
              <w:rPr>
                <w:rFonts w:ascii="Arial" w:cs="Arial" w:eastAsia="Arial" w:hAnsi="Arial"/>
                <w:sz w:val="22"/>
                <w:szCs w:val="22"/>
                <w:color w:val="auto"/>
              </w:rPr>
              <w:t>SECTION 4.15.</w:t>
            </w:r>
          </w:p>
        </w:tc>
        <w:tc>
          <w:tcPr>
            <w:tcW w:w="4140" w:type="dxa"/>
            <w:vAlign w:val="bottom"/>
            <w:gridSpan w:val="2"/>
          </w:tcPr>
          <w:p>
            <w:pPr>
              <w:spacing w:after="0"/>
              <w:rPr>
                <w:sz w:val="20"/>
                <w:szCs w:val="20"/>
                <w:color w:val="auto"/>
              </w:rPr>
            </w:pPr>
            <w:r>
              <w:rPr>
                <w:rFonts w:ascii="Arial" w:cs="Arial" w:eastAsia="Arial" w:hAnsi="Arial"/>
                <w:sz w:val="22"/>
                <w:szCs w:val="22"/>
                <w:color w:val="auto"/>
                <w:w w:val="87"/>
              </w:rPr>
              <w:t>Limitation on Sale and Leaseback Transactions.</w:t>
            </w:r>
          </w:p>
        </w:tc>
      </w:tr>
      <w:tr>
        <w:trPr>
          <w:trHeight w:val="20"/>
        </w:trPr>
        <w:tc>
          <w:tcPr>
            <w:tcW w:w="198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1436"/>
        <w:spacing w:after="0" w:line="279" w:lineRule="auto"/>
        <w:tabs>
          <w:tab w:leader="none" w:pos="2105" w:val="left"/>
        </w:tabs>
        <w:numPr>
          <w:ilvl w:val="1"/>
          <w:numId w:val="56"/>
        </w:numPr>
        <w:rPr>
          <w:rFonts w:ascii="Arial" w:cs="Arial" w:eastAsia="Arial" w:hAnsi="Arial"/>
          <w:sz w:val="19"/>
          <w:szCs w:val="19"/>
          <w:color w:val="auto"/>
        </w:rPr>
      </w:pPr>
      <w:r>
        <w:rPr>
          <w:rFonts w:ascii="Arial" w:cs="Arial" w:eastAsia="Arial" w:hAnsi="Arial"/>
          <w:sz w:val="19"/>
          <w:szCs w:val="19"/>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50" w:lineRule="exact"/>
        <w:rPr>
          <w:rFonts w:ascii="Arial" w:cs="Arial" w:eastAsia="Arial" w:hAnsi="Arial"/>
          <w:sz w:val="19"/>
          <w:szCs w:val="19"/>
          <w:color w:val="auto"/>
        </w:rPr>
      </w:pPr>
    </w:p>
    <w:p>
      <w:pPr>
        <w:ind w:right="100" w:firstLine="1436"/>
        <w:spacing w:after="0" w:line="251" w:lineRule="auto"/>
        <w:tabs>
          <w:tab w:leader="none" w:pos="2117" w:val="left"/>
        </w:tabs>
        <w:numPr>
          <w:ilvl w:val="1"/>
          <w:numId w:val="56"/>
        </w:numPr>
        <w:rPr>
          <w:rFonts w:ascii="Arial" w:cs="Arial" w:eastAsia="Arial" w:hAnsi="Arial"/>
          <w:sz w:val="22"/>
          <w:szCs w:val="22"/>
          <w:color w:val="auto"/>
        </w:rPr>
      </w:pPr>
      <w:r>
        <w:rPr>
          <w:rFonts w:ascii="Arial" w:cs="Arial" w:eastAsia="Arial" w:hAnsi="Arial"/>
          <w:sz w:val="22"/>
          <w:szCs w:val="22"/>
          <w:color w:val="auto"/>
        </w:rPr>
        <w:t>In addition, the following Sale and Leaseback Transactions are not subject to the limitation above and the provisions described in Section 4.11:</w:t>
      </w:r>
    </w:p>
    <w:p>
      <w:pPr>
        <w:spacing w:after="0" w:line="173" w:lineRule="exact"/>
        <w:rPr>
          <w:rFonts w:ascii="Arial" w:cs="Arial" w:eastAsia="Arial" w:hAnsi="Arial"/>
          <w:sz w:val="22"/>
          <w:szCs w:val="22"/>
          <w:color w:val="auto"/>
        </w:rPr>
      </w:pPr>
    </w:p>
    <w:p>
      <w:pPr>
        <w:ind w:left="2020" w:hanging="630"/>
        <w:spacing w:after="0"/>
        <w:tabs>
          <w:tab w:leader="none" w:pos="20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temporary leases for a term, including renewals at the option of the lessee, of not more than three years;</w:t>
      </w:r>
    </w:p>
    <w:p>
      <w:pPr>
        <w:spacing w:after="0" w:line="240" w:lineRule="exact"/>
        <w:rPr>
          <w:rFonts w:ascii="Arial" w:cs="Arial" w:eastAsia="Arial" w:hAnsi="Arial"/>
          <w:sz w:val="19"/>
          <w:szCs w:val="19"/>
          <w:color w:val="auto"/>
        </w:rPr>
      </w:pPr>
    </w:p>
    <w:p>
      <w:pPr>
        <w:ind w:left="660" w:right="960" w:firstLine="730"/>
        <w:spacing w:after="0" w:line="251" w:lineRule="auto"/>
        <w:tabs>
          <w:tab w:leader="none" w:pos="2081" w:val="left"/>
        </w:tabs>
        <w:numPr>
          <w:ilvl w:val="0"/>
          <w:numId w:val="57"/>
        </w:numPr>
        <w:rPr>
          <w:rFonts w:ascii="Arial" w:cs="Arial" w:eastAsia="Arial" w:hAnsi="Arial"/>
          <w:sz w:val="22"/>
          <w:szCs w:val="22"/>
          <w:color w:val="auto"/>
        </w:rPr>
      </w:pPr>
      <w:r>
        <w:rPr>
          <w:rFonts w:ascii="Arial" w:cs="Arial" w:eastAsia="Arial" w:hAnsi="Arial"/>
          <w:sz w:val="22"/>
          <w:szCs w:val="22"/>
          <w:color w:val="auto"/>
        </w:rPr>
        <w:t>leases between only Parent and a Restricted Subsidiary of Parent or only between Restricted Subsidiaries of Parent;</w:t>
      </w:r>
    </w:p>
    <w:p>
      <w:pPr>
        <w:spacing w:after="0" w:line="173" w:lineRule="exact"/>
        <w:rPr>
          <w:rFonts w:ascii="Arial" w:cs="Arial" w:eastAsia="Arial" w:hAnsi="Arial"/>
          <w:sz w:val="22"/>
          <w:szCs w:val="22"/>
          <w:color w:val="auto"/>
        </w:rPr>
      </w:pPr>
    </w:p>
    <w:p>
      <w:pPr>
        <w:ind w:left="660" w:right="80" w:firstLine="730"/>
        <w:spacing w:after="0" w:line="248" w:lineRule="auto"/>
        <w:tabs>
          <w:tab w:leader="none" w:pos="2141"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lieu of applying such amount to the retirement of long-term Indebtedness, Parent may deliver Notes to the trustee for cancellation; and</w:t>
      </w:r>
    </w:p>
    <w:p>
      <w:pPr>
        <w:sectPr>
          <w:pgSz w:w="11900" w:h="16838" w:orient="portrait"/>
          <w:cols w:equalWidth="0" w:num="1">
            <w:col w:w="11020"/>
          </w:cols>
          <w:pgMar w:left="440" w:top="415" w:right="4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-48-</w:t>
      </w:r>
    </w:p>
    <w:p>
      <w:pPr>
        <w:spacing w:after="0" w:line="233" w:lineRule="exact"/>
        <w:rPr>
          <w:sz w:val="20"/>
          <w:szCs w:val="20"/>
          <w:color w:val="auto"/>
        </w:rPr>
      </w:pPr>
    </w:p>
    <w:p>
      <w:pPr>
        <w:ind w:left="660" w:right="100" w:firstLine="730"/>
        <w:spacing w:after="0"/>
        <w:tabs>
          <w:tab w:leader="none" w:pos="2129" w:val="left"/>
        </w:tabs>
        <w:numPr>
          <w:ilvl w:val="0"/>
          <w:numId w:val="58"/>
        </w:numPr>
        <w:rPr>
          <w:rFonts w:ascii="Arial" w:cs="Arial" w:eastAsia="Arial" w:hAnsi="Arial"/>
          <w:sz w:val="22"/>
          <w:szCs w:val="22"/>
          <w:color w:val="auto"/>
        </w:rPr>
      </w:pPr>
      <w:r>
        <w:rPr>
          <w:rFonts w:ascii="Arial" w:cs="Arial" w:eastAsia="Arial" w:hAnsi="Arial"/>
          <w:sz w:val="22"/>
          <w:szCs w:val="22"/>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u w:val="single" w:color="auto"/>
          <w:color w:val="auto"/>
        </w:rPr>
        <w:t>Reports to Holders</w:t>
      </w:r>
      <w:r>
        <w:rPr>
          <w:rFonts w:ascii="Arial" w:cs="Arial" w:eastAsia="Arial" w:hAnsi="Arial"/>
          <w:sz w:val="19"/>
          <w:szCs w:val="19"/>
          <w:color w:val="auto"/>
        </w:rPr>
        <w:t>.</w:t>
      </w:r>
    </w:p>
    <w:p>
      <w:pPr>
        <w:spacing w:after="0" w:line="206" w:lineRule="exact"/>
        <w:rPr>
          <w:sz w:val="20"/>
          <w:szCs w:val="20"/>
          <w:color w:val="auto"/>
        </w:rPr>
      </w:pPr>
    </w:p>
    <w:p>
      <w:pPr>
        <w:ind w:right="460" w:firstLine="1436"/>
        <w:spacing w:after="0" w:line="274" w:lineRule="auto"/>
        <w:tabs>
          <w:tab w:leader="none" w:pos="2101" w:val="left"/>
        </w:tabs>
        <w:numPr>
          <w:ilvl w:val="1"/>
          <w:numId w:val="59"/>
        </w:numPr>
        <w:rPr>
          <w:rFonts w:ascii="Arial" w:cs="Arial" w:eastAsia="Arial" w:hAnsi="Arial"/>
          <w:sz w:val="21"/>
          <w:szCs w:val="21"/>
          <w:color w:val="auto"/>
        </w:rPr>
      </w:pPr>
      <w:r>
        <w:rPr>
          <w:rFonts w:ascii="Arial" w:cs="Arial" w:eastAsia="Arial" w:hAnsi="Arial"/>
          <w:sz w:val="21"/>
          <w:szCs w:val="21"/>
          <w:color w:val="auto"/>
        </w:rPr>
        <w:t>Whether or not required by the rules and regulations of the Commission, so long as any Notes are outstanding hereunder, the Issuer shall furnish to the Trustee and Holders thereof the following:</w:t>
      </w:r>
    </w:p>
    <w:p>
      <w:pPr>
        <w:spacing w:after="0" w:line="150" w:lineRule="exact"/>
        <w:rPr>
          <w:rFonts w:ascii="Arial" w:cs="Arial" w:eastAsia="Arial" w:hAnsi="Arial"/>
          <w:sz w:val="21"/>
          <w:szCs w:val="21"/>
          <w:color w:val="auto"/>
        </w:rPr>
      </w:pPr>
    </w:p>
    <w:p>
      <w:pPr>
        <w:ind w:left="660" w:right="20" w:firstLine="730"/>
        <w:spacing w:after="0" w:line="249" w:lineRule="auto"/>
        <w:tabs>
          <w:tab w:leader="none" w:pos="2069" w:val="left"/>
        </w:tabs>
        <w:numPr>
          <w:ilvl w:val="0"/>
          <w:numId w:val="60"/>
        </w:numPr>
        <w:rPr>
          <w:rFonts w:ascii="Arial" w:cs="Arial" w:eastAsia="Arial" w:hAnsi="Arial"/>
          <w:sz w:val="21"/>
          <w:szCs w:val="21"/>
          <w:color w:val="auto"/>
        </w:rPr>
      </w:pPr>
      <w:r>
        <w:rPr>
          <w:rFonts w:ascii="Arial" w:cs="Arial" w:eastAsia="Arial" w:hAnsi="Arial"/>
          <w:sz w:val="21"/>
          <w:szCs w:val="21"/>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178" w:lineRule="exact"/>
        <w:rPr>
          <w:rFonts w:ascii="Arial" w:cs="Arial" w:eastAsia="Arial" w:hAnsi="Arial"/>
          <w:sz w:val="21"/>
          <w:szCs w:val="21"/>
          <w:color w:val="auto"/>
        </w:rPr>
      </w:pPr>
    </w:p>
    <w:p>
      <w:pPr>
        <w:ind w:left="660" w:right="100" w:firstLine="730"/>
        <w:spacing w:after="0" w:line="251" w:lineRule="auto"/>
        <w:tabs>
          <w:tab w:leader="none" w:pos="20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current reports that would be required to be filed with the Commission on Form 8-K if Parent were required to file such reports,</w:t>
      </w:r>
    </w:p>
    <w:p>
      <w:pPr>
        <w:spacing w:after="0" w:line="173"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105" w:lineRule="exact"/>
        <w:rPr>
          <w:sz w:val="20"/>
          <w:szCs w:val="20"/>
          <w:color w:val="auto"/>
        </w:rPr>
      </w:pPr>
    </w:p>
    <w:p>
      <w:pPr>
        <w:ind w:firstLine="1436"/>
        <w:spacing w:after="0" w:line="247" w:lineRule="auto"/>
        <w:tabs>
          <w:tab w:leader="none" w:pos="2117" w:val="left"/>
        </w:tabs>
        <w:numPr>
          <w:ilvl w:val="0"/>
          <w:numId w:val="61"/>
        </w:numPr>
        <w:rPr>
          <w:rFonts w:ascii="Arial" w:cs="Arial" w:eastAsia="Arial" w:hAnsi="Arial"/>
          <w:sz w:val="21"/>
          <w:szCs w:val="21"/>
          <w:color w:val="auto"/>
        </w:rPr>
      </w:pPr>
      <w:r>
        <w:rPr>
          <w:rFonts w:ascii="Arial" w:cs="Arial" w:eastAsia="Arial" w:hAnsi="Arial"/>
          <w:sz w:val="21"/>
          <w:szCs w:val="21"/>
          <w:color w:val="auto"/>
        </w:rPr>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78" w:lineRule="exact"/>
        <w:rPr>
          <w:rFonts w:ascii="Arial" w:cs="Arial" w:eastAsia="Arial" w:hAnsi="Arial"/>
          <w:sz w:val="21"/>
          <w:szCs w:val="21"/>
          <w:color w:val="auto"/>
        </w:rPr>
      </w:pPr>
    </w:p>
    <w:p>
      <w:pPr>
        <w:ind w:right="120" w:firstLine="1436"/>
        <w:spacing w:after="0" w:line="236" w:lineRule="auto"/>
        <w:tabs>
          <w:tab w:leader="none" w:pos="2101"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Issuer will also make available copies of all reports required by clauses (1) and (2) of the first paragraph of this covenant, if and so long as the Notes are listed on the Official List of the Luxembourg Stock Exchange and admitted for trading on the Euro MTF Market and the rules of the exchange so require, at the offices of the Listing Agent in Luxembourg or, to the extent and in the manner permitted by such rules, post such reports on the official website of the Issuer (www.crowncork.com).</w:t>
      </w:r>
    </w:p>
    <w:p>
      <w:pPr>
        <w:sectPr>
          <w:pgSz w:w="11900" w:h="16838" w:orient="portrait"/>
          <w:cols w:equalWidth="0" w:num="1">
            <w:col w:w="11000"/>
          </w:cols>
          <w:pgMar w:left="440" w:top="415" w:right="45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-49-</w:t>
      </w:r>
    </w:p>
    <w:p>
      <w:pPr>
        <w:spacing w:after="0" w:line="233" w:lineRule="exact"/>
        <w:rPr>
          <w:sz w:val="20"/>
          <w:szCs w:val="20"/>
          <w:color w:val="auto"/>
        </w:rPr>
      </w:pPr>
    </w:p>
    <w:p>
      <w:pPr>
        <w:ind w:right="60" w:firstLine="1436"/>
        <w:spacing w:after="0" w:line="238" w:lineRule="auto"/>
        <w:tabs>
          <w:tab w:leader="none" w:pos="2117"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an Officers’ Certificate).</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4.17.</w:t>
      </w:r>
      <w:r>
        <w:rPr>
          <w:sz w:val="20"/>
          <w:szCs w:val="20"/>
          <w:color w:val="auto"/>
        </w:rPr>
        <w:tab/>
      </w:r>
      <w:r>
        <w:rPr>
          <w:rFonts w:ascii="Arial" w:cs="Arial" w:eastAsia="Arial" w:hAnsi="Arial"/>
          <w:sz w:val="19"/>
          <w:szCs w:val="19"/>
          <w:u w:val="single" w:color="auto"/>
          <w:color w:val="auto"/>
        </w:rPr>
        <w:t>Additional Note Guarantees</w:t>
      </w:r>
      <w:r>
        <w:rPr>
          <w:rFonts w:ascii="Arial" w:cs="Arial" w:eastAsia="Arial" w:hAnsi="Arial"/>
          <w:sz w:val="19"/>
          <w:szCs w:val="19"/>
          <w:color w:val="auto"/>
        </w:rPr>
        <w:t>.</w:t>
      </w:r>
    </w:p>
    <w:p>
      <w:pPr>
        <w:spacing w:after="0" w:line="206" w:lineRule="exact"/>
        <w:rPr>
          <w:sz w:val="20"/>
          <w:szCs w:val="20"/>
          <w:color w:val="auto"/>
        </w:rPr>
      </w:pPr>
    </w:p>
    <w:p>
      <w:pPr>
        <w:ind w:right="60" w:firstLine="1436"/>
        <w:spacing w:after="0"/>
        <w:tabs>
          <w:tab w:leader="none" w:pos="2105"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Parent shall not create, acquire or suffer to exist, and shall not permit any of its Restricted Subsidiaries to create, acquire or suffer to exist, any Subsidiary other than a Restricted Subsidiary existing as of the Issue Date or that is acquired or created after the Issue Date; </w:t>
      </w:r>
      <w:r>
        <w:rPr>
          <w:rFonts w:ascii="Arial" w:cs="Arial" w:eastAsia="Arial" w:hAnsi="Arial"/>
          <w:sz w:val="22"/>
          <w:szCs w:val="22"/>
          <w:i w:val="1"/>
          <w:iCs w:val="1"/>
          <w:color w:val="auto"/>
        </w:rPr>
        <w:t>provided, however</w:t>
      </w:r>
      <w:r>
        <w:rPr>
          <w:rFonts w:ascii="Arial" w:cs="Arial" w:eastAsia="Arial" w:hAnsi="Arial"/>
          <w:sz w:val="22"/>
          <w:szCs w:val="22"/>
          <w:color w:val="auto"/>
        </w:rPr>
        <w:t>, that each</w:t>
      </w:r>
    </w:p>
    <w:p>
      <w:pPr>
        <w:spacing w:after="0" w:line="186" w:lineRule="exact"/>
        <w:rPr>
          <w:rFonts w:ascii="Arial" w:cs="Arial" w:eastAsia="Arial" w:hAnsi="Arial"/>
          <w:sz w:val="22"/>
          <w:szCs w:val="22"/>
          <w:color w:val="auto"/>
        </w:rPr>
      </w:pPr>
    </w:p>
    <w:p>
      <w:pPr>
        <w:ind w:left="1440" w:firstLine="572"/>
        <w:spacing w:after="0" w:line="282" w:lineRule="auto"/>
        <w:tabs>
          <w:tab w:leader="none" w:pos="2747" w:val="left"/>
        </w:tabs>
        <w:numPr>
          <w:ilvl w:val="1"/>
          <w:numId w:val="63"/>
        </w:numPr>
        <w:rPr>
          <w:rFonts w:ascii="Arial" w:cs="Arial" w:eastAsia="Arial" w:hAnsi="Arial"/>
          <w:sz w:val="19"/>
          <w:szCs w:val="19"/>
          <w:color w:val="auto"/>
        </w:rPr>
      </w:pPr>
      <w:r>
        <w:rPr>
          <w:rFonts w:ascii="Arial" w:cs="Arial" w:eastAsia="Arial" w:hAnsi="Arial"/>
          <w:sz w:val="19"/>
          <w:szCs w:val="19"/>
          <w:color w:val="auto"/>
        </w:rPr>
        <w:t>Domestic Subsidiary and each other Subsidiary of the Parent organized in Canada, England, Luxembourg, Mexico, the Netherlands, Spain or Switzerland that from time to time is an obligor under the Existing Credit Facility or directly or indirectly (by way of the pledge of any intercompany note or otherwise) Guarantees or in any other manner becomes liable with respect to any Indebtedness of the Issuer, Parent or any other Guarantor (including, without limitation, the Existing Credit Facility), and</w:t>
      </w:r>
    </w:p>
    <w:p>
      <w:pPr>
        <w:spacing w:after="0" w:line="147" w:lineRule="exact"/>
        <w:rPr>
          <w:rFonts w:ascii="Arial" w:cs="Arial" w:eastAsia="Arial" w:hAnsi="Arial"/>
          <w:sz w:val="19"/>
          <w:szCs w:val="19"/>
          <w:color w:val="auto"/>
        </w:rPr>
      </w:pPr>
    </w:p>
    <w:p>
      <w:pPr>
        <w:ind w:left="1440" w:right="260" w:firstLine="572"/>
        <w:spacing w:after="0" w:line="287" w:lineRule="auto"/>
        <w:tabs>
          <w:tab w:leader="none" w:pos="2736" w:val="left"/>
        </w:tabs>
        <w:numPr>
          <w:ilvl w:val="1"/>
          <w:numId w:val="63"/>
        </w:numPr>
        <w:rPr>
          <w:rFonts w:ascii="Arial" w:cs="Arial" w:eastAsia="Arial" w:hAnsi="Arial"/>
          <w:sz w:val="19"/>
          <w:szCs w:val="19"/>
          <w:color w:val="auto"/>
        </w:rPr>
      </w:pPr>
      <w:r>
        <w:rPr>
          <w:rFonts w:ascii="Arial" w:cs="Arial" w:eastAsia="Arial" w:hAnsi="Arial"/>
          <w:sz w:val="19"/>
          <w:szCs w:val="19"/>
          <w:color w:val="auto"/>
        </w:rPr>
        <w:t>Restricted Subsidiary of the Issuer that directly or indirectly (by way of the pledge of any intercompany note or otherwise) Guarantees or in any other manner becomes liable with respect to any Indebtedness of the Issuer, Parent or any other Guarantor (including, without limitation, Indebtedness under the Existing Credit Facility) or is otherwise an obligor under the Existing Credit Facility,</w:t>
      </w:r>
    </w:p>
    <w:p>
      <w:pPr>
        <w:spacing w:after="0" w:line="143" w:lineRule="exact"/>
        <w:rPr>
          <w:sz w:val="20"/>
          <w:szCs w:val="20"/>
          <w:color w:val="auto"/>
        </w:rPr>
      </w:pPr>
    </w:p>
    <w:p>
      <w:pPr>
        <w:ind w:left="780" w:right="380"/>
        <w:spacing w:after="0" w:line="249" w:lineRule="auto"/>
        <w:rPr>
          <w:sz w:val="20"/>
          <w:szCs w:val="20"/>
          <w:color w:val="auto"/>
        </w:rPr>
      </w:pPr>
      <w:r>
        <w:rPr>
          <w:rFonts w:ascii="Arial" w:cs="Arial" w:eastAsia="Arial" w:hAnsi="Arial"/>
          <w:sz w:val="21"/>
          <w:szCs w:val="21"/>
          <w:color w:val="auto"/>
        </w:rPr>
        <w:t>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Restricted Subsidiary will become a Guarantor (unless, in each case, the incurrence of such Note Guarantee is prohibited under the laws of its jurisdiction of incorporation (as evidenced by an Opinion of Counsel)).</w:t>
      </w:r>
    </w:p>
    <w:p>
      <w:pPr>
        <w:spacing w:after="0" w:line="179" w:lineRule="exact"/>
        <w:rPr>
          <w:sz w:val="20"/>
          <w:szCs w:val="20"/>
          <w:color w:val="auto"/>
        </w:rPr>
      </w:pPr>
    </w:p>
    <w:p>
      <w:pPr>
        <w:ind w:left="2100" w:hanging="664"/>
        <w:spacing w:after="0"/>
        <w:tabs>
          <w:tab w:leader="none" w:pos="21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Note Guarantee of any Guarantor shall be subject to release and discharge as provided under Article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Ten.</w:t>
      </w:r>
    </w:p>
    <w:p>
      <w:pPr>
        <w:sectPr>
          <w:pgSz w:w="11900" w:h="16838" w:orient="portrait"/>
          <w:cols w:equalWidth="0" w:num="1">
            <w:col w:w="11020"/>
          </w:cols>
          <w:pgMar w:left="440" w:top="415" w:right="4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color w:val="auto"/>
        </w:rPr>
        <w:t>[Reserved]</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u w:val="single" w:color="auto"/>
          <w:color w:val="auto"/>
        </w:rPr>
        <w:t>Maintenance of Listing</w:t>
      </w:r>
      <w:r>
        <w:rPr>
          <w:rFonts w:ascii="Arial" w:cs="Arial" w:eastAsia="Arial" w:hAnsi="Arial"/>
          <w:sz w:val="19"/>
          <w:szCs w:val="19"/>
          <w:color w:val="auto"/>
        </w:rPr>
        <w:t>.</w:t>
      </w:r>
    </w:p>
    <w:p>
      <w:pPr>
        <w:spacing w:after="0" w:line="206" w:lineRule="exact"/>
        <w:rPr>
          <w:sz w:val="20"/>
          <w:szCs w:val="20"/>
          <w:color w:val="auto"/>
        </w:rPr>
      </w:pPr>
    </w:p>
    <w:p>
      <w:pPr>
        <w:ind w:right="80" w:firstLine="1433"/>
        <w:spacing w:after="0" w:line="249" w:lineRule="auto"/>
        <w:rPr>
          <w:sz w:val="20"/>
          <w:szCs w:val="20"/>
          <w:color w:val="auto"/>
        </w:rPr>
      </w:pPr>
      <w:r>
        <w:rPr>
          <w:rFonts w:ascii="Arial" w:cs="Arial" w:eastAsia="Arial" w:hAnsi="Arial"/>
          <w:sz w:val="21"/>
          <w:szCs w:val="21"/>
          <w:color w:val="auto"/>
        </w:rPr>
        <w:t xml:space="preserve">The Issuer will use its commercially reasonable efforts to maintain the listing of the Notes on the Official List of the Luxembourg Stock Exchange for so long as such Notes are outstanding;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at any time the Issuer determines that it will not maintain such listing, it will obtain, prior to the delisting of the Notes from the Official List of the Luxembourg Stock Exchange, and thereafter use its commercially reasonable efforts to maintain, a listing of such Notes on another recognized stock exchange or exchange regulated market in western Europe.</w:t>
      </w:r>
    </w:p>
    <w:p>
      <w:pPr>
        <w:spacing w:after="0" w:line="179" w:lineRule="exact"/>
        <w:rPr>
          <w:sz w:val="20"/>
          <w:szCs w:val="20"/>
          <w:color w:val="auto"/>
        </w:rPr>
      </w:pPr>
    </w:p>
    <w:p>
      <w:pPr>
        <w:ind w:firstLine="1433"/>
        <w:spacing w:after="0" w:line="238" w:lineRule="auto"/>
        <w:rPr>
          <w:sz w:val="20"/>
          <w:szCs w:val="20"/>
          <w:color w:val="auto"/>
        </w:rPr>
      </w:pPr>
      <w:r>
        <w:rPr>
          <w:rFonts w:ascii="Arial" w:cs="Arial" w:eastAsia="Arial" w:hAnsi="Arial"/>
          <w:sz w:val="22"/>
          <w:szCs w:val="22"/>
          <w:color w:val="auto"/>
        </w:rPr>
        <w:t>So long as the Notes are listed on the Official List of the Luxembourg Stock Exchange and admitted to trading on the Euro MTF Market and the rules of such exchange so require, notices to be given to Holders shall be made in accordance with the rules of the Euro MTF Market or, to the extent and in the manner permitted by such rules, posted on the official website of the Luxembourg Stock Exchange (www.bourse.lu).</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u w:val="single" w:color="auto"/>
          <w:color w:val="auto"/>
        </w:rPr>
        <w:t>Payment of Additional Amounts</w:t>
      </w:r>
    </w:p>
    <w:p>
      <w:pPr>
        <w:spacing w:after="0" w:line="206" w:lineRule="exact"/>
        <w:rPr>
          <w:sz w:val="20"/>
          <w:szCs w:val="20"/>
          <w:color w:val="auto"/>
        </w:rPr>
      </w:pPr>
    </w:p>
    <w:p>
      <w:pPr>
        <w:ind w:firstLine="1767"/>
        <w:spacing w:after="0" w:line="270" w:lineRule="auto"/>
        <w:tabs>
          <w:tab w:leader="none" w:pos="2207"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payments made by or on behalf of the Issuer under or with respect to a Note, or a Guarantor under or with respect to a Note Guarantee, shall be made free and clear of and without withholding or deduction for or on account of any present or future tax, duty, levy, impost, assessment or other governmental charge (including penalties, interest and other liabilities related thereto) (hereinafter, “</w:t>
      </w:r>
      <w:r>
        <w:rPr>
          <w:rFonts w:ascii="Arial" w:cs="Arial" w:eastAsia="Arial" w:hAnsi="Arial"/>
          <w:sz w:val="19"/>
          <w:szCs w:val="19"/>
          <w:u w:val="single" w:color="auto"/>
          <w:color w:val="auto"/>
        </w:rPr>
        <w:t>Taxes</w:t>
      </w:r>
      <w:r>
        <w:rPr>
          <w:rFonts w:ascii="Arial" w:cs="Arial" w:eastAsia="Arial" w:hAnsi="Arial"/>
          <w:sz w:val="19"/>
          <w:szCs w:val="19"/>
          <w:color w:val="auto"/>
        </w:rPr>
        <w:t>”) unless the Issuer or such Guarantor is required to withhold or deduct any such Taxes by law, including by the official interpretation or administration thereof by a relevant taxing authority. If any Taxes imposed or levied by or on behalf of the government of France or any other jurisdiction in which the Issuer or any Guarantor (or any successor Person) is organized or is a resident or does business for tax purposes or within or through which payment is made or any political subdivision or taxing authority or agency thereof or therein (any of the aforementioned being a “</w:t>
      </w:r>
      <w:r>
        <w:rPr>
          <w:rFonts w:ascii="Arial" w:cs="Arial" w:eastAsia="Arial" w:hAnsi="Arial"/>
          <w:sz w:val="19"/>
          <w:szCs w:val="19"/>
          <w:u w:val="single" w:color="auto"/>
          <w:color w:val="auto"/>
        </w:rPr>
        <w:t>Taxing Jurisdiction</w:t>
      </w:r>
      <w:r>
        <w:rPr>
          <w:rFonts w:ascii="Arial" w:cs="Arial" w:eastAsia="Arial" w:hAnsi="Arial"/>
          <w:sz w:val="19"/>
          <w:szCs w:val="19"/>
          <w:color w:val="auto"/>
        </w:rPr>
        <w:t>”), will at any time be required to be withheld or deducted from any payment made under or with respect to a Note or a Note Guarantee, or if a Holder actually pays any such Taxes where the Issuer or Guarantor or applicable withholding agent has failed to withhold or deduct Taxes required to be withheld or deducted from any payment made under or with respect to a Note or a Note Guarantee, the Issuer or the relevant Guarantor, as applicable, shall, pay such additional amounts (“</w:t>
      </w:r>
      <w:r>
        <w:rPr>
          <w:rFonts w:ascii="Arial" w:cs="Arial" w:eastAsia="Arial" w:hAnsi="Arial"/>
          <w:sz w:val="19"/>
          <w:szCs w:val="19"/>
          <w:u w:val="single" w:color="auto"/>
          <w:color w:val="auto"/>
        </w:rPr>
        <w:t>Additional Amounts</w:t>
      </w:r>
      <w:r>
        <w:rPr>
          <w:rFonts w:ascii="Arial" w:cs="Arial" w:eastAsia="Arial" w:hAnsi="Arial"/>
          <w:sz w:val="19"/>
          <w:szCs w:val="19"/>
          <w:color w:val="auto"/>
        </w:rPr>
        <w:t xml:space="preserve">”) as may be necessary so that the net amount received by the holder of such Note (including Additional Amounts) after such withholding or deduction by the applicable withholding agent of such Taxes (including any such Taxes on such Additional Amounts) shall not be less than the amount such holder would have received if such Taxes had not been required to be withheld or deducted;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Additional Amounts will not be paid:</w:t>
      </w:r>
    </w:p>
    <w:p>
      <w:pPr>
        <w:sectPr>
          <w:pgSz w:w="11900" w:h="16838" w:orient="portrait"/>
          <w:cols w:equalWidth="0" w:num="1">
            <w:col w:w="11000"/>
          </w:cols>
          <w:pgMar w:left="440" w:top="415" w:right="459" w:bottom="1440" w:gutter="0" w:footer="0" w:header="0"/>
        </w:sectPr>
      </w:pPr>
    </w:p>
    <w:bookmarkStart w:id="61" w:name="page62"/>
    <w:bookmarkEnd w:id="61"/>
    <w:p>
      <w:pPr>
        <w:ind w:left="46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w:t>
      </w:r>
    </w:p>
    <w:p>
      <w:pPr>
        <w:spacing w:after="0" w:line="233" w:lineRule="exact"/>
        <w:rPr>
          <w:sz w:val="20"/>
          <w:szCs w:val="20"/>
          <w:color w:val="auto"/>
        </w:rPr>
      </w:pPr>
    </w:p>
    <w:p>
      <w:pPr>
        <w:ind w:right="20" w:firstLine="730"/>
        <w:spacing w:after="0" w:line="279" w:lineRule="auto"/>
        <w:tabs>
          <w:tab w:leader="none" w:pos="14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extent the Taxes giving rise to such Additional Amounts would not have been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(other than the receipt of such payment or the acquisition, ownership, holding or disposition of, or the execution, delivery, registration or enforcement of, such Note or Note Guarantee);</w:t>
      </w:r>
    </w:p>
    <w:p>
      <w:pPr>
        <w:spacing w:after="0" w:line="150" w:lineRule="exact"/>
        <w:rPr>
          <w:rFonts w:ascii="Arial" w:cs="Arial" w:eastAsia="Arial" w:hAnsi="Arial"/>
          <w:sz w:val="19"/>
          <w:szCs w:val="19"/>
          <w:color w:val="auto"/>
        </w:rPr>
      </w:pPr>
    </w:p>
    <w:p>
      <w:pPr>
        <w:ind w:left="1420" w:hanging="690"/>
        <w:spacing w:after="0"/>
        <w:tabs>
          <w:tab w:leader="none" w:pos="1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subject to subsection (e) of this Section 4.20, with respect to any estate, inheritance, gift, sales, transfer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similar tax;</w:t>
      </w:r>
    </w:p>
    <w:p>
      <w:pPr>
        <w:spacing w:after="0" w:line="188" w:lineRule="exact"/>
        <w:rPr>
          <w:rFonts w:ascii="Arial" w:cs="Arial" w:eastAsia="Arial" w:hAnsi="Arial"/>
          <w:sz w:val="19"/>
          <w:szCs w:val="19"/>
          <w:color w:val="auto"/>
        </w:rPr>
      </w:pPr>
    </w:p>
    <w:p>
      <w:pPr>
        <w:ind w:right="500" w:firstLine="730"/>
        <w:spacing w:after="0" w:line="251" w:lineRule="auto"/>
        <w:tabs>
          <w:tab w:leader="none" w:pos="1409"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subsection (e) of this Section 4.20, with respect to any Taxes payable otherwise than by deduction or withholding from payments under or with respect to such Note;</w:t>
      </w:r>
    </w:p>
    <w:p>
      <w:pPr>
        <w:spacing w:after="0" w:line="173" w:lineRule="exact"/>
        <w:rPr>
          <w:rFonts w:ascii="Arial" w:cs="Arial" w:eastAsia="Arial" w:hAnsi="Arial"/>
          <w:sz w:val="22"/>
          <w:szCs w:val="22"/>
          <w:color w:val="auto"/>
        </w:rPr>
      </w:pPr>
    </w:p>
    <w:p>
      <w:pPr>
        <w:ind w:firstLine="730"/>
        <w:spacing w:after="0" w:line="272" w:lineRule="auto"/>
        <w:tabs>
          <w:tab w:leader="none" w:pos="14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extent such Taxes would not have been imposed, deducted or withheld if the Holder or beneficial owner of the Note or beneficial owner of any payment on such Note had (i) made a declaration of non-residence, or any other claim or filing for exemption, to which it is entitled or (ii) complied with (to the extent legally eligible to do so)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(y) at least 30 days prior to the first payment date with respect to which such declaration of nonresidence or other claim or filing for exemption or such compliance is required under the applicable law of the Taxing Jurisdiction, the relevant Holder at that time has been notified in writing by the Issuer, any Guarantor or any other Person through whom payment may be made that a declaration of non-residence or other claim or filing for exemption or such compliance is required to be made);</w:t>
      </w:r>
    </w:p>
    <w:p>
      <w:pPr>
        <w:spacing w:after="0" w:line="161" w:lineRule="exact"/>
        <w:rPr>
          <w:rFonts w:ascii="Arial" w:cs="Arial" w:eastAsia="Arial" w:hAnsi="Arial"/>
          <w:sz w:val="19"/>
          <w:szCs w:val="19"/>
          <w:color w:val="auto"/>
        </w:rPr>
      </w:pPr>
    </w:p>
    <w:p>
      <w:pPr>
        <w:ind w:right="80" w:firstLine="730"/>
        <w:spacing w:after="0" w:line="236" w:lineRule="auto"/>
        <w:tabs>
          <w:tab w:leader="none" w:pos="140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the extent such Taxes would not have been imposed, deducted or withheld if the Note had been presented for payment (where presentation is required)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ectPr>
          <w:pgSz w:w="11900" w:h="16838" w:orient="portrait"/>
          <w:cols w:equalWidth="0" w:num="1">
            <w:col w:w="10360"/>
          </w:cols>
          <w:pgMar w:left="1100" w:top="415" w:right="4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p>
    <w:p>
      <w:pPr>
        <w:spacing w:after="0" w:line="233" w:lineRule="exact"/>
        <w:rPr>
          <w:sz w:val="20"/>
          <w:szCs w:val="20"/>
          <w:color w:val="auto"/>
        </w:rPr>
      </w:pPr>
    </w:p>
    <w:p>
      <w:pPr>
        <w:ind w:left="660" w:firstLine="730"/>
        <w:spacing w:after="0" w:line="236" w:lineRule="auto"/>
        <w:tabs>
          <w:tab w:leader="none" w:pos="2069"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any payment under or with respect to a Note to any Holder that is a fiduciary or partnership or any person other than the sole beneficial owner of such payment or Note, to the extent that a beneficiary or settlor with respect to such fiduciary, a member of such a partnership or the beneficial owner of such payment or Note would not have been entitled to the Additional Amounts had such beneficiary, settlor, member or beneficial owner been the actual Holder of such Note;</w:t>
      </w:r>
    </w:p>
    <w:p>
      <w:pPr>
        <w:spacing w:after="0" w:line="187" w:lineRule="exact"/>
        <w:rPr>
          <w:rFonts w:ascii="Arial" w:cs="Arial" w:eastAsia="Arial" w:hAnsi="Arial"/>
          <w:sz w:val="22"/>
          <w:szCs w:val="22"/>
          <w:color w:val="auto"/>
        </w:rPr>
      </w:pPr>
    </w:p>
    <w:p>
      <w:pPr>
        <w:ind w:left="660" w:right="20" w:firstLine="730"/>
        <w:spacing w:after="0" w:line="279" w:lineRule="auto"/>
        <w:tabs>
          <w:tab w:leader="none" w:pos="206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the extent such Taxes are imposed or withheld pursuant to Section 1471 through 1474 of the Internal Revenue Code, as of the Issue Date (or any amended or successor version of such sections that are substantively comparable and not materially more onerous to comply with), any regulations promulgated thereunder, any official interpretations thereof, any similar law or regulation adopted pursuant to an intergovernmental agreement between a non-U.S. jurisdiction and the United States implementing the foregoing or any agreements entered into pursuant to Section 1471(b)(1) of the Code as of the Issue Date (or any amended or successor version described above); and</w:t>
      </w:r>
    </w:p>
    <w:p>
      <w:pPr>
        <w:spacing w:after="0" w:line="150" w:lineRule="exact"/>
        <w:rPr>
          <w:rFonts w:ascii="Arial" w:cs="Arial" w:eastAsia="Arial" w:hAnsi="Arial"/>
          <w:sz w:val="19"/>
          <w:szCs w:val="19"/>
          <w:color w:val="auto"/>
        </w:rPr>
      </w:pPr>
    </w:p>
    <w:p>
      <w:pPr>
        <w:ind w:left="2080" w:hanging="690"/>
        <w:spacing w:after="0"/>
        <w:tabs>
          <w:tab w:leader="none" w:pos="20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combination of items (1) through (7) above.</w:t>
      </w:r>
    </w:p>
    <w:p>
      <w:pPr>
        <w:spacing w:after="0" w:line="20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 xml:space="preserve">The foregoing provisions shall survive any termination or discharge of this Indenture and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any Taxing Jurisdiction with respect to any successor Person to the Issuer or a Guarantor.</w:t>
      </w:r>
    </w:p>
    <w:p>
      <w:pPr>
        <w:spacing w:after="0" w:line="173" w:lineRule="exact"/>
        <w:rPr>
          <w:sz w:val="20"/>
          <w:szCs w:val="20"/>
          <w:color w:val="auto"/>
        </w:rPr>
      </w:pPr>
    </w:p>
    <w:p>
      <w:pPr>
        <w:ind w:firstLine="1767"/>
        <w:spacing w:after="0" w:line="277" w:lineRule="auto"/>
        <w:tabs>
          <w:tab w:leader="none" w:pos="2443"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Issuer or the applicable Guarantor, if it is the applicable withholding agent, will make any applicable withholding or deduction required by law and remit the full amount deducted or withheld to the relevant authority in accordance with applicable law. The Issuer or the applicable Guarantor will furnish to the Trustee, within 30 days after the date the payment of any Taxes deducted or withheld is due pursuant to applicable law, certified copies of tax receipts or, if such tax receipts are not reasonably available to the Issuer or such Guarantor, such other documentation that provides reasonable evidence of such payment by the Issuer or such Guarantor. Copies of such receipts or other documentation will be made available to the Holders or the Paying Agent, as applicable, upon request.</w:t>
      </w:r>
    </w:p>
    <w:p>
      <w:pPr>
        <w:spacing w:after="0" w:line="152" w:lineRule="exact"/>
        <w:rPr>
          <w:rFonts w:ascii="Arial" w:cs="Arial" w:eastAsia="Arial" w:hAnsi="Arial"/>
          <w:sz w:val="19"/>
          <w:szCs w:val="19"/>
          <w:color w:val="auto"/>
        </w:rPr>
      </w:pPr>
    </w:p>
    <w:p>
      <w:pPr>
        <w:ind w:right="40" w:firstLine="1767"/>
        <w:spacing w:after="0" w:line="246" w:lineRule="auto"/>
        <w:tabs>
          <w:tab w:leader="none" w:pos="2423" w:val="left"/>
        </w:tabs>
        <w:numPr>
          <w:ilvl w:val="0"/>
          <w:numId w:val="68"/>
        </w:numPr>
        <w:rPr>
          <w:rFonts w:ascii="Arial" w:cs="Arial" w:eastAsia="Arial" w:hAnsi="Arial"/>
          <w:sz w:val="21"/>
          <w:szCs w:val="21"/>
          <w:color w:val="auto"/>
        </w:rPr>
      </w:pPr>
      <w:r>
        <w:rPr>
          <w:rFonts w:ascii="Arial" w:cs="Arial" w:eastAsia="Arial" w:hAnsi="Arial"/>
          <w:sz w:val="21"/>
          <w:szCs w:val="21"/>
          <w:color w:val="auto"/>
        </w:rPr>
        <w:t>At least 30 days prior to each date on which any payment under or with respect to any Notes is due and payable, if the Issuer or any Guarantor will be obligated to pay Additional Amounts with respect to such payment, the Issuer or such Guarantor will deliver to the Trustee and the Paying Agent an Officers’ Certificate stating the fact that such Additional Amounts will be payable and the amounts so payable and will set forth such other information necessary to enable such Trustee and Paying Agents to pay such Additional Amounts to Holders of such Notes on the payment date. Notwithstanding the foregoing, if the obligation to pay Additional Amounts arises after the 30</w:t>
      </w:r>
      <w:r>
        <w:rPr>
          <w:rFonts w:ascii="Arial" w:cs="Arial" w:eastAsia="Arial" w:hAnsi="Arial"/>
          <w:sz w:val="17"/>
          <w:szCs w:val="17"/>
          <w:color w:val="auto"/>
        </w:rPr>
        <w:t>th</w:t>
      </w:r>
      <w:r>
        <w:rPr>
          <w:rFonts w:ascii="Arial" w:cs="Arial" w:eastAsia="Arial" w:hAnsi="Arial"/>
          <w:sz w:val="21"/>
          <w:szCs w:val="21"/>
          <w:color w:val="auto"/>
        </w:rPr>
        <w:t xml:space="preserve"> day prior to any such date, the Issuer or the applicable Guarantor will deliver to the Trustee and the Paying Agent an Officers’ Certificate as described in the preceding sentence and will pay such Additional Amounts promptly after</w:t>
      </w:r>
    </w:p>
    <w:p>
      <w:pPr>
        <w:sectPr>
          <w:pgSz w:w="11900" w:h="16838" w:orient="portrait"/>
          <w:cols w:equalWidth="0" w:num="1">
            <w:col w:w="11020"/>
          </w:cols>
          <w:pgMar w:left="440" w:top="415" w:right="4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p>
    <w:p>
      <w:pPr>
        <w:spacing w:after="0" w:line="23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such obligation arises. The Trustee and the Paying Agent shall be entitled but shall not be obligated to rely on each Officers’ Certificate until receipt of a further Officers’ Certificate addressing such matters.</w:t>
      </w:r>
    </w:p>
    <w:p>
      <w:pPr>
        <w:spacing w:after="0" w:line="173" w:lineRule="exact"/>
        <w:rPr>
          <w:sz w:val="20"/>
          <w:szCs w:val="20"/>
          <w:color w:val="auto"/>
        </w:rPr>
      </w:pPr>
    </w:p>
    <w:p>
      <w:pPr>
        <w:ind w:firstLine="1767"/>
        <w:spacing w:after="0" w:line="238" w:lineRule="auto"/>
        <w:tabs>
          <w:tab w:leader="none" w:pos="2227" w:val="left"/>
        </w:tabs>
        <w:numPr>
          <w:ilvl w:val="0"/>
          <w:numId w:val="69"/>
        </w:numPr>
        <w:rPr>
          <w:rFonts w:ascii="Arial" w:cs="Arial" w:eastAsia="Arial" w:hAnsi="Arial"/>
          <w:sz w:val="22"/>
          <w:szCs w:val="22"/>
          <w:color w:val="auto"/>
        </w:rPr>
      </w:pPr>
      <w:r>
        <w:rPr>
          <w:rFonts w:ascii="Arial" w:cs="Arial" w:eastAsia="Arial" w:hAnsi="Arial"/>
          <w:sz w:val="22"/>
          <w:szCs w:val="22"/>
          <w:color w:val="auto"/>
        </w:rPr>
        <w:t>Whenever in this Indenture or the Notes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85" w:lineRule="exact"/>
        <w:rPr>
          <w:rFonts w:ascii="Arial" w:cs="Arial" w:eastAsia="Arial" w:hAnsi="Arial"/>
          <w:sz w:val="22"/>
          <w:szCs w:val="22"/>
          <w:color w:val="auto"/>
        </w:rPr>
      </w:pPr>
    </w:p>
    <w:p>
      <w:pPr>
        <w:ind w:firstLine="1767"/>
        <w:spacing w:after="0" w:line="236" w:lineRule="auto"/>
        <w:tabs>
          <w:tab w:leader="none" w:pos="2219"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addition to the foregoing, the Issuer and the Guarantors will pay any present or future stamp, court or documentary Taxes or any other excise, property or similar Taxes that arise in any Taxing Jurisdiction from the execution, issue, delivery, enforcement or registration of the Notes, the Indenture, any Guarantee or any other document or instrument in relation thereto, and the Issuer and the Guarantors will indemnify the Holders of the Notes for any such Taxes paid by such Holders.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FIVE</w:t>
      </w: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SUCCESSOR CORPORATION</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Consolidation, Merger and Sale of Assets</w:t>
      </w:r>
      <w:r>
        <w:rPr>
          <w:rFonts w:ascii="Arial" w:cs="Arial" w:eastAsia="Arial" w:hAnsi="Arial"/>
          <w:sz w:val="19"/>
          <w:szCs w:val="19"/>
          <w:color w:val="auto"/>
        </w:rPr>
        <w:t>.</w:t>
      </w:r>
    </w:p>
    <w:p>
      <w:pPr>
        <w:spacing w:after="0" w:line="206" w:lineRule="exact"/>
        <w:rPr>
          <w:sz w:val="20"/>
          <w:szCs w:val="20"/>
          <w:color w:val="auto"/>
        </w:rPr>
      </w:pPr>
    </w:p>
    <w:p>
      <w:pPr>
        <w:ind w:right="100" w:firstLine="1436"/>
        <w:spacing w:after="0" w:line="236" w:lineRule="auto"/>
        <w:tabs>
          <w:tab w:leader="none" w:pos="2105" w:val="left"/>
        </w:tabs>
        <w:numPr>
          <w:ilvl w:val="1"/>
          <w:numId w:val="70"/>
        </w:numPr>
        <w:rPr>
          <w:rFonts w:ascii="Arial" w:cs="Arial" w:eastAsia="Arial" w:hAnsi="Arial"/>
          <w:sz w:val="22"/>
          <w:szCs w:val="22"/>
          <w:color w:val="auto"/>
        </w:rPr>
      </w:pPr>
      <w:r>
        <w:rPr>
          <w:rFonts w:ascii="Arial" w:cs="Arial" w:eastAsia="Arial" w:hAnsi="Arial"/>
          <w:sz w:val="22"/>
          <w:szCs w:val="22"/>
          <w:color w:val="auto"/>
        </w:rPr>
        <w:t>(i)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187" w:lineRule="exact"/>
        <w:rPr>
          <w:rFonts w:ascii="Arial" w:cs="Arial" w:eastAsia="Arial" w:hAnsi="Arial"/>
          <w:sz w:val="22"/>
          <w:szCs w:val="22"/>
          <w:color w:val="auto"/>
        </w:rPr>
      </w:pPr>
    </w:p>
    <w:p>
      <w:pPr>
        <w:ind w:left="660" w:right="220" w:firstLine="730"/>
        <w:spacing w:after="0" w:line="238" w:lineRule="auto"/>
        <w:tabs>
          <w:tab w:leader="none" w:pos="2069"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185" w:lineRule="exact"/>
        <w:rPr>
          <w:sz w:val="20"/>
          <w:szCs w:val="20"/>
          <w:color w:val="auto"/>
        </w:rPr>
      </w:pPr>
    </w:p>
    <w:p>
      <w:pPr>
        <w:ind w:left="660" w:right="180" w:firstLine="730"/>
        <w:spacing w:after="0" w:line="236" w:lineRule="auto"/>
        <w:tabs>
          <w:tab w:leader="none" w:pos="2105"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the case of a merger, consolidation or Transfer involving the Issuer, the Issuer is the surviving Person or the Person formed by or surviving any such consolidation or merger (if other than the Issuer) or to which such Transfer has been made is a corporation organized or existing under the laws of a member state of the European Union (as it existed on December 31, 2003), Switzerland, the United States, any State thereof or the District of Columbia;</w:t>
      </w:r>
    </w:p>
    <w:p>
      <w:pPr>
        <w:sectPr>
          <w:pgSz w:w="11900" w:h="16838" w:orient="portrait"/>
          <w:cols w:equalWidth="0" w:num="1">
            <w:col w:w="10960"/>
          </w:cols>
          <w:pgMar w:left="440" w:top="415" w:right="499" w:bottom="1440" w:gutter="0" w:footer="0" w:header="0"/>
        </w:sectPr>
      </w:pPr>
    </w:p>
    <w:bookmarkStart w:id="64" w:name="page65"/>
    <w:bookmarkEnd w:id="64"/>
    <w:p>
      <w:pPr>
        <w:ind w:left="43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p>
    <w:p>
      <w:pPr>
        <w:spacing w:after="0" w:line="233" w:lineRule="exact"/>
        <w:rPr>
          <w:sz w:val="20"/>
          <w:szCs w:val="20"/>
          <w:color w:val="auto"/>
        </w:rPr>
      </w:pPr>
    </w:p>
    <w:p>
      <w:pPr>
        <w:ind w:left="-340" w:firstLine="730"/>
        <w:spacing w:after="0" w:line="238" w:lineRule="auto"/>
        <w:tabs>
          <w:tab w:leader="none" w:pos="10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and this Indenture pursuant to a supplemental indenture or amendment of the relevant documents; and</w:t>
      </w:r>
    </w:p>
    <w:p>
      <w:pPr>
        <w:spacing w:after="0" w:line="185" w:lineRule="exact"/>
        <w:rPr>
          <w:rFonts w:ascii="Arial" w:cs="Arial" w:eastAsia="Arial" w:hAnsi="Arial"/>
          <w:sz w:val="22"/>
          <w:szCs w:val="22"/>
          <w:color w:val="auto"/>
        </w:rPr>
      </w:pPr>
    </w:p>
    <w:p>
      <w:pPr>
        <w:ind w:left="1080" w:hanging="690"/>
        <w:spacing w:after="0"/>
        <w:tabs>
          <w:tab w:leader="none" w:pos="10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06" w:lineRule="exact"/>
        <w:rPr>
          <w:sz w:val="20"/>
          <w:szCs w:val="20"/>
          <w:color w:val="auto"/>
        </w:rPr>
      </w:pPr>
    </w:p>
    <w:p>
      <w:pPr>
        <w:ind w:left="1080" w:hanging="690"/>
        <w:spacing w:after="0"/>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the foregoing, none of the following shall be permitted:</w:t>
      </w:r>
    </w:p>
    <w:p>
      <w:pPr>
        <w:spacing w:after="0" w:line="206" w:lineRule="exact"/>
        <w:rPr>
          <w:sz w:val="20"/>
          <w:szCs w:val="20"/>
          <w:color w:val="auto"/>
        </w:rPr>
      </w:pPr>
    </w:p>
    <w:p>
      <w:pPr>
        <w:ind w:left="-340" w:right="620" w:firstLine="730"/>
        <w:spacing w:after="0"/>
        <w:tabs>
          <w:tab w:leader="none" w:pos="10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186" w:lineRule="exact"/>
        <w:rPr>
          <w:rFonts w:ascii="Arial" w:cs="Arial" w:eastAsia="Arial" w:hAnsi="Arial"/>
          <w:sz w:val="22"/>
          <w:szCs w:val="22"/>
          <w:color w:val="auto"/>
        </w:rPr>
      </w:pPr>
    </w:p>
    <w:p>
      <w:pPr>
        <w:ind w:left="-340" w:right="20" w:firstLine="730"/>
        <w:spacing w:after="0" w:line="251" w:lineRule="auto"/>
        <w:tabs>
          <w:tab w:leader="none" w:pos="10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Transfer of all or substantially all of the property or assets of Crown and its Subsidiaries, taken as a whole, to Crown, other than any Transfer to a Subsidiary of Crown; and</w:t>
      </w:r>
    </w:p>
    <w:p>
      <w:pPr>
        <w:spacing w:after="0" w:line="173" w:lineRule="exact"/>
        <w:rPr>
          <w:rFonts w:ascii="Arial" w:cs="Arial" w:eastAsia="Arial" w:hAnsi="Arial"/>
          <w:sz w:val="22"/>
          <w:szCs w:val="22"/>
          <w:color w:val="auto"/>
        </w:rPr>
      </w:pPr>
    </w:p>
    <w:p>
      <w:pPr>
        <w:ind w:left="-340" w:right="240" w:firstLine="730"/>
        <w:spacing w:after="0"/>
        <w:tabs>
          <w:tab w:leader="none" w:pos="10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86" w:lineRule="exact"/>
        <w:rPr>
          <w:sz w:val="20"/>
          <w:szCs w:val="20"/>
          <w:color w:val="auto"/>
        </w:rPr>
      </w:pPr>
    </w:p>
    <w:p>
      <w:pPr>
        <w:ind w:left="1060" w:hanging="670"/>
        <w:spacing w:after="0"/>
        <w:tabs>
          <w:tab w:leader="none" w:pos="10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This Section 5.01 shall not prohibit:</w:t>
      </w:r>
    </w:p>
    <w:p>
      <w:pPr>
        <w:spacing w:after="0" w:line="206" w:lineRule="exact"/>
        <w:rPr>
          <w:sz w:val="20"/>
          <w:szCs w:val="20"/>
          <w:color w:val="auto"/>
        </w:rPr>
      </w:pPr>
    </w:p>
    <w:p>
      <w:pPr>
        <w:ind w:left="1080" w:hanging="690"/>
        <w:spacing w:after="0"/>
        <w:tabs>
          <w:tab w:leader="none" w:pos="1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consolidation or merger between the Issuer and a Guarantor other than Crown;</w:t>
      </w:r>
    </w:p>
    <w:p>
      <w:pPr>
        <w:spacing w:after="0" w:line="206" w:lineRule="exact"/>
        <w:rPr>
          <w:rFonts w:ascii="Arial" w:cs="Arial" w:eastAsia="Arial" w:hAnsi="Arial"/>
          <w:sz w:val="22"/>
          <w:szCs w:val="22"/>
          <w:color w:val="auto"/>
        </w:rPr>
      </w:pPr>
    </w:p>
    <w:p>
      <w:pPr>
        <w:ind w:left="1080" w:hanging="690"/>
        <w:spacing w:after="0"/>
        <w:tabs>
          <w:tab w:leader="none" w:pos="1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consolidation or merger between a Guarantor and any other Guarantor other than Crown;</w:t>
      </w:r>
    </w:p>
    <w:p>
      <w:pPr>
        <w:spacing w:after="0" w:line="206" w:lineRule="exact"/>
        <w:rPr>
          <w:rFonts w:ascii="Arial" w:cs="Arial" w:eastAsia="Arial" w:hAnsi="Arial"/>
          <w:sz w:val="22"/>
          <w:szCs w:val="22"/>
          <w:color w:val="auto"/>
        </w:rPr>
      </w:pPr>
    </w:p>
    <w:p>
      <w:pPr>
        <w:ind w:left="-340" w:right="140" w:firstLine="730"/>
        <w:spacing w:after="0" w:line="251" w:lineRule="auto"/>
        <w:tabs>
          <w:tab w:leader="none" w:pos="10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consolidation or merger between a Subsidiary (other than the Issuer) that is not a Guarantor and any other Subsidiary other than Crown;</w:t>
      </w:r>
    </w:p>
    <w:p>
      <w:pPr>
        <w:spacing w:after="0" w:line="173" w:lineRule="exact"/>
        <w:rPr>
          <w:rFonts w:ascii="Arial" w:cs="Arial" w:eastAsia="Arial" w:hAnsi="Arial"/>
          <w:sz w:val="22"/>
          <w:szCs w:val="22"/>
          <w:color w:val="auto"/>
        </w:rPr>
      </w:pPr>
    </w:p>
    <w:p>
      <w:pPr>
        <w:ind w:left="-340" w:right="100" w:firstLine="730"/>
        <w:spacing w:after="0" w:line="251" w:lineRule="auto"/>
        <w:tabs>
          <w:tab w:leader="none" w:pos="10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consolidation or merger of Parent with or into an Affiliate for the purposes of reincorporating Parent in another jurisdiction;</w:t>
      </w:r>
    </w:p>
    <w:p>
      <w:pPr>
        <w:spacing w:after="0" w:line="173" w:lineRule="exact"/>
        <w:rPr>
          <w:rFonts w:ascii="Arial" w:cs="Arial" w:eastAsia="Arial" w:hAnsi="Arial"/>
          <w:sz w:val="22"/>
          <w:szCs w:val="22"/>
          <w:color w:val="auto"/>
        </w:rPr>
      </w:pPr>
    </w:p>
    <w:p>
      <w:pPr>
        <w:ind w:left="-340" w:right="80" w:firstLine="730"/>
        <w:spacing w:after="0" w:line="251" w:lineRule="auto"/>
        <w:tabs>
          <w:tab w:leader="none" w:pos="10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Transfer of all or substantially all of the properties or assets of a Guarantor to the Issuer and/or any other Guarantor other than Crown; or</w:t>
      </w:r>
    </w:p>
    <w:p>
      <w:pPr>
        <w:sectPr>
          <w:pgSz w:w="11900" w:h="16838" w:orient="portrait"/>
          <w:cols w:equalWidth="0" w:num="1">
            <w:col w:w="10000"/>
          </w:cols>
          <w:pgMar w:left="1440" w:top="415" w:right="4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p>
    <w:p>
      <w:pPr>
        <w:spacing w:after="0" w:line="233" w:lineRule="exact"/>
        <w:rPr>
          <w:sz w:val="20"/>
          <w:szCs w:val="20"/>
          <w:color w:val="auto"/>
        </w:rPr>
      </w:pPr>
    </w:p>
    <w:p>
      <w:pPr>
        <w:ind w:left="660" w:right="120" w:firstLine="730"/>
        <w:spacing w:after="0" w:line="251" w:lineRule="auto"/>
        <w:tabs>
          <w:tab w:leader="none" w:pos="2069"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Transfer of all or substantially all of the properties or assets of a Subsidiary (other than the Issuer) that is not a Guarantor to any other Subsidiary other than Crown;</w:t>
      </w:r>
    </w:p>
    <w:p>
      <w:pPr>
        <w:spacing w:after="0" w:line="173" w:lineRule="exact"/>
        <w:rPr>
          <w:sz w:val="20"/>
          <w:szCs w:val="20"/>
          <w:color w:val="auto"/>
        </w:rPr>
      </w:pPr>
    </w:p>
    <w:p>
      <w:pPr>
        <w:jc w:val="both"/>
        <w:ind w:right="38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each case involving the Issuer or a Guarantor, if the Issuer or such Guarantor is not the surviving entity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transaction or the Person to which such Transfer is made, the surviving entity or the Person to which such Transfer is made shall comply with subsection (a)(2) of this Section 5.01.</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206" w:lineRule="exact"/>
        <w:rPr>
          <w:sz w:val="20"/>
          <w:szCs w:val="20"/>
          <w:color w:val="auto"/>
        </w:rPr>
      </w:pPr>
    </w:p>
    <w:p>
      <w:pPr>
        <w:ind w:firstLine="1433"/>
        <w:spacing w:after="0" w:line="244" w:lineRule="auto"/>
        <w:rPr>
          <w:sz w:val="20"/>
          <w:szCs w:val="20"/>
          <w:color w:val="auto"/>
        </w:rPr>
      </w:pPr>
      <w:r>
        <w:rPr>
          <w:rFonts w:ascii="Arial" w:cs="Arial" w:eastAsia="Arial" w:hAnsi="Arial"/>
          <w:sz w:val="21"/>
          <w:szCs w:val="21"/>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SIX</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DEFAULTS AND REMEDIES</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Each of the following constitutes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with respect to the Notes:</w:t>
      </w:r>
    </w:p>
    <w:p>
      <w:pPr>
        <w:spacing w:after="0" w:line="206" w:lineRule="exact"/>
        <w:rPr>
          <w:sz w:val="20"/>
          <w:szCs w:val="20"/>
          <w:color w:val="auto"/>
        </w:rPr>
      </w:pPr>
    </w:p>
    <w:p>
      <w:pPr>
        <w:ind w:left="2080" w:hanging="690"/>
        <w:spacing w:after="0"/>
        <w:tabs>
          <w:tab w:leader="none" w:pos="20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with respect to the Notes;</w:t>
      </w:r>
    </w:p>
    <w:p>
      <w:pPr>
        <w:spacing w:after="0" w:line="206" w:lineRule="exact"/>
        <w:rPr>
          <w:rFonts w:ascii="Arial" w:cs="Arial" w:eastAsia="Arial" w:hAnsi="Arial"/>
          <w:sz w:val="22"/>
          <w:szCs w:val="22"/>
          <w:color w:val="auto"/>
        </w:rPr>
      </w:pPr>
    </w:p>
    <w:p>
      <w:pPr>
        <w:ind w:left="660" w:right="960" w:firstLine="730"/>
        <w:spacing w:after="0" w:line="251" w:lineRule="auto"/>
        <w:tabs>
          <w:tab w:leader="none" w:pos="2069"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default in payment when due of principal or premium, if any, on the Notes at maturity, upon redemption or otherwise;</w:t>
      </w:r>
    </w:p>
    <w:p>
      <w:pPr>
        <w:sectPr>
          <w:pgSz w:w="11900" w:h="16838" w:orient="portrait"/>
          <w:cols w:equalWidth="0" w:num="1">
            <w:col w:w="10980"/>
          </w:cols>
          <w:pgMar w:left="440" w:top="415" w:right="479" w:bottom="1440" w:gutter="0" w:footer="0" w:header="0"/>
        </w:sectPr>
      </w:pPr>
    </w:p>
    <w:bookmarkStart w:id="66" w:name="page67"/>
    <w:bookmarkEnd w:id="66"/>
    <w:p>
      <w:pPr>
        <w:ind w:left="4675"/>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w:t>
      </w:r>
    </w:p>
    <w:p>
      <w:pPr>
        <w:spacing w:after="0" w:line="233" w:lineRule="exact"/>
        <w:rPr>
          <w:sz w:val="20"/>
          <w:szCs w:val="20"/>
          <w:color w:val="auto"/>
        </w:rPr>
      </w:pPr>
    </w:p>
    <w:p>
      <w:pPr>
        <w:ind w:left="-5" w:right="100" w:firstLine="730"/>
        <w:spacing w:after="0"/>
        <w:tabs>
          <w:tab w:leader="none" w:pos="14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failure by Parent or any Subsidiary for 30 days after receipt of notice from the Trustee or Holders of at least 25% in principal amount of Notes then outstanding under this Indenture to comply with any of the provisions under Section 4.08;</w:t>
      </w:r>
    </w:p>
    <w:p>
      <w:pPr>
        <w:spacing w:after="0" w:line="186" w:lineRule="exact"/>
        <w:rPr>
          <w:rFonts w:ascii="Arial" w:cs="Arial" w:eastAsia="Arial" w:hAnsi="Arial"/>
          <w:sz w:val="22"/>
          <w:szCs w:val="22"/>
          <w:color w:val="auto"/>
        </w:rPr>
      </w:pPr>
    </w:p>
    <w:p>
      <w:pPr>
        <w:ind w:left="-5" w:right="120" w:firstLine="730"/>
        <w:spacing w:after="0" w:line="273" w:lineRule="auto"/>
        <w:tabs>
          <w:tab w:leader="none" w:pos="1404" w:val="left"/>
        </w:tabs>
        <w:numPr>
          <w:ilvl w:val="1"/>
          <w:numId w:val="80"/>
        </w:numPr>
        <w:rPr>
          <w:rFonts w:ascii="Arial" w:cs="Arial" w:eastAsia="Arial" w:hAnsi="Arial"/>
          <w:sz w:val="19"/>
          <w:szCs w:val="19"/>
          <w:color w:val="auto"/>
        </w:rPr>
      </w:pPr>
      <w:r>
        <w:rPr>
          <w:rFonts w:ascii="Arial" w:cs="Arial" w:eastAsia="Arial" w:hAnsi="Arial"/>
          <w:sz w:val="19"/>
          <w:szCs w:val="19"/>
          <w:color w:val="auto"/>
        </w:rPr>
        <w:t>failure by Parent or any Subsidiary of Parent for 60 days after receipt of notice from the Trustee or the Holders of at least 25% in principal amount of Notes then outstanding under this Indenture to comply with any covenant or agreement contained in this Indenture (other than the covenants and agreements specified in clauses</w:t>
      </w:r>
    </w:p>
    <w:p>
      <w:pPr>
        <w:spacing w:after="0" w:line="1" w:lineRule="exact"/>
        <w:rPr>
          <w:rFonts w:ascii="Arial" w:cs="Arial" w:eastAsia="Arial" w:hAnsi="Arial"/>
          <w:sz w:val="19"/>
          <w:szCs w:val="19"/>
          <w:color w:val="auto"/>
        </w:rPr>
      </w:pPr>
    </w:p>
    <w:p>
      <w:pPr>
        <w:ind w:left="315" w:hanging="315"/>
        <w:spacing w:after="0"/>
        <w:tabs>
          <w:tab w:leader="none" w:pos="315"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through (3) of this Section 6.01);</w:t>
      </w:r>
    </w:p>
    <w:p>
      <w:pPr>
        <w:spacing w:after="0" w:line="188" w:lineRule="exact"/>
        <w:rPr>
          <w:rFonts w:ascii="Arial" w:cs="Arial" w:eastAsia="Arial" w:hAnsi="Arial"/>
          <w:sz w:val="22"/>
          <w:szCs w:val="22"/>
          <w:color w:val="auto"/>
        </w:rPr>
      </w:pPr>
    </w:p>
    <w:p>
      <w:pPr>
        <w:ind w:left="-5" w:right="60" w:firstLine="730"/>
        <w:spacing w:after="0" w:line="273" w:lineRule="auto"/>
        <w:tabs>
          <w:tab w:leader="none" w:pos="1404" w:val="left"/>
        </w:tabs>
        <w:numPr>
          <w:ilvl w:val="1"/>
          <w:numId w:val="81"/>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Arial" w:cs="Arial" w:eastAsia="Arial" w:hAnsi="Arial"/>
          <w:sz w:val="19"/>
          <w:szCs w:val="19"/>
          <w:u w:val="single" w:color="auto"/>
          <w:color w:val="auto"/>
        </w:rPr>
        <w:t>Payment Default</w:t>
      </w:r>
      <w:r>
        <w:rPr>
          <w:rFonts w:ascii="Arial" w:cs="Arial" w:eastAsia="Arial" w:hAnsi="Arial"/>
          <w:sz w:val="19"/>
          <w:szCs w:val="19"/>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161" w:lineRule="exact"/>
        <w:rPr>
          <w:rFonts w:ascii="Arial" w:cs="Arial" w:eastAsia="Arial" w:hAnsi="Arial"/>
          <w:sz w:val="19"/>
          <w:szCs w:val="19"/>
          <w:color w:val="auto"/>
        </w:rPr>
      </w:pPr>
    </w:p>
    <w:p>
      <w:pPr>
        <w:ind w:left="-5" w:firstLine="730"/>
        <w:spacing w:after="0" w:line="297" w:lineRule="auto"/>
        <w:tabs>
          <w:tab w:leader="none" w:pos="1404" w:val="left"/>
        </w:tabs>
        <w:numPr>
          <w:ilvl w:val="1"/>
          <w:numId w:val="81"/>
        </w:numPr>
        <w:rPr>
          <w:rFonts w:ascii="Arial" w:cs="Arial" w:eastAsia="Arial" w:hAnsi="Arial"/>
          <w:sz w:val="19"/>
          <w:szCs w:val="19"/>
          <w:color w:val="auto"/>
        </w:rPr>
      </w:pPr>
      <w:r>
        <w:rPr>
          <w:rFonts w:ascii="Arial" w:cs="Arial" w:eastAsia="Arial" w:hAnsi="Arial"/>
          <w:sz w:val="19"/>
          <w:szCs w:val="19"/>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134" w:lineRule="exact"/>
        <w:rPr>
          <w:rFonts w:ascii="Arial" w:cs="Arial" w:eastAsia="Arial" w:hAnsi="Arial"/>
          <w:sz w:val="19"/>
          <w:szCs w:val="19"/>
          <w:color w:val="auto"/>
        </w:rPr>
      </w:pPr>
    </w:p>
    <w:p>
      <w:pPr>
        <w:ind w:left="-5" w:right="40" w:firstLine="730"/>
        <w:spacing w:after="0" w:line="273" w:lineRule="auto"/>
        <w:tabs>
          <w:tab w:leader="none" w:pos="1404" w:val="left"/>
        </w:tabs>
        <w:numPr>
          <w:ilvl w:val="1"/>
          <w:numId w:val="81"/>
        </w:numPr>
        <w:rPr>
          <w:rFonts w:ascii="Arial" w:cs="Arial" w:eastAsia="Arial" w:hAnsi="Arial"/>
          <w:sz w:val="19"/>
          <w:szCs w:val="19"/>
          <w:color w:val="auto"/>
        </w:rPr>
      </w:pPr>
      <w:r>
        <w:rPr>
          <w:rFonts w:ascii="Arial" w:cs="Arial" w:eastAsia="Arial" w:hAnsi="Arial"/>
          <w:sz w:val="19"/>
          <w:szCs w:val="19"/>
          <w:color w:val="auto"/>
        </w:rPr>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w:t>
      </w:r>
    </w:p>
    <w:p>
      <w:pPr>
        <w:sectPr>
          <w:pgSz w:w="11900" w:h="16838" w:orient="portrait"/>
          <w:cols w:equalWidth="0" w:num="1">
            <w:col w:w="10355"/>
          </w:cols>
          <w:pgMar w:left="1105" w:top="415" w:right="4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p>
    <w:p>
      <w:pPr>
        <w:spacing w:after="0" w:line="233"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continuance of any such decree or order for relief or any such other decree or order unstayed and in effect for a period of 60 consecutive days or (B) 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w:t>
      </w:r>
    </w:p>
    <w:p>
      <w:pPr>
        <w:spacing w:after="0" w:line="5" w:lineRule="exact"/>
        <w:rPr>
          <w:sz w:val="20"/>
          <w:szCs w:val="20"/>
          <w:color w:val="auto"/>
        </w:rPr>
      </w:pPr>
    </w:p>
    <w:p>
      <w:pPr>
        <w:ind w:left="660" w:right="180" w:firstLine="5"/>
        <w:spacing w:after="0" w:line="237" w:lineRule="auto"/>
        <w:tabs>
          <w:tab w:leader="none" w:pos="1038" w:val="left"/>
        </w:tabs>
        <w:numPr>
          <w:ilvl w:val="0"/>
          <w:numId w:val="82"/>
        </w:numPr>
        <w:rPr>
          <w:rFonts w:ascii="Arial" w:cs="Arial" w:eastAsia="Arial" w:hAnsi="Arial"/>
          <w:sz w:val="22"/>
          <w:szCs w:val="22"/>
          <w:color w:val="auto"/>
        </w:rPr>
      </w:pPr>
      <w:r>
        <w:rPr>
          <w:rFonts w:ascii="Arial" w:cs="Arial" w:eastAsia="Arial" w:hAnsi="Arial"/>
          <w:sz w:val="22"/>
          <w:szCs w:val="22"/>
          <w:color w:val="auto"/>
        </w:rPr>
        <w:t>effects any general assignment for the benefit of creditors or (iv) generally is not paying its debts as they become due; and</w:t>
      </w:r>
    </w:p>
    <w:p>
      <w:pPr>
        <w:spacing w:after="0" w:line="184" w:lineRule="exact"/>
        <w:rPr>
          <w:rFonts w:ascii="Arial" w:cs="Arial" w:eastAsia="Arial" w:hAnsi="Arial"/>
          <w:sz w:val="22"/>
          <w:szCs w:val="22"/>
          <w:color w:val="auto"/>
        </w:rPr>
      </w:pPr>
    </w:p>
    <w:p>
      <w:pPr>
        <w:ind w:left="660" w:right="80" w:firstLine="730"/>
        <w:spacing w:after="0" w:line="236" w:lineRule="auto"/>
        <w:tabs>
          <w:tab w:leader="none" w:pos="2069"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Acceleration of Maturity; Rescission</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5" w:lineRule="auto"/>
        <w:rPr>
          <w:sz w:val="20"/>
          <w:szCs w:val="20"/>
          <w:color w:val="auto"/>
        </w:rPr>
      </w:pPr>
      <w:r>
        <w:rPr>
          <w:rFonts w:ascii="Arial" w:cs="Arial" w:eastAsia="Arial" w:hAnsi="Arial"/>
          <w:sz w:val="19"/>
          <w:szCs w:val="19"/>
          <w:color w:val="auto"/>
        </w:rPr>
        <w:t xml:space="preserve">If an Event of Default occurs and is continuing under this Indenture, either the Trustee, by notice in writing to the Issuer, or the Holders of at least 25% in aggregate principal amount of the Notes then outstanding may, by notice in writing to the Issuer and the Trustee, specifying the respective Event of Default and that it is a “notice of acceleration”,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notwithstanding the foregoing, if an Event of Default specified in Section 6.01(7) occurs with respect</w:t>
      </w:r>
      <w:r>
        <w:rPr>
          <w:rFonts w:ascii="Arial" w:cs="Arial" w:eastAsia="Arial" w:hAnsi="Arial"/>
          <w:sz w:val="19"/>
          <w:szCs w:val="19"/>
          <w:i w:val="1"/>
          <w:iCs w:val="1"/>
          <w:color w:val="auto"/>
        </w:rPr>
        <w:t xml:space="preserve"> </w:t>
      </w:r>
      <w:r>
        <w:rPr>
          <w:rFonts w:ascii="Arial" w:cs="Arial" w:eastAsia="Arial" w:hAnsi="Arial"/>
          <w:sz w:val="19"/>
          <w:szCs w:val="19"/>
          <w:color w:val="auto"/>
        </w:rPr>
        <w:t>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58" w:lineRule="exact"/>
        <w:rPr>
          <w:sz w:val="20"/>
          <w:szCs w:val="20"/>
          <w:color w:val="auto"/>
        </w:rPr>
      </w:pPr>
    </w:p>
    <w:p>
      <w:pPr>
        <w:ind w:right="460" w:firstLine="1433"/>
        <w:spacing w:after="0"/>
        <w:rPr>
          <w:sz w:val="20"/>
          <w:szCs w:val="20"/>
          <w:color w:val="auto"/>
        </w:rPr>
      </w:pPr>
      <w:r>
        <w:rPr>
          <w:rFonts w:ascii="Arial" w:cs="Arial" w:eastAsia="Arial" w:hAnsi="Arial"/>
          <w:sz w:val="22"/>
          <w:szCs w:val="22"/>
          <w:color w:val="auto"/>
        </w:rPr>
        <w:t>Notwithstanding the foregoing, if after such acceleration but before a judgment or decree based on such acceleration is obtained by the Trustee, the Holders of a majority in aggregate principal amount of outstanding Notes may rescind and annul such acceleration if:</w:t>
      </w:r>
    </w:p>
    <w:p>
      <w:pPr>
        <w:spacing w:after="0" w:line="186" w:lineRule="exact"/>
        <w:rPr>
          <w:sz w:val="20"/>
          <w:szCs w:val="20"/>
          <w:color w:val="auto"/>
        </w:rPr>
      </w:pPr>
    </w:p>
    <w:p>
      <w:pPr>
        <w:ind w:left="660" w:right="60" w:firstLine="730"/>
        <w:spacing w:after="0" w:line="251" w:lineRule="auto"/>
        <w:tabs>
          <w:tab w:leader="none" w:pos="20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Events of Default, other than nonpayment of principal, premium, if any, or interest that has become due solely because of the acceleration, have been cured or waived;</w:t>
      </w:r>
    </w:p>
    <w:p>
      <w:pPr>
        <w:sectPr>
          <w:pgSz w:w="11900" w:h="16838" w:orient="portrait"/>
          <w:cols w:equalWidth="0" w:num="1">
            <w:col w:w="10980"/>
          </w:cols>
          <w:pgMar w:left="440" w:top="415" w:right="4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w:t>
      </w:r>
    </w:p>
    <w:p>
      <w:pPr>
        <w:spacing w:after="0" w:line="233" w:lineRule="exact"/>
        <w:rPr>
          <w:sz w:val="20"/>
          <w:szCs w:val="20"/>
          <w:color w:val="auto"/>
        </w:rPr>
      </w:pPr>
    </w:p>
    <w:p>
      <w:pPr>
        <w:ind w:left="660" w:right="420" w:firstLine="730"/>
        <w:spacing w:after="0" w:line="328" w:lineRule="auto"/>
        <w:tabs>
          <w:tab w:leader="none" w:pos="2069"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the extent the payment of such interest is lawful, interest on overdue installments of interest and overdue principal, which has become due otherwise than by such declaration of acceleration, has been paid;</w:t>
      </w:r>
    </w:p>
    <w:p>
      <w:pPr>
        <w:spacing w:after="0" w:line="105" w:lineRule="exact"/>
        <w:rPr>
          <w:rFonts w:ascii="Arial" w:cs="Arial" w:eastAsia="Arial" w:hAnsi="Arial"/>
          <w:sz w:val="19"/>
          <w:szCs w:val="19"/>
          <w:color w:val="auto"/>
        </w:rPr>
      </w:pPr>
    </w:p>
    <w:p>
      <w:pPr>
        <w:ind w:left="660" w:right="880" w:firstLine="730"/>
        <w:spacing w:after="0" w:line="251" w:lineRule="auto"/>
        <w:tabs>
          <w:tab w:leader="none" w:pos="2069"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Issuer has paid the Trustee its reasonable compensation and reimbursed the Trustee for its expenses, disbursements, indemnities and advances; and</w:t>
      </w:r>
    </w:p>
    <w:p>
      <w:pPr>
        <w:spacing w:after="0" w:line="173" w:lineRule="exact"/>
        <w:rPr>
          <w:rFonts w:ascii="Arial" w:cs="Arial" w:eastAsia="Arial" w:hAnsi="Arial"/>
          <w:sz w:val="22"/>
          <w:szCs w:val="22"/>
          <w:color w:val="auto"/>
        </w:rPr>
      </w:pPr>
    </w:p>
    <w:p>
      <w:pPr>
        <w:ind w:left="660" w:right="260" w:firstLine="730"/>
        <w:spacing w:after="0"/>
        <w:tabs>
          <w:tab w:leader="none" w:pos="2069"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No such rescission shall affect any subsequent Default or impair any right consequent thereto.</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Other Remedies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36" w:lineRule="auto"/>
        <w:rPr>
          <w:sz w:val="20"/>
          <w:szCs w:val="20"/>
          <w:color w:val="auto"/>
        </w:rPr>
      </w:pPr>
      <w:r>
        <w:rPr>
          <w:rFonts w:ascii="Arial" w:cs="Arial" w:eastAsia="Arial" w:hAnsi="Arial"/>
          <w:sz w:val="22"/>
          <w:szCs w:val="22"/>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8" w:lineRule="exact"/>
        <w:rPr>
          <w:sz w:val="20"/>
          <w:szCs w:val="20"/>
          <w:color w:val="auto"/>
        </w:rPr>
      </w:pPr>
    </w:p>
    <w:p>
      <w:pPr>
        <w:ind w:firstLine="1433"/>
        <w:spacing w:after="0" w:line="282" w:lineRule="auto"/>
        <w:rPr>
          <w:sz w:val="20"/>
          <w:szCs w:val="20"/>
          <w:color w:val="auto"/>
        </w:rPr>
      </w:pPr>
      <w:r>
        <w:rPr>
          <w:rFonts w:ascii="Arial" w:cs="Arial" w:eastAsia="Arial" w:hAnsi="Arial"/>
          <w:sz w:val="19"/>
          <w:szCs w:val="19"/>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7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u w:val="single" w:color="auto"/>
          <w:color w:val="auto"/>
        </w:rPr>
        <w:t>Waiver of Existing Defaults and Events of Default</w:t>
      </w:r>
      <w:r>
        <w:rPr>
          <w:rFonts w:ascii="Arial" w:cs="Arial" w:eastAsia="Arial" w:hAnsi="Arial"/>
          <w:sz w:val="19"/>
          <w:szCs w:val="19"/>
          <w:color w:val="auto"/>
        </w:rPr>
        <w:t>.</w:t>
      </w:r>
    </w:p>
    <w:p>
      <w:pPr>
        <w:spacing w:after="0" w:line="206" w:lineRule="exact"/>
        <w:rPr>
          <w:sz w:val="20"/>
          <w:szCs w:val="20"/>
          <w:color w:val="auto"/>
        </w:rPr>
      </w:pPr>
    </w:p>
    <w:p>
      <w:pPr>
        <w:ind w:right="180" w:firstLine="1436"/>
        <w:spacing w:after="0" w:line="269" w:lineRule="auto"/>
        <w:tabs>
          <w:tab w:leader="none" w:pos="2105"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Subject to Sections 2.10, 6.02, 6.08 and 8.02, the Holders of a majority in principal amount of the Notes then outstanding shall have the right to waive past Defaults under this Indenture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w:t>
      </w:r>
    </w:p>
    <w:p>
      <w:pPr>
        <w:spacing w:after="0" w:line="5" w:lineRule="exact"/>
        <w:rPr>
          <w:rFonts w:ascii="Arial" w:cs="Arial" w:eastAsia="Arial" w:hAnsi="Arial"/>
          <w:sz w:val="19"/>
          <w:szCs w:val="19"/>
          <w:color w:val="auto"/>
        </w:rPr>
      </w:pPr>
    </w:p>
    <w:p>
      <w:pPr>
        <w:ind w:left="300" w:hanging="296"/>
        <w:spacing w:after="0"/>
        <w:tabs>
          <w:tab w:leader="none" w:pos="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of this Section 6.04 shall be in lieu of TIA § 316(a)(1)(B),</w:t>
      </w:r>
    </w:p>
    <w:p>
      <w:pPr>
        <w:sectPr>
          <w:pgSz w:w="11900" w:h="16838" w:orient="portrait"/>
          <w:cols w:equalWidth="0" w:num="1">
            <w:col w:w="11020"/>
          </w:cols>
          <w:pgMar w:left="440" w:top="415" w:right="4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TIA § 316(a)(1)(B) is hereby expressly excluded from this Indenture and the Notes, as permitted by the TIA.</w:t>
      </w:r>
    </w:p>
    <w:p>
      <w:pPr>
        <w:spacing w:after="0" w:line="206" w:lineRule="exact"/>
        <w:rPr>
          <w:sz w:val="20"/>
          <w:szCs w:val="20"/>
          <w:color w:val="auto"/>
        </w:rPr>
      </w:pPr>
    </w:p>
    <w:p>
      <w:pPr>
        <w:jc w:val="both"/>
        <w:ind w:right="180" w:firstLine="1436"/>
        <w:spacing w:after="0"/>
        <w:tabs>
          <w:tab w:leader="none" w:pos="2117" w:val="left"/>
        </w:tabs>
        <w:numPr>
          <w:ilvl w:val="0"/>
          <w:numId w:val="87"/>
        </w:numPr>
        <w:rPr>
          <w:rFonts w:ascii="Arial" w:cs="Arial" w:eastAsia="Arial" w:hAnsi="Arial"/>
          <w:sz w:val="22"/>
          <w:szCs w:val="22"/>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u w:val="single" w:color="auto"/>
          <w:color w:val="auto"/>
        </w:rPr>
        <w:t>Control by Majority</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72" w:lineRule="auto"/>
        <w:rPr>
          <w:sz w:val="20"/>
          <w:szCs w:val="20"/>
          <w:color w:val="auto"/>
        </w:rPr>
      </w:pPr>
      <w:r>
        <w:rPr>
          <w:rFonts w:ascii="Arial" w:cs="Arial" w:eastAsia="Arial" w:hAnsi="Arial"/>
          <w:sz w:val="19"/>
          <w:szCs w:val="19"/>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Trustee may take any other action deemed proper by the Trustee which is not inconsistent with such</w:t>
      </w:r>
      <w:r>
        <w:rPr>
          <w:rFonts w:ascii="Arial" w:cs="Arial" w:eastAsia="Arial" w:hAnsi="Arial"/>
          <w:sz w:val="19"/>
          <w:szCs w:val="19"/>
          <w:i w:val="1"/>
          <w:iCs w:val="1"/>
          <w:color w:val="auto"/>
        </w:rPr>
        <w:t xml:space="preserve"> </w:t>
      </w:r>
      <w:r>
        <w:rPr>
          <w:rFonts w:ascii="Arial" w:cs="Arial" w:eastAsia="Arial" w:hAnsi="Arial"/>
          <w:sz w:val="19"/>
          <w:szCs w:val="19"/>
          <w:color w:val="auto"/>
        </w:rPr>
        <w:t>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89"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Subject to Section 6.08, a Holder may not pursue any remedy with respect to this Indenture or the Notes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188" w:lineRule="exact"/>
        <w:rPr>
          <w:sz w:val="20"/>
          <w:szCs w:val="20"/>
          <w:color w:val="auto"/>
        </w:rPr>
      </w:pPr>
    </w:p>
    <w:p>
      <w:pPr>
        <w:ind w:left="2080" w:hanging="690"/>
        <w:spacing w:after="0"/>
        <w:tabs>
          <w:tab w:leader="none" w:pos="20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Holder has given the Trustee written notice of a continuing Event of Default;</w:t>
      </w:r>
    </w:p>
    <w:p>
      <w:pPr>
        <w:spacing w:after="0" w:line="206" w:lineRule="exact"/>
        <w:rPr>
          <w:rFonts w:ascii="Arial" w:cs="Arial" w:eastAsia="Arial" w:hAnsi="Arial"/>
          <w:sz w:val="22"/>
          <w:szCs w:val="22"/>
          <w:color w:val="auto"/>
        </w:rPr>
      </w:pPr>
    </w:p>
    <w:p>
      <w:pPr>
        <w:ind w:left="660" w:firstLine="730"/>
        <w:spacing w:after="0" w:line="251" w:lineRule="auto"/>
        <w:tabs>
          <w:tab w:leader="none" w:pos="20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the Notes then outstanding make a written request to the Trustee to pursue the remedy;</w:t>
      </w:r>
    </w:p>
    <w:p>
      <w:pPr>
        <w:spacing w:after="0" w:line="173" w:lineRule="exact"/>
        <w:rPr>
          <w:rFonts w:ascii="Arial" w:cs="Arial" w:eastAsia="Arial" w:hAnsi="Arial"/>
          <w:sz w:val="22"/>
          <w:szCs w:val="22"/>
          <w:color w:val="auto"/>
        </w:rPr>
      </w:pPr>
    </w:p>
    <w:p>
      <w:pPr>
        <w:ind w:left="660" w:right="640" w:firstLine="730"/>
        <w:spacing w:after="0" w:line="251" w:lineRule="auto"/>
        <w:tabs>
          <w:tab w:leader="none" w:pos="20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such Holder or Holders offer the Trustee indemnity satisfactory to the Trustee against any costs, liability or expense;</w:t>
      </w:r>
    </w:p>
    <w:p>
      <w:pPr>
        <w:spacing w:after="0" w:line="173" w:lineRule="exact"/>
        <w:rPr>
          <w:rFonts w:ascii="Arial" w:cs="Arial" w:eastAsia="Arial" w:hAnsi="Arial"/>
          <w:sz w:val="22"/>
          <w:szCs w:val="22"/>
          <w:color w:val="auto"/>
        </w:rPr>
      </w:pPr>
    </w:p>
    <w:p>
      <w:pPr>
        <w:ind w:left="2080" w:hanging="690"/>
        <w:spacing w:after="0"/>
        <w:tabs>
          <w:tab w:leader="none" w:pos="20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does not comply with the request within 60 days after receipt of the request and the offer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indemnity; and</w:t>
      </w:r>
    </w:p>
    <w:p>
      <w:pPr>
        <w:sectPr>
          <w:pgSz w:w="11900" w:h="16838" w:orient="portrait"/>
          <w:cols w:equalWidth="0" w:num="1">
            <w:col w:w="11000"/>
          </w:cols>
          <w:pgMar w:left="440" w:top="415" w:right="4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-60-</w:t>
      </w:r>
    </w:p>
    <w:p>
      <w:pPr>
        <w:spacing w:after="0" w:line="233" w:lineRule="exact"/>
        <w:rPr>
          <w:sz w:val="20"/>
          <w:szCs w:val="20"/>
          <w:color w:val="auto"/>
        </w:rPr>
      </w:pPr>
    </w:p>
    <w:p>
      <w:pPr>
        <w:ind w:left="660" w:right="100" w:firstLine="730"/>
        <w:spacing w:after="0" w:line="251" w:lineRule="auto"/>
        <w:tabs>
          <w:tab w:leader="none" w:pos="2069" w:val="left"/>
        </w:tabs>
        <w:numPr>
          <w:ilvl w:val="0"/>
          <w:numId w:val="89"/>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outstanding Notes do not give the Trustee a direction that is inconsistent with the request.</w:t>
      </w:r>
    </w:p>
    <w:p>
      <w:pPr>
        <w:spacing w:after="0" w:line="173" w:lineRule="exact"/>
        <w:rPr>
          <w:sz w:val="20"/>
          <w:szCs w:val="20"/>
          <w:color w:val="auto"/>
        </w:rPr>
      </w:pPr>
    </w:p>
    <w:p>
      <w:pPr>
        <w:ind w:right="780" w:firstLine="1433"/>
        <w:spacing w:after="0" w:line="251" w:lineRule="auto"/>
        <w:rPr>
          <w:sz w:val="20"/>
          <w:szCs w:val="20"/>
          <w:color w:val="auto"/>
        </w:rPr>
      </w:pPr>
      <w:r>
        <w:rPr>
          <w:rFonts w:ascii="Arial" w:cs="Arial" w:eastAsia="Arial" w:hAnsi="Arial"/>
          <w:sz w:val="22"/>
          <w:szCs w:val="22"/>
          <w:color w:val="auto"/>
        </w:rPr>
        <w:t>A Noteholder may not use any provision of this Indenture to disturb or prejudice the rights of another Noteholder or to obtain a preference or priority over another Noteholder.</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color w:val="auto"/>
        </w:rPr>
        <w:t xml:space="preserve">No Personal Liability of Directors, Officers, Employees and </w:t>
      </w:r>
      <w:r>
        <w:rPr>
          <w:rFonts w:ascii="Arial" w:cs="Arial" w:eastAsia="Arial" w:hAnsi="Arial"/>
          <w:sz w:val="19"/>
          <w:szCs w:val="19"/>
          <w:u w:val="single" w:color="auto"/>
          <w:color w:val="auto"/>
        </w:rPr>
        <w:t>Stockholders.</w:t>
      </w:r>
    </w:p>
    <w:p>
      <w:pPr>
        <w:spacing w:after="0" w:line="206" w:lineRule="exact"/>
        <w:rPr>
          <w:sz w:val="20"/>
          <w:szCs w:val="20"/>
          <w:color w:val="auto"/>
        </w:rPr>
      </w:pPr>
    </w:p>
    <w:p>
      <w:pPr>
        <w:ind w:right="180" w:firstLine="1433"/>
        <w:spacing w:after="0" w:line="238" w:lineRule="auto"/>
        <w:rPr>
          <w:sz w:val="20"/>
          <w:szCs w:val="20"/>
          <w:color w:val="auto"/>
        </w:rPr>
      </w:pPr>
      <w:r>
        <w:rPr>
          <w:rFonts w:ascii="Arial" w:cs="Arial" w:eastAsia="Arial" w:hAnsi="Arial"/>
          <w:sz w:val="22"/>
          <w:szCs w:val="22"/>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Rights of Holders To Receive Payment</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20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Collection Suit by Trustee</w:t>
      </w:r>
      <w:r>
        <w:rPr>
          <w:rFonts w:ascii="Arial" w:cs="Arial" w:eastAsia="Arial" w:hAnsi="Arial"/>
          <w:sz w:val="19"/>
          <w:szCs w:val="19"/>
          <w:color w:val="auto"/>
        </w:rPr>
        <w:t>.</w:t>
      </w:r>
    </w:p>
    <w:p>
      <w:pPr>
        <w:spacing w:after="0" w:line="206" w:lineRule="exact"/>
        <w:rPr>
          <w:sz w:val="20"/>
          <w:szCs w:val="20"/>
          <w:color w:val="auto"/>
        </w:rPr>
      </w:pPr>
    </w:p>
    <w:p>
      <w:pPr>
        <w:ind w:right="280" w:firstLine="1433"/>
        <w:spacing w:after="0" w:line="279" w:lineRule="auto"/>
        <w:rPr>
          <w:sz w:val="20"/>
          <w:szCs w:val="20"/>
          <w:color w:val="auto"/>
        </w:rPr>
      </w:pPr>
      <w:r>
        <w:rPr>
          <w:rFonts w:ascii="Arial" w:cs="Arial" w:eastAsia="Arial" w:hAnsi="Arial"/>
          <w:sz w:val="19"/>
          <w:szCs w:val="19"/>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w:t>
      </w:r>
    </w:p>
    <w:p>
      <w:pPr>
        <w:spacing w:after="0" w:line="206" w:lineRule="exact"/>
        <w:rPr>
          <w:sz w:val="20"/>
          <w:szCs w:val="20"/>
          <w:color w:val="auto"/>
        </w:rPr>
      </w:pPr>
    </w:p>
    <w:p>
      <w:pPr>
        <w:ind w:right="80" w:firstLine="1433"/>
        <w:spacing w:after="0" w:line="252" w:lineRule="auto"/>
        <w:rPr>
          <w:sz w:val="20"/>
          <w:szCs w:val="20"/>
          <w:color w:val="auto"/>
        </w:rPr>
      </w:pPr>
      <w:r>
        <w:rPr>
          <w:rFonts w:ascii="Arial" w:cs="Arial" w:eastAsia="Arial" w:hAnsi="Arial"/>
          <w:sz w:val="21"/>
          <w:szCs w:val="21"/>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w:t>
      </w:r>
    </w:p>
    <w:p>
      <w:pPr>
        <w:sectPr>
          <w:pgSz w:w="11900" w:h="16838" w:orient="portrait"/>
          <w:cols w:equalWidth="0" w:num="1">
            <w:col w:w="10980"/>
          </w:cols>
          <w:pgMar w:left="440" w:top="415" w:right="47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w:t>
      </w: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78" w:lineRule="exact"/>
        <w:rPr>
          <w:sz w:val="20"/>
          <w:szCs w:val="20"/>
          <w:color w:val="auto"/>
        </w:rPr>
      </w:pPr>
    </w:p>
    <w:p>
      <w:pPr>
        <w:ind w:right="200" w:firstLine="1433"/>
        <w:spacing w:after="0" w:line="238" w:lineRule="auto"/>
        <w:rPr>
          <w:sz w:val="20"/>
          <w:szCs w:val="20"/>
          <w:color w:val="auto"/>
        </w:rPr>
      </w:pPr>
      <w:r>
        <w:rPr>
          <w:rFonts w:ascii="Arial" w:cs="Arial" w:eastAsia="Arial" w:hAnsi="Arial"/>
          <w:sz w:val="22"/>
          <w:szCs w:val="22"/>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Priorities</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If the Trustee collects any money pursuant to this Article Six, it shall pay out the money in the following</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order:</w:t>
      </w:r>
    </w:p>
    <w:p>
      <w:pPr>
        <w:spacing w:after="0" w:line="18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FIRST: to the Trustee for amounts due under Section 7.07;</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SECOND: to Noteholders for amounts due and unpaid on the Notes for principal, premium, if any, and</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interest, ratably, without preference or priority of any kind, according to the amounts due and payable on the Notes; and</w:t>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THIRD: to the Issuer or, to the extent the Trustee collects any amount from any Guarantor, to such Guarantor.</w:t>
      </w:r>
    </w:p>
    <w:p>
      <w:pPr>
        <w:spacing w:after="0" w:line="241"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The Trustee may fix a record date and payment date for any payment to Noteholders pursuant to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 6.11.</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Undertaking for Costs</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79" w:lineRule="auto"/>
        <w:rPr>
          <w:sz w:val="20"/>
          <w:szCs w:val="20"/>
          <w:color w:val="auto"/>
        </w:rPr>
      </w:pPr>
      <w:r>
        <w:rPr>
          <w:rFonts w:ascii="Arial" w:cs="Arial" w:eastAsia="Arial" w:hAnsi="Arial"/>
          <w:sz w:val="19"/>
          <w:szCs w:val="19"/>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Holders of more than 10% in aggregate principal amount of the outstanding Notes.</w:t>
      </w:r>
    </w:p>
    <w:p>
      <w:pPr>
        <w:sectPr>
          <w:pgSz w:w="11900" w:h="16838" w:orient="portrait"/>
          <w:cols w:equalWidth="0" w:num="1">
            <w:col w:w="11020"/>
          </w:cols>
          <w:pgMar w:left="440" w:top="415" w:right="4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SEVEN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TRUSTEE</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6" w:lineRule="exact"/>
        <w:rPr>
          <w:sz w:val="20"/>
          <w:szCs w:val="20"/>
          <w:color w:val="auto"/>
        </w:rPr>
      </w:pPr>
    </w:p>
    <w:p>
      <w:pPr>
        <w:ind w:right="200" w:firstLine="1436"/>
        <w:spacing w:after="0" w:line="297" w:lineRule="auto"/>
        <w:tabs>
          <w:tab w:leader="none" w:pos="2105"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134" w:lineRule="exact"/>
        <w:rPr>
          <w:sz w:val="20"/>
          <w:szCs w:val="20"/>
          <w:color w:val="auto"/>
        </w:rPr>
      </w:pPr>
    </w:p>
    <w:p>
      <w:pPr>
        <w:jc w:val="both"/>
        <w:ind w:right="160" w:firstLine="1433"/>
        <w:spacing w:after="0"/>
        <w:rPr>
          <w:sz w:val="20"/>
          <w:szCs w:val="20"/>
          <w:color w:val="auto"/>
        </w:rPr>
      </w:pPr>
      <w:r>
        <w:rPr>
          <w:rFonts w:ascii="Arial" w:cs="Arial" w:eastAsia="Arial" w:hAnsi="Arial"/>
          <w:sz w:val="22"/>
          <w:szCs w:val="22"/>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86" w:lineRule="exact"/>
        <w:rPr>
          <w:sz w:val="20"/>
          <w:szCs w:val="20"/>
          <w:color w:val="auto"/>
        </w:rPr>
      </w:pPr>
    </w:p>
    <w:p>
      <w:pPr>
        <w:ind w:right="140" w:firstLine="1436"/>
        <w:spacing w:after="0" w:line="251" w:lineRule="auto"/>
        <w:tabs>
          <w:tab w:leader="none" w:pos="2117" w:val="left"/>
        </w:tabs>
        <w:numPr>
          <w:ilvl w:val="1"/>
          <w:numId w:val="91"/>
        </w:numPr>
        <w:rPr>
          <w:rFonts w:ascii="Arial" w:cs="Arial" w:eastAsia="Arial" w:hAnsi="Arial"/>
          <w:sz w:val="22"/>
          <w:szCs w:val="22"/>
          <w:color w:val="auto"/>
        </w:rPr>
      </w:pPr>
      <w:r>
        <w:rPr>
          <w:rFonts w:ascii="Arial" w:cs="Arial" w:eastAsia="Arial" w:hAnsi="Arial"/>
          <w:sz w:val="22"/>
          <w:szCs w:val="22"/>
          <w:color w:val="auto"/>
        </w:rPr>
        <w:t>Except during the continuance of a Default or an Event of Default of which a Responsible Officer of the Trustee has actual knowledge:</w:t>
      </w:r>
    </w:p>
    <w:p>
      <w:pPr>
        <w:spacing w:after="0" w:line="173" w:lineRule="exact"/>
        <w:rPr>
          <w:rFonts w:ascii="Arial" w:cs="Arial" w:eastAsia="Arial" w:hAnsi="Arial"/>
          <w:sz w:val="22"/>
          <w:szCs w:val="22"/>
          <w:color w:val="auto"/>
        </w:rPr>
      </w:pPr>
    </w:p>
    <w:p>
      <w:pPr>
        <w:ind w:left="2080" w:hanging="690"/>
        <w:spacing w:after="0"/>
        <w:tabs>
          <w:tab w:leader="none" w:pos="20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Trustee need perform only those duties expressly set forth in this Indenture and no others.</w:t>
      </w:r>
    </w:p>
    <w:p>
      <w:pPr>
        <w:spacing w:after="0" w:line="217" w:lineRule="exact"/>
        <w:rPr>
          <w:rFonts w:ascii="Arial" w:cs="Arial" w:eastAsia="Arial" w:hAnsi="Arial"/>
          <w:sz w:val="21"/>
          <w:szCs w:val="21"/>
          <w:color w:val="auto"/>
        </w:rPr>
      </w:pPr>
    </w:p>
    <w:p>
      <w:pPr>
        <w:ind w:left="660" w:right="20" w:firstLine="730"/>
        <w:spacing w:after="0" w:line="273" w:lineRule="auto"/>
        <w:tabs>
          <w:tab w:leader="none" w:pos="206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61" w:lineRule="exact"/>
        <w:rPr>
          <w:rFonts w:ascii="Arial" w:cs="Arial" w:eastAsia="Arial" w:hAnsi="Arial"/>
          <w:sz w:val="19"/>
          <w:szCs w:val="19"/>
          <w:color w:val="auto"/>
        </w:rPr>
      </w:pPr>
    </w:p>
    <w:p>
      <w:pPr>
        <w:ind w:firstLine="1436"/>
        <w:spacing w:after="0" w:line="251" w:lineRule="auto"/>
        <w:tabs>
          <w:tab w:leader="none" w:pos="2101"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73" w:lineRule="exact"/>
        <w:rPr>
          <w:sz w:val="20"/>
          <w:szCs w:val="20"/>
          <w:color w:val="auto"/>
        </w:rPr>
      </w:pPr>
    </w:p>
    <w:p>
      <w:pPr>
        <w:ind w:left="2080" w:hanging="690"/>
        <w:spacing w:after="0"/>
        <w:tabs>
          <w:tab w:leader="none" w:pos="20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This paragraph does not limit the effect of subsection (b) of this Section 7.01.</w:t>
      </w:r>
    </w:p>
    <w:p>
      <w:pPr>
        <w:sectPr>
          <w:pgSz w:w="11900" w:h="16838" w:orient="portrait"/>
          <w:cols w:equalWidth="0" w:num="1">
            <w:col w:w="10960"/>
          </w:cols>
          <w:pgMar w:left="440" w:top="415" w:right="49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p>
    <w:p>
      <w:pPr>
        <w:spacing w:after="0" w:line="233" w:lineRule="exact"/>
        <w:rPr>
          <w:sz w:val="20"/>
          <w:szCs w:val="20"/>
          <w:color w:val="auto"/>
        </w:rPr>
      </w:pPr>
    </w:p>
    <w:p>
      <w:pPr>
        <w:ind w:left="660" w:right="140" w:firstLine="730"/>
        <w:spacing w:after="0" w:line="251" w:lineRule="auto"/>
        <w:tabs>
          <w:tab w:leader="none" w:pos="206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w:t>
      </w:r>
    </w:p>
    <w:p>
      <w:pPr>
        <w:spacing w:after="0" w:line="173" w:lineRule="exact"/>
        <w:rPr>
          <w:rFonts w:ascii="Arial" w:cs="Arial" w:eastAsia="Arial" w:hAnsi="Arial"/>
          <w:sz w:val="22"/>
          <w:szCs w:val="22"/>
          <w:color w:val="auto"/>
        </w:rPr>
      </w:pPr>
    </w:p>
    <w:p>
      <w:pPr>
        <w:ind w:left="660" w:right="580" w:firstLine="730"/>
        <w:spacing w:after="0" w:line="251" w:lineRule="auto"/>
        <w:tabs>
          <w:tab w:leader="none" w:pos="206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the terms of this Indenture.</w:t>
      </w:r>
    </w:p>
    <w:p>
      <w:pPr>
        <w:spacing w:after="0" w:line="173" w:lineRule="exact"/>
        <w:rPr>
          <w:rFonts w:ascii="Arial" w:cs="Arial" w:eastAsia="Arial" w:hAnsi="Arial"/>
          <w:sz w:val="22"/>
          <w:szCs w:val="22"/>
          <w:color w:val="auto"/>
        </w:rPr>
      </w:pPr>
    </w:p>
    <w:p>
      <w:pPr>
        <w:ind w:left="660" w:right="300" w:firstLine="730"/>
        <w:spacing w:after="0" w:line="251" w:lineRule="auto"/>
        <w:tabs>
          <w:tab w:leader="none" w:pos="2069"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otherwise incur any financial liability in the performance of any of its rights, powers or duties.</w:t>
      </w:r>
    </w:p>
    <w:p>
      <w:pPr>
        <w:spacing w:after="0" w:line="173" w:lineRule="exact"/>
        <w:rPr>
          <w:rFonts w:ascii="Arial" w:cs="Arial" w:eastAsia="Arial" w:hAnsi="Arial"/>
          <w:sz w:val="22"/>
          <w:szCs w:val="22"/>
          <w:color w:val="auto"/>
        </w:rPr>
      </w:pPr>
    </w:p>
    <w:p>
      <w:pPr>
        <w:ind w:right="20" w:firstLine="1436"/>
        <w:spacing w:after="0" w:line="251" w:lineRule="auto"/>
        <w:tabs>
          <w:tab w:leader="none" w:pos="2113" w:val="left"/>
        </w:tabs>
        <w:numPr>
          <w:ilvl w:val="1"/>
          <w:numId w:val="94"/>
        </w:numPr>
        <w:rPr>
          <w:rFonts w:ascii="Arial" w:cs="Arial" w:eastAsia="Arial" w:hAnsi="Arial"/>
          <w:sz w:val="22"/>
          <w:szCs w:val="22"/>
          <w:color w:val="auto"/>
        </w:rPr>
      </w:pPr>
      <w:r>
        <w:rPr>
          <w:rFonts w:ascii="Arial" w:cs="Arial" w:eastAsia="Arial" w:hAnsi="Arial"/>
          <w:sz w:val="22"/>
          <w:szCs w:val="22"/>
          <w:color w:val="auto"/>
        </w:rPr>
        <w:t>Whether or not therein expressly so provided, subsections (a), (b), (c) and (e) of this Section 7.01 shall govern every provision of this Indenture that in any way relates to the Trustee.</w:t>
      </w:r>
    </w:p>
    <w:p>
      <w:pPr>
        <w:spacing w:after="0" w:line="173" w:lineRule="exact"/>
        <w:rPr>
          <w:rFonts w:ascii="Arial" w:cs="Arial" w:eastAsia="Arial" w:hAnsi="Arial"/>
          <w:sz w:val="22"/>
          <w:szCs w:val="22"/>
          <w:color w:val="auto"/>
        </w:rPr>
      </w:pPr>
    </w:p>
    <w:p>
      <w:pPr>
        <w:ind w:right="40" w:firstLine="1436"/>
        <w:spacing w:after="0" w:line="236" w:lineRule="auto"/>
        <w:tabs>
          <w:tab w:leader="none" w:pos="2101"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87" w:lineRule="exact"/>
        <w:rPr>
          <w:rFonts w:ascii="Arial" w:cs="Arial" w:eastAsia="Arial" w:hAnsi="Arial"/>
          <w:sz w:val="22"/>
          <w:szCs w:val="22"/>
          <w:color w:val="auto"/>
        </w:rPr>
      </w:pPr>
    </w:p>
    <w:p>
      <w:pPr>
        <w:jc w:val="both"/>
        <w:ind w:firstLine="1436"/>
        <w:spacing w:after="0"/>
        <w:tabs>
          <w:tab w:leader="none" w:pos="2077"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Subject to Section 7.01:</w:t>
      </w:r>
    </w:p>
    <w:p>
      <w:pPr>
        <w:spacing w:after="0" w:line="206" w:lineRule="exact"/>
        <w:rPr>
          <w:sz w:val="20"/>
          <w:szCs w:val="20"/>
          <w:color w:val="auto"/>
        </w:rPr>
      </w:pPr>
    </w:p>
    <w:p>
      <w:pPr>
        <w:ind w:left="660" w:right="20" w:firstLine="730"/>
        <w:spacing w:after="0" w:line="235" w:lineRule="auto"/>
        <w:tabs>
          <w:tab w:leader="none" w:pos="20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188" w:lineRule="exact"/>
        <w:rPr>
          <w:rFonts w:ascii="Arial" w:cs="Arial" w:eastAsia="Arial" w:hAnsi="Arial"/>
          <w:sz w:val="22"/>
          <w:szCs w:val="22"/>
          <w:color w:val="auto"/>
        </w:rPr>
      </w:pPr>
    </w:p>
    <w:p>
      <w:pPr>
        <w:ind w:left="660" w:right="740" w:firstLine="730"/>
        <w:spacing w:after="0" w:line="251" w:lineRule="auto"/>
        <w:tabs>
          <w:tab w:leader="none" w:pos="20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w:t>
      </w:r>
    </w:p>
    <w:p>
      <w:pPr>
        <w:sectPr>
          <w:pgSz w:w="11900" w:h="16838" w:orient="portrait"/>
          <w:cols w:equalWidth="0" w:num="1">
            <w:col w:w="11000"/>
          </w:cols>
          <w:pgMar w:left="440" w:top="415" w:right="459" w:bottom="1440" w:gutter="0" w:footer="0" w:header="0"/>
        </w:sectPr>
      </w:pPr>
    </w:p>
    <w:bookmarkStart w:id="74" w:name="page75"/>
    <w:bookmarkEnd w:id="74"/>
    <w:p>
      <w:pPr>
        <w:jc w:val="center"/>
        <w:ind w:right="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151" w:lineRule="exact"/>
        <w:rPr>
          <w:sz w:val="20"/>
          <w:szCs w:val="20"/>
          <w:color w:val="auto"/>
        </w:rPr>
      </w:pPr>
    </w:p>
    <w:p>
      <w:pPr>
        <w:jc w:val="both"/>
        <w:ind w:right="180" w:firstLine="712"/>
        <w:spacing w:after="0" w:line="297" w:lineRule="auto"/>
        <w:tabs>
          <w:tab w:leader="none" w:pos="1401" w:val="left"/>
        </w:tabs>
        <w:numPr>
          <w:ilvl w:val="0"/>
          <w:numId w:val="96"/>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134" w:lineRule="exact"/>
        <w:rPr>
          <w:rFonts w:ascii="Arial" w:cs="Arial" w:eastAsia="Arial" w:hAnsi="Arial"/>
          <w:sz w:val="19"/>
          <w:szCs w:val="19"/>
          <w:color w:val="auto"/>
        </w:rPr>
      </w:pPr>
    </w:p>
    <w:p>
      <w:pPr>
        <w:ind w:right="160" w:firstLine="712"/>
        <w:spacing w:after="0" w:line="251" w:lineRule="auto"/>
        <w:tabs>
          <w:tab w:leader="none" w:pos="13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attorney or agent appointed by it with due care.</w:t>
      </w:r>
    </w:p>
    <w:p>
      <w:pPr>
        <w:spacing w:after="0" w:line="173" w:lineRule="exact"/>
        <w:rPr>
          <w:rFonts w:ascii="Arial" w:cs="Arial" w:eastAsia="Arial" w:hAnsi="Arial"/>
          <w:sz w:val="22"/>
          <w:szCs w:val="22"/>
          <w:color w:val="auto"/>
        </w:rPr>
      </w:pPr>
    </w:p>
    <w:p>
      <w:pPr>
        <w:ind w:firstLine="712"/>
        <w:spacing w:after="0"/>
        <w:tabs>
          <w:tab w:leader="none" w:pos="13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 Trustee shall not be liable for any action it takes or omits to take in good faith which it reasonably believes to be authorized or within its rights or powers;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Trustee’s conduct does not constitute negligence or willful misconduct.</w:t>
      </w:r>
    </w:p>
    <w:p>
      <w:pPr>
        <w:spacing w:after="0" w:line="186" w:lineRule="exact"/>
        <w:rPr>
          <w:rFonts w:ascii="Arial" w:cs="Arial" w:eastAsia="Arial" w:hAnsi="Arial"/>
          <w:sz w:val="22"/>
          <w:szCs w:val="22"/>
          <w:color w:val="auto"/>
        </w:rPr>
      </w:pPr>
    </w:p>
    <w:p>
      <w:pPr>
        <w:ind w:right="80" w:firstLine="712"/>
        <w:spacing w:after="0" w:line="297" w:lineRule="auto"/>
        <w:tabs>
          <w:tab w:leader="none" w:pos="1397"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34" w:lineRule="exact"/>
        <w:rPr>
          <w:rFonts w:ascii="Arial" w:cs="Arial" w:eastAsia="Arial" w:hAnsi="Arial"/>
          <w:sz w:val="19"/>
          <w:szCs w:val="19"/>
          <w:color w:val="auto"/>
        </w:rPr>
      </w:pPr>
    </w:p>
    <w:p>
      <w:pPr>
        <w:ind w:right="20" w:firstLine="712"/>
        <w:spacing w:after="0" w:line="238" w:lineRule="auto"/>
        <w:tabs>
          <w:tab w:leader="none" w:pos="13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as Paying Agent), and each agent, custodian and other person employed to act hereunder.</w:t>
      </w:r>
    </w:p>
    <w:p>
      <w:pPr>
        <w:spacing w:after="0" w:line="185" w:lineRule="exact"/>
        <w:rPr>
          <w:rFonts w:ascii="Arial" w:cs="Arial" w:eastAsia="Arial" w:hAnsi="Arial"/>
          <w:sz w:val="22"/>
          <w:szCs w:val="22"/>
          <w:color w:val="auto"/>
        </w:rPr>
      </w:pPr>
    </w:p>
    <w:p>
      <w:pPr>
        <w:ind w:right="40" w:firstLine="712"/>
        <w:spacing w:after="0"/>
        <w:tabs>
          <w:tab w:leader="none" w:pos="13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186" w:lineRule="exact"/>
        <w:rPr>
          <w:rFonts w:ascii="Arial" w:cs="Arial" w:eastAsia="Arial" w:hAnsi="Arial"/>
          <w:sz w:val="22"/>
          <w:szCs w:val="22"/>
          <w:color w:val="auto"/>
        </w:rPr>
      </w:pPr>
    </w:p>
    <w:p>
      <w:pPr>
        <w:ind w:right="60" w:firstLine="712"/>
        <w:spacing w:after="0"/>
        <w:tabs>
          <w:tab w:leader="none" w:pos="1397"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may from time to time request that the Issuer deliver an Officers’ Certificate setting forth the names of individuals and/or titles of officers authorized at such time to take specified actions pursuant to the Indenture, which Offic-</w:t>
      </w:r>
    </w:p>
    <w:p>
      <w:pPr>
        <w:sectPr>
          <w:pgSz w:w="11900" w:h="16838" w:orient="portrait"/>
          <w:cols w:equalWidth="0" w:num="1">
            <w:col w:w="10240"/>
          </w:cols>
          <w:pgMar w:left="1220" w:top="415" w:right="4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p>
    <w:p>
      <w:pPr>
        <w:spacing w:after="0" w:line="233"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ers’ Certificate may be signed by any persons authorized to sign an Officers’ Certificate, including any person specified as so authorized in any such certificate previously delivered and not superseded.</w:t>
      </w:r>
    </w:p>
    <w:p>
      <w:pPr>
        <w:spacing w:after="0" w:line="173" w:lineRule="exact"/>
        <w:rPr>
          <w:sz w:val="20"/>
          <w:szCs w:val="20"/>
          <w:color w:val="auto"/>
        </w:rPr>
      </w:pPr>
    </w:p>
    <w:p>
      <w:pPr>
        <w:ind w:left="1960" w:hanging="570"/>
        <w:spacing w:after="0"/>
        <w:tabs>
          <w:tab w:leader="none" w:pos="19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Trustee shall have no duty to inquire as to the performance of the covenants of the Issuer.</w:t>
      </w:r>
    </w:p>
    <w:p>
      <w:pPr>
        <w:spacing w:after="0" w:line="217" w:lineRule="exact"/>
        <w:rPr>
          <w:rFonts w:ascii="Arial" w:cs="Arial" w:eastAsia="Arial" w:hAnsi="Arial"/>
          <w:sz w:val="21"/>
          <w:szCs w:val="21"/>
          <w:color w:val="auto"/>
        </w:rPr>
      </w:pPr>
    </w:p>
    <w:p>
      <w:pPr>
        <w:ind w:left="660" w:right="80" w:firstLine="730"/>
        <w:spacing w:after="0" w:line="282" w:lineRule="auto"/>
        <w:tabs>
          <w:tab w:leader="none" w:pos="1953"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147" w:lineRule="exact"/>
        <w:rPr>
          <w:rFonts w:ascii="Arial" w:cs="Arial" w:eastAsia="Arial" w:hAnsi="Arial"/>
          <w:sz w:val="19"/>
          <w:szCs w:val="19"/>
          <w:color w:val="auto"/>
        </w:rPr>
      </w:pPr>
    </w:p>
    <w:p>
      <w:pPr>
        <w:ind w:left="660" w:right="240" w:firstLine="730"/>
        <w:spacing w:after="0" w:line="251" w:lineRule="auto"/>
        <w:tabs>
          <w:tab w:leader="none" w:pos="1957" w:val="left"/>
        </w:tabs>
        <w:numPr>
          <w:ilvl w:val="0"/>
          <w:numId w:val="97"/>
        </w:numPr>
        <w:rPr>
          <w:rFonts w:ascii="Arial" w:cs="Arial" w:eastAsia="Arial" w:hAnsi="Arial"/>
          <w:sz w:val="22"/>
          <w:szCs w:val="22"/>
          <w:color w:val="auto"/>
        </w:rPr>
      </w:pPr>
      <w:r>
        <w:rPr>
          <w:rFonts w:ascii="Arial" w:cs="Arial" w:eastAsia="Arial" w:hAnsi="Arial"/>
          <w:sz w:val="22"/>
          <w:szCs w:val="22"/>
          <w:color w:val="auto"/>
        </w:rPr>
        <w:t>Trustee entitled to assume without enquiry, that the Issuer has performed in accordance with all of the provisions in the Indenture, unless notified to the contrary.</w:t>
      </w:r>
    </w:p>
    <w:p>
      <w:pPr>
        <w:spacing w:after="0" w:line="173" w:lineRule="exact"/>
        <w:rPr>
          <w:rFonts w:ascii="Arial" w:cs="Arial" w:eastAsia="Arial" w:hAnsi="Arial"/>
          <w:sz w:val="22"/>
          <w:szCs w:val="22"/>
          <w:color w:val="auto"/>
        </w:rPr>
      </w:pPr>
    </w:p>
    <w:p>
      <w:pPr>
        <w:ind w:left="660" w:right="100" w:firstLine="730"/>
        <w:spacing w:after="0" w:line="274" w:lineRule="auto"/>
        <w:tabs>
          <w:tab w:leader="none" w:pos="1961" w:val="left"/>
        </w:tabs>
        <w:numPr>
          <w:ilvl w:val="0"/>
          <w:numId w:val="97"/>
        </w:numPr>
        <w:rPr>
          <w:rFonts w:ascii="Arial" w:cs="Arial" w:eastAsia="Arial" w:hAnsi="Arial"/>
          <w:sz w:val="21"/>
          <w:szCs w:val="21"/>
          <w:color w:val="auto"/>
        </w:rPr>
      </w:pPr>
      <w:r>
        <w:rPr>
          <w:rFonts w:ascii="Arial" w:cs="Arial" w:eastAsia="Arial" w:hAnsi="Arial"/>
          <w:sz w:val="21"/>
          <w:szCs w:val="21"/>
          <w:color w:val="auto"/>
        </w:rPr>
        <w:t>Under no circumstances will the Trustee be liable to the Issuer for any consequential loss (being loss of business, goodwill, opportunity or profit), even if advised of the possibility of such loss or damage.</w:t>
      </w:r>
    </w:p>
    <w:p>
      <w:pPr>
        <w:spacing w:after="0" w:line="17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Individual Rights of Trustee</w:t>
      </w:r>
      <w:r>
        <w:rPr>
          <w:rFonts w:ascii="Arial" w:cs="Arial" w:eastAsia="Arial" w:hAnsi="Arial"/>
          <w:sz w:val="19"/>
          <w:szCs w:val="19"/>
          <w:color w:val="auto"/>
        </w:rPr>
        <w:t>.</w:t>
      </w:r>
    </w:p>
    <w:p>
      <w:pPr>
        <w:spacing w:after="0" w:line="206" w:lineRule="exact"/>
        <w:rPr>
          <w:sz w:val="20"/>
          <w:szCs w:val="20"/>
          <w:color w:val="auto"/>
        </w:rPr>
      </w:pPr>
    </w:p>
    <w:p>
      <w:pPr>
        <w:ind w:right="100" w:firstLine="1433"/>
        <w:spacing w:after="0" w:line="282" w:lineRule="auto"/>
        <w:rPr>
          <w:sz w:val="20"/>
          <w:szCs w:val="20"/>
          <w:color w:val="auto"/>
        </w:rPr>
      </w:pPr>
      <w:r>
        <w:rPr>
          <w:rFonts w:ascii="Arial" w:cs="Arial" w:eastAsia="Arial" w:hAnsi="Arial"/>
          <w:sz w:val="19"/>
          <w:szCs w:val="19"/>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 The Trustee shall also be subject to Sections 7.10 and 7.11.</w:t>
      </w:r>
    </w:p>
    <w:p>
      <w:pPr>
        <w:spacing w:after="0" w:line="17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Trustee’s Disclaimer</w:t>
      </w:r>
      <w:r>
        <w:rPr>
          <w:rFonts w:ascii="Arial" w:cs="Arial" w:eastAsia="Arial" w:hAnsi="Arial"/>
          <w:sz w:val="19"/>
          <w:szCs w:val="19"/>
          <w:color w:val="auto"/>
        </w:rPr>
        <w:t>.</w:t>
      </w:r>
    </w:p>
    <w:p>
      <w:pPr>
        <w:spacing w:after="0" w:line="206" w:lineRule="exact"/>
        <w:rPr>
          <w:sz w:val="20"/>
          <w:szCs w:val="20"/>
          <w:color w:val="auto"/>
        </w:rPr>
      </w:pPr>
    </w:p>
    <w:p>
      <w:pPr>
        <w:ind w:right="120" w:firstLine="1433"/>
        <w:spacing w:after="0" w:line="235"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ectPr>
          <w:pgSz w:w="11900" w:h="16838" w:orient="portrait"/>
          <w:cols w:equalWidth="0" w:num="1">
            <w:col w:w="11000"/>
          </w:cols>
          <w:pgMar w:left="440" w:top="415" w:right="45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u w:val="single" w:color="auto"/>
          <w:color w:val="auto"/>
        </w:rPr>
        <w:t>Notice of Defaults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34" w:lineRule="auto"/>
        <w:rPr>
          <w:sz w:val="20"/>
          <w:szCs w:val="20"/>
          <w:color w:val="auto"/>
        </w:rPr>
      </w:pPr>
      <w:r>
        <w:rPr>
          <w:rFonts w:ascii="Arial" w:cs="Arial" w:eastAsia="Arial" w:hAnsi="Arial"/>
          <w:sz w:val="22"/>
          <w:szCs w:val="22"/>
          <w:color w:val="auto"/>
        </w:rPr>
        <w:t>If a Default or an Event of Default occurs and is continuing and if it is known to a Responsible Officer of the Trustee, the Trustee shall give to each Noteholder a notice of the Default or Event of Default within 90 days after it occurs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21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u w:val="single" w:color="auto"/>
          <w:color w:val="auto"/>
        </w:rPr>
        <w:t>Reports by Trustee to Holders</w:t>
      </w:r>
      <w:r>
        <w:rPr>
          <w:rFonts w:ascii="Arial" w:cs="Arial" w:eastAsia="Arial" w:hAnsi="Arial"/>
          <w:sz w:val="19"/>
          <w:szCs w:val="19"/>
          <w:color w:val="auto"/>
        </w:rPr>
        <w:t>.</w:t>
      </w:r>
    </w:p>
    <w:p>
      <w:pPr>
        <w:spacing w:after="0" w:line="206" w:lineRule="exact"/>
        <w:rPr>
          <w:sz w:val="20"/>
          <w:szCs w:val="20"/>
          <w:color w:val="auto"/>
        </w:rPr>
      </w:pPr>
    </w:p>
    <w:p>
      <w:pPr>
        <w:ind w:right="80" w:firstLine="1433"/>
        <w:spacing w:after="0" w:line="276" w:lineRule="auto"/>
        <w:rPr>
          <w:sz w:val="20"/>
          <w:szCs w:val="20"/>
          <w:color w:val="auto"/>
        </w:rPr>
      </w:pPr>
      <w:r>
        <w:rPr>
          <w:rFonts w:ascii="Arial" w:cs="Arial" w:eastAsia="Arial" w:hAnsi="Arial"/>
          <w:sz w:val="19"/>
          <w:szCs w:val="19"/>
          <w:color w:val="auto"/>
        </w:rPr>
        <w:t>If required by TIA § 313(a), within 60 days after March 1 of any year, commencing on the March 1 following the date of this Indenture, the Trustee shall mail to each Noteholder a brief report dated as of such date that complies with TIA</w:t>
      </w:r>
    </w:p>
    <w:p>
      <w:pPr>
        <w:spacing w:after="0" w:line="2" w:lineRule="exact"/>
        <w:rPr>
          <w:sz w:val="20"/>
          <w:szCs w:val="20"/>
          <w:color w:val="auto"/>
        </w:rPr>
      </w:pPr>
    </w:p>
    <w:p>
      <w:pPr>
        <w:ind w:right="20" w:firstLine="4"/>
        <w:spacing w:after="0" w:line="237" w:lineRule="auto"/>
        <w:tabs>
          <w:tab w:leader="none" w:pos="162" w:val="left"/>
        </w:tabs>
        <w:numPr>
          <w:ilvl w:val="0"/>
          <w:numId w:val="98"/>
        </w:numPr>
        <w:rPr>
          <w:rFonts w:ascii="Arial" w:cs="Arial" w:eastAsia="Arial" w:hAnsi="Arial"/>
          <w:sz w:val="22"/>
          <w:szCs w:val="22"/>
          <w:color w:val="auto"/>
        </w:rPr>
      </w:pPr>
      <w:r>
        <w:rPr>
          <w:rFonts w:ascii="Arial" w:cs="Arial" w:eastAsia="Arial" w:hAnsi="Arial"/>
          <w:sz w:val="22"/>
          <w:szCs w:val="22"/>
          <w:color w:val="auto"/>
        </w:rPr>
        <w:t>313(a). The Trustee also shall comply with TIA § 313(b)(2). The Trustee shall also transmit by mail all reports as required by TIA § 313(c) and TIA § 313(d).</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Reports pursuant to this Section 7.06 shall be transmitted by mail:</w:t>
      </w:r>
    </w:p>
    <w:p>
      <w:pPr>
        <w:spacing w:after="0" w:line="206" w:lineRule="exact"/>
        <w:rPr>
          <w:sz w:val="20"/>
          <w:szCs w:val="20"/>
          <w:color w:val="auto"/>
        </w:rPr>
      </w:pPr>
    </w:p>
    <w:p>
      <w:pPr>
        <w:ind w:left="1860" w:hanging="470"/>
        <w:spacing w:after="0"/>
        <w:tabs>
          <w:tab w:leader="none" w:pos="1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to all Holders of Notes, as the names and addresses of such Holders appear on the Registrar’s books; and</w:t>
      </w:r>
    </w:p>
    <w:p>
      <w:pPr>
        <w:spacing w:after="0" w:line="240" w:lineRule="exact"/>
        <w:rPr>
          <w:rFonts w:ascii="Arial" w:cs="Arial" w:eastAsia="Arial" w:hAnsi="Arial"/>
          <w:sz w:val="19"/>
          <w:szCs w:val="19"/>
          <w:color w:val="auto"/>
        </w:rPr>
      </w:pPr>
    </w:p>
    <w:p>
      <w:pPr>
        <w:ind w:left="660" w:right="20" w:firstLine="730"/>
        <w:spacing w:after="0" w:line="251" w:lineRule="auto"/>
        <w:tabs>
          <w:tab w:leader="none" w:pos="1853" w:val="left"/>
        </w:tabs>
        <w:numPr>
          <w:ilvl w:val="0"/>
          <w:numId w:val="99"/>
        </w:numPr>
        <w:rPr>
          <w:rFonts w:ascii="Arial" w:cs="Arial" w:eastAsia="Arial" w:hAnsi="Arial"/>
          <w:sz w:val="22"/>
          <w:szCs w:val="22"/>
          <w:color w:val="auto"/>
        </w:rPr>
      </w:pPr>
      <w:r>
        <w:rPr>
          <w:rFonts w:ascii="Arial" w:cs="Arial" w:eastAsia="Arial" w:hAnsi="Arial"/>
          <w:sz w:val="22"/>
          <w:szCs w:val="22"/>
          <w:color w:val="auto"/>
        </w:rPr>
        <w:t>to such Holders of Notes as have, within the two years preceding such transmission, filed their names and addresses with the Trustee for that purpose.</w:t>
      </w:r>
    </w:p>
    <w:p>
      <w:pPr>
        <w:spacing w:after="0" w:line="173" w:lineRule="exact"/>
        <w:rPr>
          <w:sz w:val="20"/>
          <w:szCs w:val="20"/>
          <w:color w:val="auto"/>
        </w:rPr>
      </w:pPr>
    </w:p>
    <w:p>
      <w:pPr>
        <w:jc w:val="both"/>
        <w:ind w:right="160" w:firstLine="1433"/>
        <w:spacing w:after="0"/>
        <w:rPr>
          <w:sz w:val="20"/>
          <w:szCs w:val="20"/>
          <w:color w:val="auto"/>
        </w:rPr>
      </w:pPr>
      <w:r>
        <w:rPr>
          <w:rFonts w:ascii="Arial" w:cs="Arial" w:eastAsia="Arial" w:hAnsi="Arial"/>
          <w:sz w:val="22"/>
          <w:szCs w:val="22"/>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48" w:lineRule="auto"/>
        <w:rPr>
          <w:sz w:val="20"/>
          <w:szCs w:val="20"/>
          <w:color w:val="auto"/>
        </w:rPr>
      </w:pPr>
      <w:r>
        <w:rPr>
          <w:rFonts w:ascii="Arial" w:cs="Arial" w:eastAsia="Arial" w:hAnsi="Arial"/>
          <w:sz w:val="21"/>
          <w:szCs w:val="21"/>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w:t>
      </w:r>
    </w:p>
    <w:p>
      <w:pPr>
        <w:sectPr>
          <w:pgSz w:w="11900" w:h="16838" w:orient="portrait"/>
          <w:cols w:equalWidth="0" w:num="1">
            <w:col w:w="11020"/>
          </w:cols>
          <w:pgMar w:left="440" w:top="415" w:right="4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w:t>
      </w:r>
    </w:p>
    <w:p>
      <w:pPr>
        <w:spacing w:after="0" w:line="23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such additional fees as may be applicable in the event of a potential Event of Default, an Event of Default or in relation to the exceptional duties.</w:t>
      </w:r>
    </w:p>
    <w:p>
      <w:pPr>
        <w:spacing w:after="0" w:line="173" w:lineRule="exact"/>
        <w:rPr>
          <w:sz w:val="20"/>
          <w:szCs w:val="20"/>
          <w:color w:val="auto"/>
        </w:rPr>
      </w:pPr>
    </w:p>
    <w:p>
      <w:pPr>
        <w:ind w:firstLine="1433"/>
        <w:spacing w:after="0" w:line="244" w:lineRule="auto"/>
        <w:rPr>
          <w:sz w:val="20"/>
          <w:szCs w:val="20"/>
          <w:color w:val="auto"/>
        </w:rPr>
      </w:pPr>
      <w:r>
        <w:rPr>
          <w:rFonts w:ascii="Arial" w:cs="Arial" w:eastAsia="Arial" w:hAnsi="Arial"/>
          <w:sz w:val="21"/>
          <w:szCs w:val="21"/>
          <w:color w:val="auto"/>
        </w:rPr>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against any claim or liability in connection with the exercise or performance of any of its powers or duties hereunder (including, without limitation, settlement costs). The Trustee shall notify the Issuer and the Guarantors in writing promptly of any claim of which a Responsible Officer of the Trustee has actual knowledge asserted against the Trustee for which it may seek indemnity;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failure by the Trustee to so notify the Issuer and the Guarantors shall not relieve the Issuer and Guarantors of</w:t>
      </w:r>
      <w:r>
        <w:rPr>
          <w:rFonts w:ascii="Arial" w:cs="Arial" w:eastAsia="Arial" w:hAnsi="Arial"/>
          <w:sz w:val="21"/>
          <w:szCs w:val="21"/>
          <w:i w:val="1"/>
          <w:iCs w:val="1"/>
          <w:color w:val="auto"/>
        </w:rPr>
        <w:t xml:space="preserve"> </w:t>
      </w:r>
      <w:r>
        <w:rPr>
          <w:rFonts w:ascii="Arial" w:cs="Arial" w:eastAsia="Arial" w:hAnsi="Arial"/>
          <w:sz w:val="21"/>
          <w:szCs w:val="21"/>
          <w:color w:val="auto"/>
        </w:rPr>
        <w:t>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87" w:lineRule="exact"/>
        <w:rPr>
          <w:sz w:val="20"/>
          <w:szCs w:val="20"/>
          <w:color w:val="auto"/>
        </w:rPr>
      </w:pPr>
    </w:p>
    <w:p>
      <w:pPr>
        <w:ind w:firstLine="1433"/>
        <w:spacing w:after="0"/>
        <w:rPr>
          <w:sz w:val="20"/>
          <w:szCs w:val="20"/>
          <w:color w:val="auto"/>
        </w:rPr>
      </w:pPr>
      <w:r>
        <w:rPr>
          <w:rFonts w:ascii="Arial" w:cs="Arial" w:eastAsia="Arial" w:hAnsi="Arial"/>
          <w:sz w:val="22"/>
          <w:szCs w:val="22"/>
          <w:color w:val="auto"/>
        </w:rPr>
        <w:t>Notwithstanding the foregoing, the Issuer and the Guarantors need not reimburse the Trustee for any expense or indemnify it against any loss or liability to have been incurred by the Trustee through its own negligence, bad faith or willful misconduct.</w:t>
      </w:r>
    </w:p>
    <w:p>
      <w:pPr>
        <w:spacing w:after="0" w:line="186" w:lineRule="exact"/>
        <w:rPr>
          <w:sz w:val="20"/>
          <w:szCs w:val="20"/>
          <w:color w:val="auto"/>
        </w:rPr>
      </w:pPr>
    </w:p>
    <w:p>
      <w:pPr>
        <w:ind w:right="20" w:firstLine="1433"/>
        <w:spacing w:after="0" w:line="297" w:lineRule="auto"/>
        <w:rPr>
          <w:sz w:val="20"/>
          <w:szCs w:val="20"/>
          <w:color w:val="auto"/>
        </w:rPr>
      </w:pPr>
      <w:r>
        <w:rPr>
          <w:rFonts w:ascii="Arial" w:cs="Arial" w:eastAsia="Arial" w:hAnsi="Arial"/>
          <w:sz w:val="19"/>
          <w:szCs w:val="19"/>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34" w:lineRule="exact"/>
        <w:rPr>
          <w:sz w:val="20"/>
          <w:szCs w:val="20"/>
          <w:color w:val="auto"/>
        </w:rPr>
      </w:pPr>
    </w:p>
    <w:p>
      <w:pPr>
        <w:ind w:right="160" w:firstLine="1433"/>
        <w:spacing w:after="0" w:line="249" w:lineRule="auto"/>
        <w:rPr>
          <w:sz w:val="20"/>
          <w:szCs w:val="20"/>
          <w:color w:val="auto"/>
        </w:rPr>
      </w:pPr>
      <w:r>
        <w:rPr>
          <w:rFonts w:ascii="Arial" w:cs="Arial" w:eastAsia="Arial" w:hAnsi="Arial"/>
          <w:sz w:val="21"/>
          <w:szCs w:val="21"/>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79" w:lineRule="exact"/>
        <w:rPr>
          <w:sz w:val="20"/>
          <w:szCs w:val="20"/>
          <w:color w:val="auto"/>
        </w:rPr>
      </w:pPr>
    </w:p>
    <w:p>
      <w:pPr>
        <w:ind w:right="260" w:firstLine="1433"/>
        <w:spacing w:after="0"/>
        <w:rPr>
          <w:sz w:val="20"/>
          <w:szCs w:val="20"/>
          <w:color w:val="auto"/>
        </w:rPr>
      </w:pPr>
      <w:r>
        <w:rPr>
          <w:rFonts w:ascii="Arial" w:cs="Arial" w:eastAsia="Arial" w:hAnsi="Arial"/>
          <w:sz w:val="22"/>
          <w:szCs w:val="22"/>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86" w:lineRule="exact"/>
        <w:rPr>
          <w:sz w:val="20"/>
          <w:szCs w:val="20"/>
          <w:color w:val="auto"/>
        </w:rPr>
      </w:pPr>
    </w:p>
    <w:p>
      <w:pPr>
        <w:ind w:right="580" w:firstLine="1433"/>
        <w:spacing w:after="0" w:line="251" w:lineRule="auto"/>
        <w:rPr>
          <w:sz w:val="20"/>
          <w:szCs w:val="20"/>
          <w:color w:val="auto"/>
        </w:rPr>
      </w:pPr>
      <w:r>
        <w:rPr>
          <w:rFonts w:ascii="Arial" w:cs="Arial" w:eastAsia="Arial" w:hAnsi="Arial"/>
          <w:sz w:val="22"/>
          <w:szCs w:val="22"/>
          <w:color w:val="auto"/>
        </w:rPr>
        <w:t>For purposes of this Section 7.07, the term “Trustee” shall include any trustee appointed pursuant to this Article Seven. The provisions of this Section 7.07 shall apply to</w:t>
      </w:r>
    </w:p>
    <w:p>
      <w:pPr>
        <w:sectPr>
          <w:pgSz w:w="11900" w:h="16838" w:orient="portrait"/>
          <w:cols w:equalWidth="0" w:num="1">
            <w:col w:w="11020"/>
          </w:cols>
          <w:pgMar w:left="440" w:top="415" w:right="4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Trustee in its capacity as Paying Agent, Transfer Agent or Registrar and any other Agent under this Indenture.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The provisions of this Section 7.07 shall survive the satisfaction and discharge of this Indenture.</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u w:val="single" w:color="auto"/>
          <w:color w:val="auto"/>
        </w:rPr>
        <w:t>Replacement of Trustee</w:t>
      </w:r>
      <w:r>
        <w:rPr>
          <w:rFonts w:ascii="Arial" w:cs="Arial" w:eastAsia="Arial" w:hAnsi="Arial"/>
          <w:sz w:val="19"/>
          <w:szCs w:val="19"/>
          <w:color w:val="auto"/>
        </w:rPr>
        <w:t>.</w:t>
      </w:r>
    </w:p>
    <w:p>
      <w:pPr>
        <w:spacing w:after="0" w:line="206" w:lineRule="exact"/>
        <w:rPr>
          <w:sz w:val="20"/>
          <w:szCs w:val="20"/>
          <w:color w:val="auto"/>
        </w:rPr>
      </w:pPr>
    </w:p>
    <w:p>
      <w:pPr>
        <w:ind w:right="40" w:firstLine="1433"/>
        <w:spacing w:after="0" w:line="252" w:lineRule="auto"/>
        <w:rPr>
          <w:sz w:val="20"/>
          <w:szCs w:val="20"/>
          <w:color w:val="auto"/>
        </w:rPr>
      </w:pPr>
      <w:r>
        <w:rPr>
          <w:rFonts w:ascii="Arial" w:cs="Arial" w:eastAsia="Arial" w:hAnsi="Arial"/>
          <w:sz w:val="21"/>
          <w:szCs w:val="21"/>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their election if:</w:t>
      </w:r>
    </w:p>
    <w:p>
      <w:pPr>
        <w:spacing w:after="0" w:line="174" w:lineRule="exact"/>
        <w:rPr>
          <w:sz w:val="20"/>
          <w:szCs w:val="20"/>
          <w:color w:val="auto"/>
        </w:rPr>
      </w:pPr>
    </w:p>
    <w:p>
      <w:pPr>
        <w:ind w:left="2080" w:hanging="690"/>
        <w:spacing w:after="0"/>
        <w:tabs>
          <w:tab w:leader="none" w:pos="2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06" w:lineRule="exact"/>
        <w:rPr>
          <w:rFonts w:ascii="Arial" w:cs="Arial" w:eastAsia="Arial" w:hAnsi="Arial"/>
          <w:sz w:val="22"/>
          <w:szCs w:val="22"/>
          <w:color w:val="auto"/>
        </w:rPr>
      </w:pPr>
    </w:p>
    <w:p>
      <w:pPr>
        <w:ind w:left="660" w:right="280" w:firstLine="730"/>
        <w:spacing w:after="0" w:line="251" w:lineRule="auto"/>
        <w:tabs>
          <w:tab w:leader="none" w:pos="206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3" w:lineRule="exact"/>
        <w:rPr>
          <w:rFonts w:ascii="Arial" w:cs="Arial" w:eastAsia="Arial" w:hAnsi="Arial"/>
          <w:sz w:val="22"/>
          <w:szCs w:val="22"/>
          <w:color w:val="auto"/>
        </w:rPr>
      </w:pPr>
    </w:p>
    <w:p>
      <w:pPr>
        <w:ind w:left="2080" w:hanging="690"/>
        <w:spacing w:after="0"/>
        <w:tabs>
          <w:tab w:leader="none" w:pos="2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206" w:lineRule="exact"/>
        <w:rPr>
          <w:rFonts w:ascii="Arial" w:cs="Arial" w:eastAsia="Arial" w:hAnsi="Arial"/>
          <w:sz w:val="22"/>
          <w:szCs w:val="22"/>
          <w:color w:val="auto"/>
        </w:rPr>
      </w:pPr>
    </w:p>
    <w:p>
      <w:pPr>
        <w:ind w:left="2080" w:hanging="690"/>
        <w:spacing w:after="0"/>
        <w:tabs>
          <w:tab w:leader="none" w:pos="2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Trustee otherwise becomes incapable of acting.</w:t>
      </w:r>
    </w:p>
    <w:p>
      <w:pPr>
        <w:spacing w:after="0" w:line="206" w:lineRule="exact"/>
        <w:rPr>
          <w:sz w:val="20"/>
          <w:szCs w:val="20"/>
          <w:color w:val="auto"/>
        </w:rPr>
      </w:pPr>
    </w:p>
    <w:p>
      <w:pPr>
        <w:ind w:right="380" w:firstLine="1433"/>
        <w:spacing w:after="0" w:line="251"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Issuer shall promptly appoint a successor Trustee.</w:t>
      </w:r>
    </w:p>
    <w:p>
      <w:pPr>
        <w:spacing w:after="0" w:line="173" w:lineRule="exact"/>
        <w:rPr>
          <w:sz w:val="20"/>
          <w:szCs w:val="20"/>
          <w:color w:val="auto"/>
        </w:rPr>
      </w:pPr>
    </w:p>
    <w:p>
      <w:pPr>
        <w:ind w:right="20" w:firstLine="1433"/>
        <w:spacing w:after="0" w:line="236" w:lineRule="auto"/>
        <w:rPr>
          <w:sz w:val="20"/>
          <w:szCs w:val="20"/>
          <w:color w:val="auto"/>
        </w:rPr>
      </w:pPr>
      <w:r>
        <w:rPr>
          <w:rFonts w:ascii="Arial" w:cs="Arial" w:eastAsia="Arial" w:hAnsi="Arial"/>
          <w:sz w:val="22"/>
          <w:szCs w:val="22"/>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retiring Trustee resigns and a court has not appointed a successor within 60 days, such retiring Trustee may appoint a successor that meets the eligibility requirements of Section 7.10.</w:t>
      </w:r>
    </w:p>
    <w:p>
      <w:pPr>
        <w:spacing w:after="0" w:line="188" w:lineRule="exact"/>
        <w:rPr>
          <w:sz w:val="20"/>
          <w:szCs w:val="20"/>
          <w:color w:val="auto"/>
        </w:rPr>
      </w:pPr>
    </w:p>
    <w:p>
      <w:pPr>
        <w:ind w:right="220" w:firstLine="1433"/>
        <w:spacing w:after="0"/>
        <w:rPr>
          <w:sz w:val="20"/>
          <w:szCs w:val="20"/>
          <w:color w:val="auto"/>
        </w:rPr>
      </w:pPr>
      <w:r>
        <w:rPr>
          <w:rFonts w:ascii="Arial" w:cs="Arial" w:eastAsia="Arial" w:hAnsi="Arial"/>
          <w:sz w:val="22"/>
          <w:szCs w:val="22"/>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8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w:t>
      </w:r>
    </w:p>
    <w:p>
      <w:pPr>
        <w:sectPr>
          <w:pgSz w:w="11900" w:h="16838" w:orient="portrait"/>
          <w:cols w:equalWidth="0" w:num="1">
            <w:col w:w="11020"/>
          </w:cols>
          <w:pgMar w:left="440" w:top="415" w:right="4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w:t>
      </w:r>
    </w:p>
    <w:p>
      <w:pPr>
        <w:spacing w:after="0" w:line="23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9"/>
          <w:szCs w:val="19"/>
          <w:u w:val="single" w:color="auto"/>
          <w:color w:val="auto"/>
        </w:rPr>
        <w:t>Successor Trustee by Consolidation, Merger, etc</w:t>
      </w:r>
      <w:r>
        <w:rPr>
          <w:rFonts w:ascii="Arial" w:cs="Arial" w:eastAsia="Arial" w:hAnsi="Arial"/>
          <w:sz w:val="19"/>
          <w:szCs w:val="19"/>
          <w:color w:val="auto"/>
        </w:rPr>
        <w:t>.</w:t>
      </w:r>
    </w:p>
    <w:p>
      <w:pPr>
        <w:spacing w:after="0" w:line="206" w:lineRule="exact"/>
        <w:rPr>
          <w:sz w:val="20"/>
          <w:szCs w:val="20"/>
          <w:color w:val="auto"/>
        </w:rPr>
      </w:pPr>
    </w:p>
    <w:p>
      <w:pPr>
        <w:ind w:right="220" w:firstLine="1433"/>
        <w:spacing w:after="0" w:line="273" w:lineRule="auto"/>
        <w:rPr>
          <w:sz w:val="20"/>
          <w:szCs w:val="20"/>
          <w:color w:val="auto"/>
        </w:rPr>
      </w:pPr>
      <w:r>
        <w:rPr>
          <w:rFonts w:ascii="Arial" w:cs="Arial" w:eastAsia="Arial" w:hAnsi="Arial"/>
          <w:sz w:val="19"/>
          <w:szCs w:val="19"/>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w:t>
      </w:r>
    </w:p>
    <w:p>
      <w:pPr>
        <w:spacing w:after="0" w:line="2" w:lineRule="exact"/>
        <w:rPr>
          <w:sz w:val="20"/>
          <w:szCs w:val="20"/>
          <w:color w:val="auto"/>
        </w:rPr>
      </w:pPr>
    </w:p>
    <w:p>
      <w:pPr>
        <w:ind w:left="300" w:hanging="296"/>
        <w:spacing w:after="0"/>
        <w:tabs>
          <w:tab w:leader="none" w:pos="3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or substantially all of its assets or (b) all or substantially all of its corporate trust business shall, on the date when the</w:t>
      </w:r>
    </w:p>
    <w:p>
      <w:pPr>
        <w:spacing w:after="0" w:line="24" w:lineRule="exact"/>
        <w:rPr>
          <w:rFonts w:ascii="Arial" w:cs="Arial" w:eastAsia="Arial" w:hAnsi="Arial"/>
          <w:sz w:val="19"/>
          <w:szCs w:val="19"/>
          <w:color w:val="auto"/>
        </w:rPr>
      </w:pPr>
    </w:p>
    <w:p>
      <w:pPr>
        <w:ind w:right="100"/>
        <w:spacing w:after="0" w:line="232" w:lineRule="auto"/>
        <w:rPr>
          <w:rFonts w:ascii="Arial" w:cs="Arial" w:eastAsia="Arial" w:hAnsi="Arial"/>
          <w:sz w:val="19"/>
          <w:szCs w:val="19"/>
          <w:color w:val="auto"/>
        </w:rPr>
      </w:pPr>
      <w:r>
        <w:rPr>
          <w:rFonts w:ascii="Arial" w:cs="Arial" w:eastAsia="Arial" w:hAnsi="Arial"/>
          <w:sz w:val="22"/>
          <w:szCs w:val="22"/>
          <w:color w:val="auto"/>
        </w:rPr>
        <w:t>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w:t>
      </w:r>
    </w:p>
    <w:p>
      <w:pPr>
        <w:spacing w:after="0" w:line="21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06" w:lineRule="exact"/>
        <w:rPr>
          <w:sz w:val="20"/>
          <w:szCs w:val="20"/>
          <w:color w:val="auto"/>
        </w:rPr>
      </w:pPr>
    </w:p>
    <w:p>
      <w:pPr>
        <w:ind w:firstLine="1433"/>
        <w:spacing w:after="0" w:line="235" w:lineRule="auto"/>
        <w:rPr>
          <w:sz w:val="20"/>
          <w:szCs w:val="20"/>
          <w:color w:val="auto"/>
        </w:rPr>
      </w:pPr>
      <w:r>
        <w:rPr>
          <w:rFonts w:ascii="Arial" w:cs="Arial" w:eastAsia="Arial" w:hAnsi="Arial"/>
          <w:sz w:val="22"/>
          <w:szCs w:val="22"/>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Preferential Collection of Claims Against Issuer</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328" w:lineRule="auto"/>
        <w:rPr>
          <w:sz w:val="20"/>
          <w:szCs w:val="20"/>
          <w:color w:val="auto"/>
        </w:rPr>
      </w:pPr>
      <w:r>
        <w:rPr>
          <w:rFonts w:ascii="Arial" w:cs="Arial" w:eastAsia="Arial" w:hAnsi="Arial"/>
          <w:sz w:val="19"/>
          <w:szCs w:val="19"/>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1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9"/>
          <w:szCs w:val="19"/>
          <w:u w:val="single" w:color="auto"/>
          <w:color w:val="auto"/>
        </w:rPr>
        <w:t>Paying Agents</w:t>
      </w:r>
      <w:r>
        <w:rPr>
          <w:rFonts w:ascii="Arial" w:cs="Arial" w:eastAsia="Arial" w:hAnsi="Arial"/>
          <w:sz w:val="19"/>
          <w:szCs w:val="19"/>
          <w:color w:val="auto"/>
        </w:rPr>
        <w:t>.</w:t>
      </w:r>
    </w:p>
    <w:p>
      <w:pPr>
        <w:spacing w:after="0" w:line="206" w:lineRule="exact"/>
        <w:rPr>
          <w:sz w:val="20"/>
          <w:szCs w:val="20"/>
          <w:color w:val="auto"/>
        </w:rPr>
      </w:pPr>
    </w:p>
    <w:p>
      <w:pPr>
        <w:ind w:right="300" w:firstLine="1433"/>
        <w:spacing w:after="0"/>
        <w:rPr>
          <w:sz w:val="20"/>
          <w:szCs w:val="20"/>
          <w:color w:val="auto"/>
        </w:rPr>
      </w:pPr>
      <w:r>
        <w:rPr>
          <w:rFonts w:ascii="Arial" w:cs="Arial" w:eastAsia="Arial" w:hAnsi="Arial"/>
          <w:sz w:val="22"/>
          <w:szCs w:val="22"/>
          <w:color w:val="auto"/>
        </w:rPr>
        <w:t>The Issuer shall cause each Paying Agent other than the Trustee or other parties to this Indenture to execute and deliver to it and the Trustee an instrument in which such Paying Agent shall agree with the Trustee, subject to the provisions of this Section 7.12:</w:t>
      </w:r>
    </w:p>
    <w:p>
      <w:pPr>
        <w:sectPr>
          <w:pgSz w:w="11900" w:h="16838" w:orient="portrait"/>
          <w:cols w:equalWidth="0" w:num="1">
            <w:col w:w="11020"/>
          </w:cols>
          <w:pgMar w:left="440" w:top="415" w:right="4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w:t>
      </w:r>
    </w:p>
    <w:p>
      <w:pPr>
        <w:spacing w:after="0" w:line="233" w:lineRule="exact"/>
        <w:rPr>
          <w:sz w:val="20"/>
          <w:szCs w:val="20"/>
          <w:color w:val="auto"/>
        </w:rPr>
      </w:pPr>
    </w:p>
    <w:p>
      <w:pPr>
        <w:ind w:left="660" w:right="120" w:firstLine="730"/>
        <w:spacing w:after="0"/>
        <w:tabs>
          <w:tab w:leader="none" w:pos="211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186" w:lineRule="exact"/>
        <w:rPr>
          <w:rFonts w:ascii="Arial" w:cs="Arial" w:eastAsia="Arial" w:hAnsi="Arial"/>
          <w:sz w:val="22"/>
          <w:szCs w:val="22"/>
          <w:color w:val="auto"/>
        </w:rPr>
      </w:pPr>
    </w:p>
    <w:p>
      <w:pPr>
        <w:ind w:left="660" w:right="200" w:firstLine="730"/>
        <w:spacing w:after="0" w:line="328" w:lineRule="auto"/>
        <w:tabs>
          <w:tab w:leader="none" w:pos="210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that it will at any time during the continuance of any Event of Default, upon written request from the Trustee, deliver to the Trustee all sums so held in trust by it together with a full accounting thereof; and</w:t>
      </w:r>
    </w:p>
    <w:p>
      <w:pPr>
        <w:spacing w:after="0" w:line="105" w:lineRule="exact"/>
        <w:rPr>
          <w:rFonts w:ascii="Arial" w:cs="Arial" w:eastAsia="Arial" w:hAnsi="Arial"/>
          <w:sz w:val="19"/>
          <w:szCs w:val="19"/>
          <w:color w:val="auto"/>
        </w:rPr>
      </w:pPr>
    </w:p>
    <w:p>
      <w:pPr>
        <w:ind w:left="660" w:firstLine="730"/>
        <w:spacing w:after="0"/>
        <w:tabs>
          <w:tab w:leader="none" w:pos="210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Communications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-17780</wp:posOffset>
            </wp:positionV>
            <wp:extent cx="308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86" w:lineRule="exact"/>
        <w:rPr>
          <w:sz w:val="20"/>
          <w:szCs w:val="20"/>
          <w:color w:val="auto"/>
        </w:rPr>
      </w:pPr>
    </w:p>
    <w:p>
      <w:pPr>
        <w:ind w:right="180" w:firstLine="1433"/>
        <w:spacing w:after="0" w:line="238" w:lineRule="auto"/>
        <w:rPr>
          <w:sz w:val="20"/>
          <w:szCs w:val="20"/>
          <w:color w:val="auto"/>
        </w:rPr>
      </w:pPr>
      <w:r>
        <w:rPr>
          <w:rFonts w:ascii="Arial" w:cs="Arial" w:eastAsia="Arial" w:hAnsi="Arial"/>
          <w:sz w:val="22"/>
          <w:szCs w:val="22"/>
          <w:color w:val="auto"/>
        </w:rPr>
        <w:t>In no event shall the Agent or any other entity of U.S. Bank National Association be liable for any Losses arising to the Agent or any other entity of U.S. Bank National Association receiving or transmitting any data from any Issuer, any Authorized Person or any party to the transaction via any non-secure method of transmission or communication, such as, but without limitation, by facsimile or email.</w:t>
      </w:r>
    </w:p>
    <w:p>
      <w:pPr>
        <w:spacing w:after="0" w:line="185" w:lineRule="exact"/>
        <w:rPr>
          <w:sz w:val="20"/>
          <w:szCs w:val="20"/>
          <w:color w:val="auto"/>
        </w:rPr>
      </w:pPr>
    </w:p>
    <w:p>
      <w:pPr>
        <w:ind w:firstLine="1433"/>
        <w:spacing w:after="0" w:line="233" w:lineRule="auto"/>
        <w:rPr>
          <w:sz w:val="20"/>
          <w:szCs w:val="20"/>
          <w:color w:val="auto"/>
        </w:rPr>
      </w:pPr>
      <w:r>
        <w:rPr>
          <w:rFonts w:ascii="Arial" w:cs="Arial" w:eastAsia="Arial" w:hAnsi="Arial"/>
          <w:sz w:val="22"/>
          <w:szCs w:val="22"/>
          <w:color w:val="auto"/>
        </w:rPr>
        <w:t>The parties hereto accept that some methods of communication are not secure and the Agent or any other entity of U.S. Bank National Association shall incur no liability for receiving instructions via any such non-secure method. The Agent or any other entity of U.S. Bank National Association is authorized to comply with and rely upon any such notice, instructions or other communications believed by it to have been sent or given by an Authorized Person or an appropriate party to the transaction (or authorized representative thereof). The Issuer or authorized officer of the Issuer shall use all reasonable endeavors to ensure that instructions transmitted to the Agent or any other entity of U.S. Bank National Association pursuant to this Indenture are complete and correct. Any instructions shall be conclusively deemed to be valid instructions from the Issuer or authorized officer of the Issuer to the Agent or any other entity of U.S. Bank National Association for the purposes of this Indenture.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EIGHT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SUPPLEMENT AND WAIVER</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Without Consent of Noteholders</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Notwithstanding Section 8.02, the Issuer and Trustee may modify and amend this Indenture, the Notes or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 Guarantees without the consent of any Holder for any of the following purposes:</w:t>
      </w:r>
    </w:p>
    <w:p>
      <w:pPr>
        <w:sectPr>
          <w:pgSz w:w="11900" w:h="16838" w:orient="portrait"/>
          <w:cols w:equalWidth="0" w:num="1">
            <w:col w:w="11020"/>
          </w:cols>
          <w:pgMar w:left="440" w:top="415" w:right="43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w:t>
      </w:r>
    </w:p>
    <w:p>
      <w:pPr>
        <w:spacing w:after="0" w:line="233" w:lineRule="exact"/>
        <w:rPr>
          <w:sz w:val="20"/>
          <w:szCs w:val="20"/>
          <w:color w:val="auto"/>
        </w:rPr>
      </w:pPr>
    </w:p>
    <w:p>
      <w:pPr>
        <w:ind w:left="1960" w:hanging="570"/>
        <w:spacing w:after="0"/>
        <w:tabs>
          <w:tab w:leader="none" w:pos="1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cure any ambiguity, defect or inconsistency;</w:t>
      </w:r>
    </w:p>
    <w:p>
      <w:pPr>
        <w:spacing w:after="0" w:line="206" w:lineRule="exact"/>
        <w:rPr>
          <w:rFonts w:ascii="Arial" w:cs="Arial" w:eastAsia="Arial" w:hAnsi="Arial"/>
          <w:sz w:val="22"/>
          <w:szCs w:val="22"/>
          <w:color w:val="auto"/>
        </w:rPr>
      </w:pPr>
    </w:p>
    <w:p>
      <w:pPr>
        <w:ind w:left="1960" w:hanging="570"/>
        <w:spacing w:after="0"/>
        <w:tabs>
          <w:tab w:leader="none" w:pos="1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Physical Notes;</w:t>
      </w:r>
    </w:p>
    <w:p>
      <w:pPr>
        <w:spacing w:after="0" w:line="206" w:lineRule="exact"/>
        <w:rPr>
          <w:rFonts w:ascii="Arial" w:cs="Arial" w:eastAsia="Arial" w:hAnsi="Arial"/>
          <w:sz w:val="22"/>
          <w:szCs w:val="22"/>
          <w:color w:val="auto"/>
        </w:rPr>
      </w:pPr>
    </w:p>
    <w:p>
      <w:pPr>
        <w:ind w:left="660" w:right="180" w:firstLine="730"/>
        <w:spacing w:after="0" w:line="328" w:lineRule="auto"/>
        <w:tabs>
          <w:tab w:leader="none" w:pos="196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 provide for the assumption of the Issuer’s or any Guarantor’s obligations to the Holders of Notes in the case of a merger or consolidation or sale of all or substantially all of the Issuer’s or such Guarantor’s assets;</w:t>
      </w:r>
    </w:p>
    <w:p>
      <w:pPr>
        <w:spacing w:after="0" w:line="105" w:lineRule="exact"/>
        <w:rPr>
          <w:rFonts w:ascii="Arial" w:cs="Arial" w:eastAsia="Arial" w:hAnsi="Arial"/>
          <w:sz w:val="19"/>
          <w:szCs w:val="19"/>
          <w:color w:val="auto"/>
        </w:rPr>
      </w:pPr>
    </w:p>
    <w:p>
      <w:pPr>
        <w:ind w:left="1960" w:hanging="570"/>
        <w:spacing w:after="0"/>
        <w:tabs>
          <w:tab w:leader="none" w:pos="1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secure the Notes;</w:t>
      </w:r>
    </w:p>
    <w:p>
      <w:pPr>
        <w:spacing w:after="0" w:line="206" w:lineRule="exact"/>
        <w:rPr>
          <w:rFonts w:ascii="Arial" w:cs="Arial" w:eastAsia="Arial" w:hAnsi="Arial"/>
          <w:sz w:val="22"/>
          <w:szCs w:val="22"/>
          <w:color w:val="auto"/>
        </w:rPr>
      </w:pPr>
    </w:p>
    <w:p>
      <w:pPr>
        <w:ind w:left="660" w:right="80" w:firstLine="730"/>
        <w:spacing w:after="0" w:line="238" w:lineRule="auto"/>
        <w:tabs>
          <w:tab w:leader="none" w:pos="19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conform the text of the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185" w:lineRule="exact"/>
        <w:rPr>
          <w:rFonts w:ascii="Arial" w:cs="Arial" w:eastAsia="Arial" w:hAnsi="Arial"/>
          <w:sz w:val="22"/>
          <w:szCs w:val="22"/>
          <w:color w:val="auto"/>
        </w:rPr>
      </w:pPr>
    </w:p>
    <w:p>
      <w:pPr>
        <w:ind w:left="660" w:right="100" w:firstLine="730"/>
        <w:spacing w:after="0" w:line="251" w:lineRule="auto"/>
        <w:tabs>
          <w:tab w:leader="none" w:pos="19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add any Guarantor or release any Guarantor from its Note Guarantee if such release is in accordance with the terms of this Indenture;</w:t>
      </w:r>
    </w:p>
    <w:p>
      <w:pPr>
        <w:spacing w:after="0" w:line="173" w:lineRule="exact"/>
        <w:rPr>
          <w:rFonts w:ascii="Arial" w:cs="Arial" w:eastAsia="Arial" w:hAnsi="Arial"/>
          <w:sz w:val="22"/>
          <w:szCs w:val="22"/>
          <w:color w:val="auto"/>
        </w:rPr>
      </w:pPr>
    </w:p>
    <w:p>
      <w:pPr>
        <w:ind w:left="660" w:right="40" w:firstLine="730"/>
        <w:spacing w:after="0" w:line="251" w:lineRule="auto"/>
        <w:tabs>
          <w:tab w:leader="none" w:pos="19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add to the covenants of the Issuer and the Guarantors for the benefit of the Holders of the Notes or to surrender any right or power conferred upon the Issuer and the Guarantors;</w:t>
      </w:r>
    </w:p>
    <w:p>
      <w:pPr>
        <w:spacing w:after="0" w:line="173" w:lineRule="exact"/>
        <w:rPr>
          <w:rFonts w:ascii="Arial" w:cs="Arial" w:eastAsia="Arial" w:hAnsi="Arial"/>
          <w:sz w:val="22"/>
          <w:szCs w:val="22"/>
          <w:color w:val="auto"/>
        </w:rPr>
      </w:pPr>
    </w:p>
    <w:p>
      <w:pPr>
        <w:ind w:left="1960" w:hanging="570"/>
        <w:spacing w:after="0"/>
        <w:tabs>
          <w:tab w:leader="none" w:pos="1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provide for or confirm the issuance of Additional Notes;</w:t>
      </w:r>
    </w:p>
    <w:p>
      <w:pPr>
        <w:spacing w:after="0" w:line="206" w:lineRule="exact"/>
        <w:rPr>
          <w:rFonts w:ascii="Arial" w:cs="Arial" w:eastAsia="Arial" w:hAnsi="Arial"/>
          <w:sz w:val="22"/>
          <w:szCs w:val="22"/>
          <w:color w:val="auto"/>
        </w:rPr>
      </w:pPr>
    </w:p>
    <w:p>
      <w:pPr>
        <w:ind w:left="660" w:right="120" w:firstLine="730"/>
        <w:spacing w:after="0" w:line="251" w:lineRule="auto"/>
        <w:tabs>
          <w:tab w:leader="none" w:pos="19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make any change that would provide any additional rights or benefits to the Holders or that does not adversely affect the rights under this Indenture of any Holder in any material respect; or</w:t>
      </w:r>
    </w:p>
    <w:p>
      <w:pPr>
        <w:spacing w:after="0" w:line="173" w:lineRule="exact"/>
        <w:rPr>
          <w:rFonts w:ascii="Arial" w:cs="Arial" w:eastAsia="Arial" w:hAnsi="Arial"/>
          <w:sz w:val="22"/>
          <w:szCs w:val="22"/>
          <w:color w:val="auto"/>
        </w:rPr>
      </w:pPr>
    </w:p>
    <w:p>
      <w:pPr>
        <w:ind w:left="660" w:right="200" w:firstLine="730"/>
        <w:spacing w:after="0" w:line="251" w:lineRule="auto"/>
        <w:tabs>
          <w:tab w:leader="none" w:pos="19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comply with requirements of the Commission in order to effect or maintain the qualification of this Indenture under the TIA.</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With Consent of Noteholders</w:t>
      </w:r>
      <w:r>
        <w:rPr>
          <w:rFonts w:ascii="Arial" w:cs="Arial" w:eastAsia="Arial" w:hAnsi="Arial"/>
          <w:sz w:val="19"/>
          <w:szCs w:val="19"/>
          <w:color w:val="auto"/>
        </w:rPr>
        <w:t>.</w:t>
      </w:r>
    </w:p>
    <w:p>
      <w:pPr>
        <w:spacing w:after="0" w:line="206" w:lineRule="exact"/>
        <w:rPr>
          <w:sz w:val="20"/>
          <w:szCs w:val="20"/>
          <w:color w:val="auto"/>
        </w:rPr>
      </w:pPr>
    </w:p>
    <w:p>
      <w:pPr>
        <w:ind w:firstLine="1436"/>
        <w:spacing w:after="0" w:line="247" w:lineRule="auto"/>
        <w:tabs>
          <w:tab w:leader="none" w:pos="210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ectPr>
          <w:pgSz w:w="11900" w:h="16838" w:orient="portrait"/>
          <w:cols w:equalWidth="0" w:num="1">
            <w:col w:w="10960"/>
          </w:cols>
          <w:pgMar w:left="440" w:top="415" w:right="49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p>
    <w:p>
      <w:pPr>
        <w:spacing w:after="0" w:line="233" w:lineRule="exact"/>
        <w:rPr>
          <w:sz w:val="20"/>
          <w:szCs w:val="20"/>
          <w:color w:val="auto"/>
        </w:rPr>
      </w:pPr>
    </w:p>
    <w:p>
      <w:pPr>
        <w:ind w:left="-60" w:right="360" w:firstLine="1436"/>
        <w:spacing w:after="0" w:line="328" w:lineRule="auto"/>
        <w:tabs>
          <w:tab w:leader="none" w:pos="2057" w:val="left"/>
        </w:tabs>
        <w:numPr>
          <w:ilvl w:val="1"/>
          <w:numId w:val="105"/>
        </w:numPr>
        <w:rPr>
          <w:rFonts w:ascii="Arial" w:cs="Arial" w:eastAsia="Arial" w:hAnsi="Arial"/>
          <w:sz w:val="19"/>
          <w:szCs w:val="19"/>
          <w:color w:val="auto"/>
        </w:rPr>
      </w:pPr>
      <w:r>
        <w:rPr>
          <w:rFonts w:ascii="Arial" w:cs="Arial" w:eastAsia="Arial" w:hAnsi="Arial"/>
          <w:sz w:val="19"/>
          <w:szCs w:val="19"/>
          <w:color w:val="auto"/>
        </w:rPr>
        <w:t>Notwithstanding subsection (a) of this Section 8.02, without the consent of each Holder of Notes issued under this Indenture, an amendment or waiver may not (with respect to any Note held by a non-consenting Holder):</w:t>
      </w:r>
    </w:p>
    <w:p>
      <w:pPr>
        <w:spacing w:after="0" w:line="105" w:lineRule="exact"/>
        <w:rPr>
          <w:rFonts w:ascii="Arial" w:cs="Arial" w:eastAsia="Arial" w:hAnsi="Arial"/>
          <w:sz w:val="19"/>
          <w:szCs w:val="19"/>
          <w:color w:val="auto"/>
        </w:rPr>
      </w:pPr>
    </w:p>
    <w:p>
      <w:pPr>
        <w:ind w:left="600" w:right="280" w:firstLine="730"/>
        <w:spacing w:after="0" w:line="251" w:lineRule="auto"/>
        <w:tabs>
          <w:tab w:leader="none" w:pos="200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reduce the principal amount of Notes issued under this Indenture whose Holders must consent to an amendment, supplement or waiver;</w:t>
      </w:r>
    </w:p>
    <w:p>
      <w:pPr>
        <w:spacing w:after="0" w:line="173" w:lineRule="exact"/>
        <w:rPr>
          <w:rFonts w:ascii="Arial" w:cs="Arial" w:eastAsia="Arial" w:hAnsi="Arial"/>
          <w:sz w:val="22"/>
          <w:szCs w:val="22"/>
          <w:color w:val="auto"/>
        </w:rPr>
      </w:pPr>
    </w:p>
    <w:p>
      <w:pPr>
        <w:ind w:left="600" w:right="20" w:firstLine="730"/>
        <w:spacing w:after="0" w:line="282" w:lineRule="auto"/>
        <w:tabs>
          <w:tab w:leader="none" w:pos="20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147" w:lineRule="exact"/>
        <w:rPr>
          <w:rFonts w:ascii="Arial" w:cs="Arial" w:eastAsia="Arial" w:hAnsi="Arial"/>
          <w:sz w:val="19"/>
          <w:szCs w:val="19"/>
          <w:color w:val="auto"/>
        </w:rPr>
      </w:pPr>
    </w:p>
    <w:p>
      <w:pPr>
        <w:ind w:left="2020" w:hanging="690"/>
        <w:spacing w:after="0"/>
        <w:tabs>
          <w:tab w:leader="none" w:pos="20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on any such Notes;</w:t>
      </w:r>
    </w:p>
    <w:p>
      <w:pPr>
        <w:spacing w:after="0" w:line="206" w:lineRule="exact"/>
        <w:rPr>
          <w:rFonts w:ascii="Arial" w:cs="Arial" w:eastAsia="Arial" w:hAnsi="Arial"/>
          <w:sz w:val="22"/>
          <w:szCs w:val="22"/>
          <w:color w:val="auto"/>
        </w:rPr>
      </w:pPr>
    </w:p>
    <w:p>
      <w:pPr>
        <w:ind w:left="600" w:firstLine="730"/>
        <w:spacing w:after="0" w:line="297" w:lineRule="auto"/>
        <w:tabs>
          <w:tab w:leader="none" w:pos="20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134" w:lineRule="exact"/>
        <w:rPr>
          <w:rFonts w:ascii="Arial" w:cs="Arial" w:eastAsia="Arial" w:hAnsi="Arial"/>
          <w:sz w:val="19"/>
          <w:szCs w:val="19"/>
          <w:color w:val="auto"/>
        </w:rPr>
      </w:pPr>
    </w:p>
    <w:p>
      <w:pPr>
        <w:ind w:left="2020" w:hanging="690"/>
        <w:spacing w:after="0"/>
        <w:tabs>
          <w:tab w:leader="none" w:pos="20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make any such Note payable in currency other than that stated in such Note;</w:t>
      </w:r>
    </w:p>
    <w:p>
      <w:pPr>
        <w:spacing w:after="0" w:line="206" w:lineRule="exact"/>
        <w:rPr>
          <w:rFonts w:ascii="Arial" w:cs="Arial" w:eastAsia="Arial" w:hAnsi="Arial"/>
          <w:sz w:val="22"/>
          <w:szCs w:val="22"/>
          <w:color w:val="auto"/>
        </w:rPr>
      </w:pPr>
    </w:p>
    <w:p>
      <w:pPr>
        <w:ind w:left="600" w:firstLine="730"/>
        <w:spacing w:after="0"/>
        <w:tabs>
          <w:tab w:leader="none" w:pos="200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make any change to the provisions of this Indenture relating to the waiver of past Defaults or the rights of Holders of the Notes issued hereunder to receive payments of principal of or interest and Additional Amounts, if any, on the Notes;</w:t>
      </w:r>
    </w:p>
    <w:p>
      <w:pPr>
        <w:spacing w:after="0" w:line="186" w:lineRule="exact"/>
        <w:rPr>
          <w:rFonts w:ascii="Arial" w:cs="Arial" w:eastAsia="Arial" w:hAnsi="Arial"/>
          <w:sz w:val="22"/>
          <w:szCs w:val="22"/>
          <w:color w:val="auto"/>
        </w:rPr>
      </w:pPr>
    </w:p>
    <w:p>
      <w:pPr>
        <w:jc w:val="both"/>
        <w:ind w:left="600" w:right="480" w:firstLine="730"/>
        <w:spacing w:after="0" w:line="252" w:lineRule="auto"/>
        <w:tabs>
          <w:tab w:leader="none" w:pos="200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174" w:lineRule="exact"/>
        <w:rPr>
          <w:rFonts w:ascii="Arial" w:cs="Arial" w:eastAsia="Arial" w:hAnsi="Arial"/>
          <w:sz w:val="21"/>
          <w:szCs w:val="21"/>
          <w:color w:val="auto"/>
        </w:rPr>
      </w:pPr>
    </w:p>
    <w:p>
      <w:pPr>
        <w:ind w:left="600" w:firstLine="730"/>
        <w:spacing w:after="0" w:line="328" w:lineRule="auto"/>
        <w:tabs>
          <w:tab w:leader="none" w:pos="20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release Parent, Crown or any other Guarantor that is a Significant Subsidiary from any of its obligations under its Note Guarantee or this Indenture otherwise than in accordance with the terms of this Indenture; or</w:t>
      </w:r>
    </w:p>
    <w:p>
      <w:pPr>
        <w:sectPr>
          <w:pgSz w:w="11900" w:h="16838" w:orient="portrait"/>
          <w:cols w:equalWidth="0" w:num="1">
            <w:col w:w="10900"/>
          </w:cols>
          <w:pgMar w:left="500" w:top="415" w:right="4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p>
    <w:p>
      <w:pPr>
        <w:spacing w:after="0" w:line="233" w:lineRule="exact"/>
        <w:rPr>
          <w:sz w:val="20"/>
          <w:szCs w:val="20"/>
          <w:color w:val="auto"/>
        </w:rPr>
      </w:pPr>
    </w:p>
    <w:p>
      <w:pPr>
        <w:ind w:left="660" w:firstLine="730"/>
        <w:spacing w:after="0" w:line="251" w:lineRule="auto"/>
        <w:tabs>
          <w:tab w:leader="none" w:pos="206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modify or change any provision of this Indenture affecting the ranking of the Notes or Note Guarantees in a manner adverse to the Holders of Notes.</w:t>
      </w:r>
    </w:p>
    <w:p>
      <w:pPr>
        <w:spacing w:after="0" w:line="173" w:lineRule="exact"/>
        <w:rPr>
          <w:rFonts w:ascii="Arial" w:cs="Arial" w:eastAsia="Arial" w:hAnsi="Arial"/>
          <w:sz w:val="22"/>
          <w:szCs w:val="22"/>
          <w:color w:val="auto"/>
        </w:rPr>
      </w:pPr>
    </w:p>
    <w:p>
      <w:pPr>
        <w:ind w:right="80" w:firstLine="1436"/>
        <w:spacing w:after="0"/>
        <w:tabs>
          <w:tab w:leader="none" w:pos="210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It shall not be necessary for the consent of the Holders of Notes under this Section 8.02 to approve the particular form of any proposed amendment, supplement or waiver, but it shall be sufficient if such consent approves the substance thereof.</w:t>
      </w:r>
    </w:p>
    <w:p>
      <w:pPr>
        <w:spacing w:after="0" w:line="186" w:lineRule="exact"/>
        <w:rPr>
          <w:rFonts w:ascii="Arial" w:cs="Arial" w:eastAsia="Arial" w:hAnsi="Arial"/>
          <w:sz w:val="22"/>
          <w:szCs w:val="22"/>
          <w:color w:val="auto"/>
        </w:rPr>
      </w:pPr>
    </w:p>
    <w:p>
      <w:pPr>
        <w:ind w:right="80" w:firstLine="1436"/>
        <w:spacing w:after="0" w:line="249" w:lineRule="auto"/>
        <w:tabs>
          <w:tab w:leader="none" w:pos="2105"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20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Compliance with Trust Indenture Act</w:t>
      </w:r>
      <w:r>
        <w:rPr>
          <w:rFonts w:ascii="Arial" w:cs="Arial" w:eastAsia="Arial" w:hAnsi="Arial"/>
          <w:sz w:val="19"/>
          <w:szCs w:val="19"/>
          <w:color w:val="auto"/>
        </w:rPr>
        <w:t>.</w:t>
      </w:r>
    </w:p>
    <w:p>
      <w:pPr>
        <w:spacing w:after="0" w:line="206" w:lineRule="exact"/>
        <w:rPr>
          <w:sz w:val="20"/>
          <w:szCs w:val="20"/>
          <w:color w:val="auto"/>
        </w:rPr>
      </w:pPr>
    </w:p>
    <w:p>
      <w:pPr>
        <w:ind w:right="340" w:firstLine="1433"/>
        <w:spacing w:after="0" w:line="251" w:lineRule="auto"/>
        <w:rPr>
          <w:sz w:val="20"/>
          <w:szCs w:val="20"/>
          <w:color w:val="auto"/>
        </w:rPr>
      </w:pPr>
      <w:r>
        <w:rPr>
          <w:rFonts w:ascii="Arial" w:cs="Arial" w:eastAsia="Arial" w:hAnsi="Arial"/>
          <w:sz w:val="22"/>
          <w:szCs w:val="22"/>
          <w:color w:val="auto"/>
        </w:rPr>
        <w:t>Every amendment or supplement to this Indenture, the Notes or the Note Guarantees shall comply with the TIA as then in effect.</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u w:val="single" w:color="auto"/>
          <w:color w:val="auto"/>
        </w:rPr>
        <w:t>Revocation and Effect of Consents</w:t>
      </w:r>
      <w:r>
        <w:rPr>
          <w:rFonts w:ascii="Arial" w:cs="Arial" w:eastAsia="Arial" w:hAnsi="Arial"/>
          <w:sz w:val="19"/>
          <w:szCs w:val="19"/>
          <w:color w:val="auto"/>
        </w:rPr>
        <w:t>.</w:t>
      </w:r>
    </w:p>
    <w:p>
      <w:pPr>
        <w:spacing w:after="0" w:line="206" w:lineRule="exact"/>
        <w:rPr>
          <w:sz w:val="20"/>
          <w:szCs w:val="20"/>
          <w:color w:val="auto"/>
        </w:rPr>
      </w:pPr>
    </w:p>
    <w:p>
      <w:pPr>
        <w:ind w:right="20" w:firstLine="1436"/>
        <w:spacing w:after="0" w:line="238" w:lineRule="auto"/>
        <w:tabs>
          <w:tab w:leader="none" w:pos="209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85" w:lineRule="exact"/>
        <w:rPr>
          <w:rFonts w:ascii="Arial" w:cs="Arial" w:eastAsia="Arial" w:hAnsi="Arial"/>
          <w:sz w:val="22"/>
          <w:szCs w:val="22"/>
          <w:color w:val="auto"/>
        </w:rPr>
      </w:pPr>
    </w:p>
    <w:p>
      <w:pPr>
        <w:ind w:right="20" w:firstLine="1436"/>
        <w:spacing w:after="0" w:line="279" w:lineRule="auto"/>
        <w:tabs>
          <w:tab w:leader="none" w:pos="211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50" w:lineRule="exact"/>
        <w:rPr>
          <w:rFonts w:ascii="Arial" w:cs="Arial" w:eastAsia="Arial" w:hAnsi="Arial"/>
          <w:sz w:val="19"/>
          <w:szCs w:val="19"/>
          <w:color w:val="auto"/>
        </w:rPr>
      </w:pPr>
    </w:p>
    <w:p>
      <w:pPr>
        <w:ind w:right="180" w:firstLine="1436"/>
        <w:spacing w:after="0" w:line="276" w:lineRule="auto"/>
        <w:tabs>
          <w:tab w:leader="none" w:pos="209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After an amendment, supplement, waiver or other action under Section 8.01 or Section 8.02 becomes effective, it shall bind every Noteholder, unless it makes a change described in any of clauses (1) through (9) of</w:t>
      </w:r>
    </w:p>
    <w:p>
      <w:pPr>
        <w:spacing w:after="0" w:line="1" w:lineRule="exact"/>
        <w:rPr>
          <w:rFonts w:ascii="Arial" w:cs="Arial" w:eastAsia="Arial" w:hAnsi="Arial"/>
          <w:sz w:val="19"/>
          <w:szCs w:val="19"/>
          <w:color w:val="auto"/>
        </w:rPr>
      </w:pPr>
    </w:p>
    <w:p>
      <w:pPr>
        <w:ind w:right="40"/>
        <w:spacing w:after="0" w:line="308" w:lineRule="auto"/>
        <w:rPr>
          <w:rFonts w:ascii="Arial" w:cs="Arial" w:eastAsia="Arial" w:hAnsi="Arial"/>
          <w:sz w:val="19"/>
          <w:szCs w:val="19"/>
          <w:color w:val="auto"/>
        </w:rPr>
      </w:pPr>
      <w:r>
        <w:rPr>
          <w:rFonts w:ascii="Arial" w:cs="Arial" w:eastAsia="Arial" w:hAnsi="Arial"/>
          <w:sz w:val="19"/>
          <w:szCs w:val="19"/>
          <w:color w:val="auto"/>
        </w:rPr>
        <w:t>Section 8.02(b). In that case the amendment, supplement, waiver or other action shall bind each Noteholder who has consented to it and every subsequent Noteholder or portion of a Note that evidences the same debt as the consenting Holder’s Note.</w:t>
      </w:r>
    </w:p>
    <w:p>
      <w:pPr>
        <w:sectPr>
          <w:pgSz w:w="11900" w:h="16838" w:orient="portrait"/>
          <w:cols w:equalWidth="0" w:num="1">
            <w:col w:w="11020"/>
          </w:cols>
          <w:pgMar w:left="440" w:top="415" w:right="4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u w:val="single" w:color="auto"/>
          <w:color w:val="auto"/>
        </w:rPr>
        <w:t>Notation on or Exchange of Notes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46" w:lineRule="auto"/>
        <w:rPr>
          <w:sz w:val="20"/>
          <w:szCs w:val="20"/>
          <w:color w:val="auto"/>
        </w:rPr>
      </w:pPr>
      <w:r>
        <w:rPr>
          <w:rFonts w:ascii="Arial" w:cs="Arial" w:eastAsia="Arial" w:hAnsi="Arial"/>
          <w:sz w:val="21"/>
          <w:szCs w:val="21"/>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20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Trustee To Sign Amendments, etc</w:t>
      </w:r>
      <w:r>
        <w:rPr>
          <w:rFonts w:ascii="Arial" w:cs="Arial" w:eastAsia="Arial" w:hAnsi="Arial"/>
          <w:sz w:val="19"/>
          <w:szCs w:val="19"/>
          <w:color w:val="auto"/>
        </w:rPr>
        <w:t>.</w:t>
      </w:r>
    </w:p>
    <w:p>
      <w:pPr>
        <w:spacing w:after="0" w:line="206" w:lineRule="exact"/>
        <w:rPr>
          <w:sz w:val="20"/>
          <w:szCs w:val="20"/>
          <w:color w:val="auto"/>
        </w:rPr>
      </w:pPr>
    </w:p>
    <w:p>
      <w:pPr>
        <w:ind w:right="60" w:firstLine="1433"/>
        <w:spacing w:after="0" w:line="245" w:lineRule="auto"/>
        <w:rPr>
          <w:sz w:val="20"/>
          <w:szCs w:val="20"/>
          <w:color w:val="auto"/>
        </w:rPr>
      </w:pPr>
      <w:r>
        <w:rPr>
          <w:rFonts w:ascii="Arial" w:cs="Arial" w:eastAsia="Arial" w:hAnsi="Arial"/>
          <w:sz w:val="21"/>
          <w:szCs w:val="21"/>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NINE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DISCHARGE OF INDENTURE; DEFEASANCE</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Discharge of Indenture</w:t>
      </w:r>
      <w:r>
        <w:rPr>
          <w:rFonts w:ascii="Arial" w:cs="Arial" w:eastAsia="Arial" w:hAnsi="Arial"/>
          <w:sz w:val="19"/>
          <w:szCs w:val="19"/>
          <w:color w:val="auto"/>
        </w:rPr>
        <w:t>.</w:t>
      </w:r>
    </w:p>
    <w:p>
      <w:pPr>
        <w:spacing w:after="0" w:line="206" w:lineRule="exact"/>
        <w:rPr>
          <w:sz w:val="20"/>
          <w:szCs w:val="20"/>
          <w:color w:val="auto"/>
        </w:rPr>
      </w:pPr>
    </w:p>
    <w:p>
      <w:pPr>
        <w:ind w:right="180" w:firstLine="1433"/>
        <w:spacing w:after="0" w:line="238" w:lineRule="auto"/>
        <w:rPr>
          <w:sz w:val="20"/>
          <w:szCs w:val="20"/>
          <w:color w:val="auto"/>
        </w:rPr>
      </w:pPr>
      <w:r>
        <w:rPr>
          <w:rFonts w:ascii="Arial" w:cs="Arial" w:eastAsia="Arial" w:hAnsi="Arial"/>
          <w:sz w:val="22"/>
          <w:szCs w:val="22"/>
          <w:color w:val="auto"/>
        </w:rPr>
        <w:t>This Indenture will be discharged and will cease to be of further effect as to the Notes and the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185" w:lineRule="exact"/>
        <w:rPr>
          <w:sz w:val="20"/>
          <w:szCs w:val="20"/>
          <w:color w:val="auto"/>
        </w:rPr>
      </w:pPr>
    </w:p>
    <w:p>
      <w:pPr>
        <w:ind w:left="660" w:right="300" w:firstLine="730"/>
        <w:spacing w:after="0"/>
        <w:tabs>
          <w:tab w:leader="none" w:pos="206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ectPr>
          <w:pgSz w:w="11900" w:h="16838" w:orient="portrait"/>
          <w:cols w:equalWidth="0" w:num="1">
            <w:col w:w="11020"/>
          </w:cols>
          <w:pgMar w:left="440" w:top="415" w:right="4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w:t>
      </w:r>
    </w:p>
    <w:p>
      <w:pPr>
        <w:spacing w:after="0" w:line="233" w:lineRule="exact"/>
        <w:rPr>
          <w:sz w:val="20"/>
          <w:szCs w:val="20"/>
          <w:color w:val="auto"/>
        </w:rPr>
      </w:pPr>
    </w:p>
    <w:p>
      <w:pPr>
        <w:ind w:left="660" w:firstLine="730"/>
        <w:spacing w:after="0" w:line="269" w:lineRule="auto"/>
        <w:tabs>
          <w:tab w:leader="none" w:pos="2069"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Euro, EU Government Obligations or a combination thereof in such amounts as will be sufficient, in the opinion of a nationally recognized firm of independent public accountants, to pay the principal of, premium, if any, and interest on the Notes outstanding under this Indenture on the maturity date or on the applicable optional redemption date, as the case may be;</w:t>
      </w:r>
    </w:p>
    <w:p>
      <w:pPr>
        <w:spacing w:after="0" w:line="3" w:lineRule="exact"/>
        <w:rPr>
          <w:rFonts w:ascii="Arial" w:cs="Arial" w:eastAsia="Arial" w:hAnsi="Arial"/>
          <w:sz w:val="19"/>
          <w:szCs w:val="19"/>
          <w:color w:val="auto"/>
        </w:rPr>
      </w:pPr>
    </w:p>
    <w:p>
      <w:pPr>
        <w:ind w:left="660" w:right="80" w:firstLine="5"/>
        <w:spacing w:after="0" w:line="267" w:lineRule="auto"/>
        <w:tabs>
          <w:tab w:leader="none" w:pos="96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w:t>
      </w:r>
    </w:p>
    <w:p>
      <w:pPr>
        <w:ind w:left="660" w:firstLine="5"/>
        <w:spacing w:after="0" w:line="275" w:lineRule="auto"/>
        <w:tabs>
          <w:tab w:leader="none" w:pos="95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Trustee shall acknowledge satisfaction and discharge of this Indenture on demand of and at the expense of the Issuer.</w:t>
      </w:r>
    </w:p>
    <w:p>
      <w:pPr>
        <w:spacing w:after="0" w:line="241" w:lineRule="exact"/>
        <w:rPr>
          <w:sz w:val="20"/>
          <w:szCs w:val="20"/>
          <w:color w:val="auto"/>
        </w:rPr>
      </w:pPr>
    </w:p>
    <w:p>
      <w:pPr>
        <w:ind w:right="240" w:firstLine="1433"/>
        <w:spacing w:after="0" w:line="251" w:lineRule="auto"/>
        <w:rPr>
          <w:sz w:val="20"/>
          <w:szCs w:val="20"/>
          <w:color w:val="auto"/>
        </w:rPr>
      </w:pPr>
      <w:r>
        <w:rPr>
          <w:rFonts w:ascii="Arial" w:cs="Arial" w:eastAsia="Arial" w:hAnsi="Arial"/>
          <w:sz w:val="22"/>
          <w:szCs w:val="22"/>
          <w:color w:val="auto"/>
        </w:rPr>
        <w:t>Notwithstanding the satisfaction and discharge of this Indenture, the obligations of the Issuer in Article Two and in Sections 4.01, 4.02, 7.07, 9.05 and 9.06 shall survive such satisfaction and discharge.</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Legal Defeasance</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79" w:lineRule="auto"/>
        <w:rPr>
          <w:sz w:val="20"/>
          <w:szCs w:val="20"/>
          <w:color w:val="auto"/>
        </w:rPr>
      </w:pPr>
      <w:r>
        <w:rPr>
          <w:rFonts w:ascii="Arial" w:cs="Arial" w:eastAsia="Arial" w:hAnsi="Arial"/>
          <w:sz w:val="19"/>
          <w:szCs w:val="19"/>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Arial" w:cs="Arial" w:eastAsia="Arial" w:hAnsi="Arial"/>
          <w:sz w:val="19"/>
          <w:szCs w:val="19"/>
          <w:u w:val="single" w:color="auto"/>
          <w:color w:val="auto"/>
        </w:rPr>
        <w:t>Legal Defeasance</w:t>
      </w:r>
      <w:r>
        <w:rPr>
          <w:rFonts w:ascii="Arial" w:cs="Arial" w:eastAsia="Arial" w:hAnsi="Arial"/>
          <w:sz w:val="19"/>
          <w:szCs w:val="19"/>
          <w:color w:val="auto"/>
        </w:rPr>
        <w:t>”).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w:t>
      </w:r>
    </w:p>
    <w:p>
      <w:pPr>
        <w:sectPr>
          <w:pgSz w:w="11900" w:h="16838" w:orient="portrait"/>
          <w:cols w:equalWidth="0" w:num="1">
            <w:col w:w="11020"/>
          </w:cols>
          <w:pgMar w:left="440" w:top="415" w:right="4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-76-</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knowledging the same), except for the following which shall survive until otherwise terminated or discharged hereunder:</w:t>
      </w:r>
    </w:p>
    <w:p>
      <w:pPr>
        <w:spacing w:after="0" w:line="43" w:lineRule="exact"/>
        <w:rPr>
          <w:sz w:val="20"/>
          <w:szCs w:val="20"/>
          <w:color w:val="auto"/>
        </w:rPr>
      </w:pPr>
    </w:p>
    <w:p>
      <w:pPr>
        <w:ind w:firstLine="4"/>
        <w:spacing w:after="0" w:line="267" w:lineRule="auto"/>
        <w:tabs>
          <w:tab w:leader="none" w:pos="30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w:t>
      </w:r>
    </w:p>
    <w:p>
      <w:pPr>
        <w:ind w:right="60" w:firstLine="4"/>
        <w:spacing w:after="0" w:line="308" w:lineRule="auto"/>
        <w:tabs>
          <w:tab w:leader="none" w:pos="30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rights, powers, trusts, duties, and immunities of the Trustee hereunder (including claims of, or payments to, the Trustee under or pursuant to Section 7.07) and the Issuer’s obligations in connection therewith and (4) this Article Nine.</w:t>
      </w:r>
    </w:p>
    <w:p>
      <w:pPr>
        <w:spacing w:after="0" w:line="123" w:lineRule="exact"/>
        <w:rPr>
          <w:sz w:val="20"/>
          <w:szCs w:val="20"/>
          <w:color w:val="auto"/>
        </w:rPr>
      </w:pPr>
    </w:p>
    <w:p>
      <w:pPr>
        <w:ind w:firstLine="1433"/>
        <w:spacing w:after="0" w:line="249" w:lineRule="auto"/>
        <w:rPr>
          <w:sz w:val="20"/>
          <w:szCs w:val="20"/>
          <w:color w:val="auto"/>
        </w:rPr>
      </w:pPr>
      <w:r>
        <w:rPr>
          <w:rFonts w:ascii="Arial" w:cs="Arial" w:eastAsia="Arial" w:hAnsi="Arial"/>
          <w:sz w:val="21"/>
          <w:szCs w:val="21"/>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79" w:lineRule="exact"/>
        <w:rPr>
          <w:sz w:val="20"/>
          <w:szCs w:val="20"/>
          <w:color w:val="auto"/>
        </w:rPr>
      </w:pPr>
    </w:p>
    <w:p>
      <w:pPr>
        <w:ind w:right="220" w:firstLine="1433"/>
        <w:spacing w:after="0" w:line="328" w:lineRule="auto"/>
        <w:rPr>
          <w:sz w:val="20"/>
          <w:szCs w:val="20"/>
          <w:color w:val="auto"/>
        </w:rPr>
      </w:pPr>
      <w:r>
        <w:rPr>
          <w:rFonts w:ascii="Arial" w:cs="Arial" w:eastAsia="Arial" w:hAnsi="Arial"/>
          <w:sz w:val="19"/>
          <w:szCs w:val="19"/>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1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06" w:lineRule="exact"/>
        <w:rPr>
          <w:sz w:val="20"/>
          <w:szCs w:val="20"/>
          <w:color w:val="auto"/>
        </w:rPr>
      </w:pPr>
    </w:p>
    <w:p>
      <w:pPr>
        <w:ind w:right="120" w:firstLine="1433"/>
        <w:spacing w:after="0" w:line="273" w:lineRule="auto"/>
        <w:rPr>
          <w:sz w:val="20"/>
          <w:szCs w:val="20"/>
          <w:color w:val="auto"/>
        </w:rPr>
      </w:pPr>
      <w:r>
        <w:rPr>
          <w:rFonts w:ascii="Arial" w:cs="Arial" w:eastAsia="Arial" w:hAnsi="Arial"/>
          <w:sz w:val="19"/>
          <w:szCs w:val="19"/>
          <w:color w:val="auto"/>
        </w:rPr>
        <w:t>The Issuer may, at its option and at any time, elect to have their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56" w:lineRule="exact"/>
        <w:rPr>
          <w:sz w:val="20"/>
          <w:szCs w:val="20"/>
          <w:color w:val="auto"/>
        </w:rPr>
      </w:pPr>
    </w:p>
    <w:p>
      <w:pPr>
        <w:jc w:val="both"/>
        <w:ind w:right="180" w:firstLine="1433"/>
        <w:spacing w:after="0"/>
        <w:rPr>
          <w:sz w:val="20"/>
          <w:szCs w:val="20"/>
          <w:color w:val="auto"/>
        </w:rPr>
      </w:pPr>
      <w:r>
        <w:rPr>
          <w:rFonts w:ascii="Arial" w:cs="Arial" w:eastAsia="Arial" w:hAnsi="Arial"/>
          <w:sz w:val="22"/>
          <w:szCs w:val="22"/>
          <w:color w:val="auto"/>
        </w:rPr>
        <w:t>Notwithstanding any discharge or release of any obligations under this Indenture pursuant to Section 9.02 or this Section 9.03, the Issuer’s obligations in Article Two and Sections 7.07, 9.05, 9.06, 9.07 and 9.08 shall survive until such time as the Notes have been</w:t>
      </w:r>
    </w:p>
    <w:p>
      <w:pPr>
        <w:sectPr>
          <w:pgSz w:w="11900" w:h="16838" w:orient="portrait"/>
          <w:cols w:equalWidth="0" w:num="1">
            <w:col w:w="10980"/>
          </w:cols>
          <w:pgMar w:left="440" w:top="415" w:right="4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paid in full. Thereafter, the Issuer’s obligations in Sections 7.07, 9.05, 9.07 and 9.08 shall survive.</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u w:val="single" w:color="auto"/>
          <w:color w:val="auto"/>
        </w:rPr>
        <w:t>Conditions to Defeasance or Covenant Defeasance</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The following shall be the conditions to application of Section 9.02 or Section 9.03 to the outstanding Notes:</w:t>
      </w:r>
    </w:p>
    <w:p>
      <w:pPr>
        <w:spacing w:after="0" w:line="241" w:lineRule="exact"/>
        <w:rPr>
          <w:sz w:val="20"/>
          <w:szCs w:val="20"/>
          <w:color w:val="auto"/>
        </w:rPr>
      </w:pPr>
    </w:p>
    <w:p>
      <w:pPr>
        <w:ind w:left="660" w:firstLine="730"/>
        <w:spacing w:after="0" w:line="247" w:lineRule="auto"/>
        <w:tabs>
          <w:tab w:leader="none" w:pos="206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Issuer must irrevocably deposit with the Trustee, in trust, for the benefit of the Holders of the Notes issued under this Indenture, cash in Euros, EU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178" w:lineRule="exact"/>
        <w:rPr>
          <w:rFonts w:ascii="Arial" w:cs="Arial" w:eastAsia="Arial" w:hAnsi="Arial"/>
          <w:sz w:val="21"/>
          <w:szCs w:val="21"/>
          <w:color w:val="auto"/>
        </w:rPr>
      </w:pPr>
    </w:p>
    <w:p>
      <w:pPr>
        <w:ind w:left="660" w:firstLine="730"/>
        <w:spacing w:after="0" w:line="275" w:lineRule="auto"/>
        <w:tabs>
          <w:tab w:leader="none" w:pos="206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U.S. federal income tax law, in either case to the effect that, and based thereon such Opinion of Counsel shall confirm that, the Holders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58" w:lineRule="exact"/>
        <w:rPr>
          <w:rFonts w:ascii="Arial" w:cs="Arial" w:eastAsia="Arial" w:hAnsi="Arial"/>
          <w:sz w:val="19"/>
          <w:szCs w:val="19"/>
          <w:color w:val="auto"/>
        </w:rPr>
      </w:pPr>
    </w:p>
    <w:p>
      <w:pPr>
        <w:ind w:left="660" w:right="20" w:firstLine="730"/>
        <w:spacing w:after="0" w:line="282" w:lineRule="auto"/>
        <w:tabs>
          <w:tab w:leader="none" w:pos="206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the case of Covenant Defeasance, the Issuer shall have delivered to the Trustee an Opinion of Counsel in the United States (upon which the Trustee shall have no liability in relying) confirming that the Holders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47" w:lineRule="exact"/>
        <w:rPr>
          <w:rFonts w:ascii="Arial" w:cs="Arial" w:eastAsia="Arial" w:hAnsi="Arial"/>
          <w:sz w:val="19"/>
          <w:szCs w:val="19"/>
          <w:color w:val="auto"/>
        </w:rPr>
      </w:pPr>
    </w:p>
    <w:p>
      <w:pPr>
        <w:ind w:left="660" w:firstLine="730"/>
        <w:spacing w:after="0"/>
        <w:tabs>
          <w:tab w:leader="none" w:pos="206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on the date of such deposit (other than a Default or Event of Default resulting from the borrowing of funds to be applied to such deposit) or insofar as Events of Default from</w:t>
      </w:r>
    </w:p>
    <w:p>
      <w:pPr>
        <w:sectPr>
          <w:pgSz w:w="11900" w:h="16838" w:orient="portrait"/>
          <w:cols w:equalWidth="0" w:num="1">
            <w:col w:w="11000"/>
          </w:cols>
          <w:pgMar w:left="440" w:top="415" w:right="4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p>
    <w:p>
      <w:pPr>
        <w:spacing w:after="0" w:line="233" w:lineRule="exact"/>
        <w:rPr>
          <w:sz w:val="20"/>
          <w:szCs w:val="20"/>
          <w:color w:val="auto"/>
        </w:rPr>
      </w:pPr>
    </w:p>
    <w:p>
      <w:pPr>
        <w:ind w:left="660" w:right="640"/>
        <w:spacing w:after="0" w:line="251" w:lineRule="auto"/>
        <w:rPr>
          <w:sz w:val="20"/>
          <w:szCs w:val="20"/>
          <w:color w:val="auto"/>
        </w:rPr>
      </w:pPr>
      <w:r>
        <w:rPr>
          <w:rFonts w:ascii="Arial" w:cs="Arial" w:eastAsia="Arial" w:hAnsi="Arial"/>
          <w:sz w:val="22"/>
          <w:szCs w:val="22"/>
          <w:color w:val="auto"/>
        </w:rPr>
        <w:t>bankruptcy or insolvency events are concerned, at any time in the period ending on the 91st day after the date of deposit;</w:t>
      </w:r>
    </w:p>
    <w:p>
      <w:pPr>
        <w:spacing w:after="0" w:line="173" w:lineRule="exact"/>
        <w:rPr>
          <w:sz w:val="20"/>
          <w:szCs w:val="20"/>
          <w:color w:val="auto"/>
        </w:rPr>
      </w:pPr>
    </w:p>
    <w:p>
      <w:pPr>
        <w:ind w:left="660" w:right="40" w:firstLine="730"/>
        <w:spacing w:after="0"/>
        <w:tabs>
          <w:tab w:leader="none" w:pos="206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186" w:lineRule="exact"/>
        <w:rPr>
          <w:rFonts w:ascii="Arial" w:cs="Arial" w:eastAsia="Arial" w:hAnsi="Arial"/>
          <w:sz w:val="22"/>
          <w:szCs w:val="22"/>
          <w:color w:val="auto"/>
        </w:rPr>
      </w:pPr>
    </w:p>
    <w:p>
      <w:pPr>
        <w:ind w:left="660" w:right="140" w:firstLine="730"/>
        <w:spacing w:after="0" w:line="236" w:lineRule="auto"/>
        <w:tabs>
          <w:tab w:leader="none" w:pos="206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187" w:lineRule="exact"/>
        <w:rPr>
          <w:rFonts w:ascii="Arial" w:cs="Arial" w:eastAsia="Arial" w:hAnsi="Arial"/>
          <w:sz w:val="22"/>
          <w:szCs w:val="22"/>
          <w:color w:val="auto"/>
        </w:rPr>
      </w:pPr>
    </w:p>
    <w:p>
      <w:pPr>
        <w:ind w:left="660" w:firstLine="730"/>
        <w:spacing w:after="0" w:line="238" w:lineRule="auto"/>
        <w:tabs>
          <w:tab w:leader="none" w:pos="206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185" w:lineRule="exact"/>
        <w:rPr>
          <w:rFonts w:ascii="Arial" w:cs="Arial" w:eastAsia="Arial" w:hAnsi="Arial"/>
          <w:sz w:val="22"/>
          <w:szCs w:val="22"/>
          <w:color w:val="auto"/>
        </w:rPr>
      </w:pPr>
    </w:p>
    <w:p>
      <w:pPr>
        <w:ind w:left="660" w:right="160" w:firstLine="730"/>
        <w:spacing w:after="0"/>
        <w:tabs>
          <w:tab w:leader="none" w:pos="206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u w:val="single" w:color="auto"/>
          <w:color w:val="auto"/>
        </w:rPr>
        <w:t>Deposited Money and EU Government Obligations To Be Held in Trust.</w:t>
      </w:r>
    </w:p>
    <w:p>
      <w:pPr>
        <w:spacing w:after="0" w:line="206" w:lineRule="exact"/>
        <w:rPr>
          <w:sz w:val="20"/>
          <w:szCs w:val="20"/>
          <w:color w:val="auto"/>
        </w:rPr>
      </w:pPr>
    </w:p>
    <w:p>
      <w:pPr>
        <w:ind w:right="40" w:firstLine="1433"/>
        <w:spacing w:after="0" w:line="282" w:lineRule="auto"/>
        <w:rPr>
          <w:sz w:val="20"/>
          <w:szCs w:val="20"/>
          <w:color w:val="auto"/>
        </w:rPr>
      </w:pPr>
      <w:r>
        <w:rPr>
          <w:rFonts w:ascii="Arial" w:cs="Arial" w:eastAsia="Arial" w:hAnsi="Arial"/>
          <w:sz w:val="19"/>
          <w:szCs w:val="19"/>
          <w:color w:val="auto"/>
        </w:rPr>
        <w:t>All money and EU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48" w:lineRule="exact"/>
        <w:rPr>
          <w:sz w:val="20"/>
          <w:szCs w:val="20"/>
          <w:color w:val="auto"/>
        </w:rPr>
      </w:pPr>
    </w:p>
    <w:p>
      <w:pPr>
        <w:ind w:right="160" w:firstLine="1433"/>
        <w:spacing w:after="0" w:line="252" w:lineRule="auto"/>
        <w:rPr>
          <w:sz w:val="20"/>
          <w:szCs w:val="20"/>
          <w:color w:val="auto"/>
        </w:rPr>
      </w:pPr>
      <w:r>
        <w:rPr>
          <w:rFonts w:ascii="Arial" w:cs="Arial" w:eastAsia="Arial" w:hAnsi="Arial"/>
          <w:sz w:val="21"/>
          <w:szCs w:val="21"/>
          <w:color w:val="auto"/>
        </w:rPr>
        <w:t>The Issuer and the Guarantors shall (on a joint and several basis) pay and indemnify the Trustee against any tax, fee or other charge imposed on or assessed against the EU Government Obligations deposited pursuant to Sections 9.01 and 9.04 or the principal, premium, if any, and interest received in respect thereof other than any such tax, fee or other charge which by law is for the account of the Holders of the outstanding Notes.</w:t>
      </w:r>
    </w:p>
    <w:p>
      <w:pPr>
        <w:sectPr>
          <w:pgSz w:w="11900" w:h="16838" w:orient="portrait"/>
          <w:cols w:equalWidth="0" w:num="1">
            <w:col w:w="11000"/>
          </w:cols>
          <w:pgMar w:left="440" w:top="415" w:right="4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-79-</w:t>
      </w:r>
    </w:p>
    <w:p>
      <w:pPr>
        <w:spacing w:after="0" w:line="233" w:lineRule="exact"/>
        <w:rPr>
          <w:sz w:val="20"/>
          <w:szCs w:val="20"/>
          <w:color w:val="auto"/>
        </w:rPr>
      </w:pPr>
    </w:p>
    <w:p>
      <w:pPr>
        <w:ind w:right="340" w:firstLine="1433"/>
        <w:spacing w:after="0" w:line="276" w:lineRule="auto"/>
        <w:rPr>
          <w:sz w:val="20"/>
          <w:szCs w:val="20"/>
          <w:color w:val="auto"/>
        </w:rPr>
      </w:pPr>
      <w:r>
        <w:rPr>
          <w:rFonts w:ascii="Arial" w:cs="Arial" w:eastAsia="Arial" w:hAnsi="Arial"/>
          <w:sz w:val="19"/>
          <w:szCs w:val="19"/>
          <w:color w:val="auto"/>
        </w:rPr>
        <w:t>Anything in this Article Nine to the contrary notwithstanding, the Trustee shall deliver or pay to the Issuer from time to time upon a request of the Issuer any money or EU Government Obligations held by it as provided in Sections</w:t>
      </w:r>
    </w:p>
    <w:p>
      <w:pPr>
        <w:spacing w:after="0" w:line="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20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Reinstatement</w:t>
      </w:r>
      <w:r>
        <w:rPr>
          <w:rFonts w:ascii="Arial" w:cs="Arial" w:eastAsia="Arial" w:hAnsi="Arial"/>
          <w:sz w:val="19"/>
          <w:szCs w:val="19"/>
          <w:color w:val="auto"/>
        </w:rPr>
        <w:t>.</w:t>
      </w:r>
    </w:p>
    <w:p>
      <w:pPr>
        <w:spacing w:after="0" w:line="206" w:lineRule="exact"/>
        <w:rPr>
          <w:sz w:val="20"/>
          <w:szCs w:val="20"/>
          <w:color w:val="auto"/>
        </w:rPr>
      </w:pPr>
    </w:p>
    <w:p>
      <w:pPr>
        <w:ind w:right="80" w:firstLine="1433"/>
        <w:spacing w:after="0" w:line="245" w:lineRule="auto"/>
        <w:rPr>
          <w:sz w:val="20"/>
          <w:szCs w:val="20"/>
          <w:color w:val="auto"/>
        </w:rPr>
      </w:pPr>
      <w:r>
        <w:rPr>
          <w:rFonts w:ascii="Arial" w:cs="Arial" w:eastAsia="Arial" w:hAnsi="Arial"/>
          <w:sz w:val="21"/>
          <w:szCs w:val="21"/>
          <w:color w:val="auto"/>
        </w:rPr>
        <w:t xml:space="preserve">If the Trustee or any Paying Agent is unable to apply any money or EU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EU Government Obligations in accordance with Section 9.01, 9.02 or 9.03;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EU Government Obligations held by the Trustee or any Paying Agent.</w:t>
      </w:r>
    </w:p>
    <w:p>
      <w:pPr>
        <w:spacing w:after="0" w:line="209"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9.07.</w:t>
      </w:r>
      <w:r>
        <w:rPr>
          <w:sz w:val="20"/>
          <w:szCs w:val="20"/>
          <w:color w:val="auto"/>
        </w:rPr>
        <w:tab/>
      </w:r>
      <w:r>
        <w:rPr>
          <w:rFonts w:ascii="Arial" w:cs="Arial" w:eastAsia="Arial" w:hAnsi="Arial"/>
          <w:sz w:val="19"/>
          <w:szCs w:val="19"/>
          <w:u w:val="single" w:color="auto"/>
          <w:color w:val="auto"/>
        </w:rPr>
        <w:t>Moneys Held by Paying Agent</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35" w:lineRule="auto"/>
        <w:rPr>
          <w:sz w:val="20"/>
          <w:szCs w:val="20"/>
          <w:color w:val="auto"/>
        </w:rPr>
      </w:pPr>
      <w:r>
        <w:rPr>
          <w:rFonts w:ascii="Arial" w:cs="Arial" w:eastAsia="Arial" w:hAnsi="Arial"/>
          <w:sz w:val="22"/>
          <w:szCs w:val="22"/>
          <w:color w:val="auto"/>
        </w:rPr>
        <w:t>In connection with the satisfaction and discharge of this Indenture, all moneys and EU Government Obligations then held by any Paying Agent under the provisions of this Indenture shall, upon written demand of the Issuer, be paid or delivered to the Trustee, or if sufficient moneys and EU Government Obligations have been deposited pursuant to Section 9.04, to the Issuer upon a request of the Issuer (or, if such moneys and EU Government Obligations had been deposited by the Guarantors, to such Guarantors), and thereupon such Paying Agent shall be released from all further liability with respect to such moneys.</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9.08.</w:t>
      </w:r>
      <w:r>
        <w:rPr>
          <w:sz w:val="20"/>
          <w:szCs w:val="20"/>
          <w:color w:val="auto"/>
        </w:rPr>
        <w:tab/>
      </w:r>
      <w:r>
        <w:rPr>
          <w:rFonts w:ascii="Arial" w:cs="Arial" w:eastAsia="Arial" w:hAnsi="Arial"/>
          <w:sz w:val="19"/>
          <w:szCs w:val="19"/>
          <w:u w:val="single" w:color="auto"/>
          <w:color w:val="auto"/>
        </w:rPr>
        <w:t>Moneys Held by Trustee</w:t>
      </w:r>
      <w:r>
        <w:rPr>
          <w:rFonts w:ascii="Arial" w:cs="Arial" w:eastAsia="Arial" w:hAnsi="Arial"/>
          <w:sz w:val="19"/>
          <w:szCs w:val="19"/>
          <w:color w:val="auto"/>
        </w:rPr>
        <w:t>.</w:t>
      </w:r>
    </w:p>
    <w:p>
      <w:pPr>
        <w:spacing w:after="0" w:line="206" w:lineRule="exact"/>
        <w:rPr>
          <w:sz w:val="20"/>
          <w:szCs w:val="20"/>
          <w:color w:val="auto"/>
        </w:rPr>
      </w:pPr>
    </w:p>
    <w:p>
      <w:pPr>
        <w:ind w:right="40" w:firstLine="1433"/>
        <w:spacing w:after="0" w:line="235" w:lineRule="auto"/>
        <w:rPr>
          <w:sz w:val="20"/>
          <w:szCs w:val="20"/>
          <w:color w:val="auto"/>
        </w:rPr>
      </w:pPr>
      <w:r>
        <w:rPr>
          <w:rFonts w:ascii="Arial" w:cs="Arial" w:eastAsia="Arial" w:hAnsi="Arial"/>
          <w:sz w:val="22"/>
          <w:szCs w:val="22"/>
          <w:color w:val="auto"/>
        </w:rPr>
        <w:t>Any moneys and EU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EU Government Obligations are then held by the Issuer or</w:t>
      </w:r>
    </w:p>
    <w:p>
      <w:pPr>
        <w:sectPr>
          <w:pgSz w:w="11900" w:h="16838" w:orient="portrait"/>
          <w:cols w:equalWidth="0" w:num="1">
            <w:col w:w="11020"/>
          </w:cols>
          <w:pgMar w:left="440" w:top="415" w:right="4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the Guarantors in trust, such moneys and EU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EU Government Obligations shall thereupon cease;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and in one newspaper published in the English language, customarily published each Business Day and of general circulation in London, England, a notice that such moneys and EU Government Obligations remains unclaimed and that, after a date specified therein, which shall not be less than 30 days from the date of such mailing or publication, any unclaimed balance of such moneys and EU Government Obligations then remaining will be repaid or returned to the Issuer. After payment or return to the Issuer or the Guarantors or the release of any moneys and EU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TEN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GUARANTEE OF SECURITIES</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06" w:lineRule="exact"/>
        <w:rPr>
          <w:sz w:val="20"/>
          <w:szCs w:val="20"/>
          <w:color w:val="auto"/>
        </w:rPr>
      </w:pPr>
    </w:p>
    <w:p>
      <w:pPr>
        <w:ind w:firstLine="1433"/>
        <w:spacing w:after="0" w:line="244" w:lineRule="auto"/>
        <w:rPr>
          <w:sz w:val="20"/>
          <w:szCs w:val="20"/>
          <w:color w:val="auto"/>
        </w:rPr>
      </w:pPr>
      <w:r>
        <w:rPr>
          <w:rFonts w:ascii="Arial" w:cs="Arial" w:eastAsia="Arial" w:hAnsi="Arial"/>
          <w:sz w:val="21"/>
          <w:szCs w:val="21"/>
          <w:color w:val="auto"/>
        </w:rPr>
        <w:t>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w:t>
      </w:r>
    </w:p>
    <w:p>
      <w:pPr>
        <w:sectPr>
          <w:pgSz w:w="11900" w:h="16838" w:orient="portrait"/>
          <w:cols w:equalWidth="0" w:num="1">
            <w:col w:w="11000"/>
          </w:cols>
          <w:pgMar w:left="440" w:top="415" w:right="4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w:t>
      </w:r>
    </w:p>
    <w:p>
      <w:pPr>
        <w:spacing w:after="0" w:line="233"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respect thereto by the Holder of such Note, or any other circumstances which may otherwise constitute a legal or equitable discharge of a surety or such Guarantor.</w:t>
      </w:r>
    </w:p>
    <w:p>
      <w:pPr>
        <w:spacing w:after="0" w:line="173" w:lineRule="exact"/>
        <w:rPr>
          <w:sz w:val="20"/>
          <w:szCs w:val="20"/>
          <w:color w:val="auto"/>
        </w:rPr>
      </w:pPr>
    </w:p>
    <w:p>
      <w:pPr>
        <w:ind w:firstLine="1433"/>
        <w:spacing w:after="0" w:line="270" w:lineRule="auto"/>
        <w:rPr>
          <w:sz w:val="20"/>
          <w:szCs w:val="20"/>
          <w:color w:val="auto"/>
        </w:rPr>
      </w:pPr>
      <w:r>
        <w:rPr>
          <w:rFonts w:ascii="Arial" w:cs="Arial" w:eastAsia="Arial" w:hAnsi="Arial"/>
          <w:sz w:val="19"/>
          <w:szCs w:val="19"/>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w:t>
      </w:r>
    </w:p>
    <w:p>
      <w:pPr>
        <w:spacing w:after="0" w:line="4" w:lineRule="exact"/>
        <w:rPr>
          <w:sz w:val="20"/>
          <w:szCs w:val="20"/>
          <w:color w:val="auto"/>
        </w:rPr>
      </w:pPr>
    </w:p>
    <w:p>
      <w:pPr>
        <w:ind w:firstLine="4"/>
        <w:spacing w:after="0" w:line="233" w:lineRule="auto"/>
        <w:tabs>
          <w:tab w:leader="none" w:pos="25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maturity of the obligations guaranteed hereby may be accelerated as provided in Article Six for the purposes of this Guarantee, notwithstanding any stay, injunction or other prohibition preventing such acceleration in respect of the obligations guaranteed hereby, and (ii) in the event of any declaration of acceleration of such obligations as provided in Article Six, such obligations (whether or not due and payable) shall forthwith become due and payable by each Guarantor for the purpose of this Guarantee.</w:t>
      </w:r>
    </w:p>
    <w:p>
      <w:pPr>
        <w:spacing w:after="0" w:line="186" w:lineRule="exact"/>
        <w:rPr>
          <w:sz w:val="20"/>
          <w:szCs w:val="20"/>
          <w:color w:val="auto"/>
        </w:rPr>
      </w:pPr>
    </w:p>
    <w:p>
      <w:pPr>
        <w:ind w:right="700" w:firstLine="1433"/>
        <w:spacing w:after="0" w:line="251" w:lineRule="auto"/>
        <w:rPr>
          <w:sz w:val="20"/>
          <w:szCs w:val="20"/>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any Holder under the Note Guarantees.</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Execution and Delivery of Note Guarantee</w:t>
      </w:r>
      <w:r>
        <w:rPr>
          <w:rFonts w:ascii="Arial" w:cs="Arial" w:eastAsia="Arial" w:hAnsi="Arial"/>
          <w:sz w:val="19"/>
          <w:szCs w:val="19"/>
          <w:color w:val="auto"/>
        </w:rPr>
        <w:t>.</w:t>
      </w:r>
    </w:p>
    <w:p>
      <w:pPr>
        <w:spacing w:after="0" w:line="206" w:lineRule="exact"/>
        <w:rPr>
          <w:sz w:val="20"/>
          <w:szCs w:val="20"/>
          <w:color w:val="auto"/>
        </w:rPr>
      </w:pPr>
    </w:p>
    <w:p>
      <w:pPr>
        <w:ind w:right="60" w:firstLine="1433"/>
        <w:spacing w:after="0" w:line="249" w:lineRule="auto"/>
        <w:rPr>
          <w:sz w:val="20"/>
          <w:szCs w:val="20"/>
          <w:color w:val="auto"/>
        </w:rPr>
      </w:pPr>
      <w:r>
        <w:rPr>
          <w:rFonts w:ascii="Arial" w:cs="Arial" w:eastAsia="Arial" w:hAnsi="Arial"/>
          <w:sz w:val="21"/>
          <w:szCs w:val="21"/>
          <w:color w:val="auto"/>
        </w:rPr>
        <w:t xml:space="preserve">To further evidence the Note Guarantee set forth in Section 10.01, each Guarantor hereby agrees that a notation of such Note Guarantee, substantially in the form attached hereto as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79" w:lineRule="exact"/>
        <w:rPr>
          <w:sz w:val="20"/>
          <w:szCs w:val="20"/>
          <w:color w:val="auto"/>
        </w:rPr>
      </w:pPr>
    </w:p>
    <w:p>
      <w:pPr>
        <w:ind w:right="240" w:firstLine="1433"/>
        <w:spacing w:after="0" w:line="274" w:lineRule="auto"/>
        <w:rPr>
          <w:sz w:val="20"/>
          <w:szCs w:val="20"/>
          <w:color w:val="auto"/>
        </w:rPr>
      </w:pPr>
      <w:r>
        <w:rPr>
          <w:rFonts w:ascii="Arial" w:cs="Arial" w:eastAsia="Arial" w:hAnsi="Arial"/>
          <w:sz w:val="21"/>
          <w:szCs w:val="21"/>
          <w:color w:val="auto"/>
        </w:rPr>
        <w:t>Each of the Guarantors hereby agrees that its Note Guarantee set forth in Section 10.01 shall be in full force and effect notwithstanding any failure to endorse on each Note a notation of such Note Guarantee.</w:t>
      </w:r>
    </w:p>
    <w:p>
      <w:pPr>
        <w:spacing w:after="0" w:line="151" w:lineRule="exact"/>
        <w:rPr>
          <w:sz w:val="20"/>
          <w:szCs w:val="20"/>
          <w:color w:val="auto"/>
        </w:rPr>
      </w:pPr>
    </w:p>
    <w:p>
      <w:pPr>
        <w:ind w:right="160" w:firstLine="1433"/>
        <w:spacing w:after="0"/>
        <w:rPr>
          <w:sz w:val="20"/>
          <w:szCs w:val="20"/>
          <w:color w:val="auto"/>
        </w:rPr>
      </w:pPr>
      <w:r>
        <w:rPr>
          <w:rFonts w:ascii="Arial" w:cs="Arial" w:eastAsia="Arial" w:hAnsi="Arial"/>
          <w:sz w:val="22"/>
          <w:szCs w:val="22"/>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86" w:lineRule="exact"/>
        <w:rPr>
          <w:sz w:val="20"/>
          <w:szCs w:val="20"/>
          <w:color w:val="auto"/>
        </w:rPr>
      </w:pPr>
    </w:p>
    <w:p>
      <w:pPr>
        <w:ind w:right="660" w:firstLine="1433"/>
        <w:spacing w:after="0" w:line="251"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any Note Guarantee set forth in this Indenture on behalf of the Guarantor.</w:t>
      </w:r>
    </w:p>
    <w:p>
      <w:pPr>
        <w:sectPr>
          <w:pgSz w:w="11900" w:h="16838" w:orient="portrait"/>
          <w:cols w:equalWidth="0" w:num="1">
            <w:col w:w="11000"/>
          </w:cols>
          <w:pgMar w:left="440" w:top="415" w:right="4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8"/>
          <w:szCs w:val="18"/>
          <w:u w:val="single" w:color="auto"/>
          <w:color w:val="auto"/>
        </w:rPr>
        <w:t>Release of Guarantors</w:t>
      </w:r>
      <w:r>
        <w:rPr>
          <w:rFonts w:ascii="Arial" w:cs="Arial" w:eastAsia="Arial" w:hAnsi="Arial"/>
          <w:sz w:val="18"/>
          <w:szCs w:val="18"/>
          <w:color w:val="auto"/>
        </w:rPr>
        <w:t>.</w:t>
      </w:r>
    </w:p>
    <w:p>
      <w:pPr>
        <w:spacing w:after="0" w:line="206" w:lineRule="exact"/>
        <w:rPr>
          <w:sz w:val="20"/>
          <w:szCs w:val="20"/>
          <w:color w:val="auto"/>
        </w:rPr>
      </w:pPr>
    </w:p>
    <w:p>
      <w:pPr>
        <w:ind w:firstLine="1436"/>
        <w:spacing w:after="0" w:line="251" w:lineRule="auto"/>
        <w:tabs>
          <w:tab w:leader="none" w:pos="2101"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The Note Guarantee of a Guarantor (other than Parent) will be unconditionally released and discharged upon any of the following:</w:t>
      </w:r>
    </w:p>
    <w:p>
      <w:pPr>
        <w:spacing w:after="0" w:line="173" w:lineRule="exact"/>
        <w:rPr>
          <w:rFonts w:ascii="Arial" w:cs="Arial" w:eastAsia="Arial" w:hAnsi="Arial"/>
          <w:sz w:val="22"/>
          <w:szCs w:val="22"/>
          <w:color w:val="auto"/>
        </w:rPr>
      </w:pPr>
    </w:p>
    <w:p>
      <w:pPr>
        <w:ind w:left="660" w:right="620" w:firstLine="730"/>
        <w:spacing w:after="0"/>
        <w:tabs>
          <w:tab w:leader="none" w:pos="206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186" w:lineRule="exact"/>
        <w:rPr>
          <w:rFonts w:ascii="Arial" w:cs="Arial" w:eastAsia="Arial" w:hAnsi="Arial"/>
          <w:sz w:val="22"/>
          <w:szCs w:val="22"/>
          <w:color w:val="auto"/>
        </w:rPr>
      </w:pPr>
    </w:p>
    <w:p>
      <w:pPr>
        <w:ind w:left="660" w:right="20" w:firstLine="730"/>
        <w:spacing w:after="0" w:line="236" w:lineRule="auto"/>
        <w:tabs>
          <w:tab w:leader="none" w:pos="206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Guarantor is also released from all of its obligations in respect of Indebtedness under each Credit Facility;</w:t>
      </w:r>
    </w:p>
    <w:p>
      <w:pPr>
        <w:spacing w:after="0" w:line="187" w:lineRule="exact"/>
        <w:rPr>
          <w:rFonts w:ascii="Arial" w:cs="Arial" w:eastAsia="Arial" w:hAnsi="Arial"/>
          <w:sz w:val="22"/>
          <w:szCs w:val="22"/>
          <w:color w:val="auto"/>
        </w:rPr>
      </w:pPr>
    </w:p>
    <w:p>
      <w:pPr>
        <w:ind w:left="660" w:right="200" w:firstLine="730"/>
        <w:spacing w:after="0"/>
        <w:tabs>
          <w:tab w:leader="none" w:pos="206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186" w:lineRule="exact"/>
        <w:rPr>
          <w:rFonts w:ascii="Arial" w:cs="Arial" w:eastAsia="Arial" w:hAnsi="Arial"/>
          <w:sz w:val="22"/>
          <w:szCs w:val="22"/>
          <w:color w:val="auto"/>
        </w:rPr>
      </w:pPr>
    </w:p>
    <w:p>
      <w:pPr>
        <w:ind w:left="660" w:right="40" w:firstLine="730"/>
        <w:spacing w:after="0" w:line="251" w:lineRule="auto"/>
        <w:tabs>
          <w:tab w:leader="none" w:pos="206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the contemporaneous release or discharge of all Guarantees by such Guarantor which would have required such Guarantor to guarantee the Notes pursuant to Section 4.17.</w:t>
      </w:r>
    </w:p>
    <w:p>
      <w:pPr>
        <w:spacing w:after="0" w:line="173" w:lineRule="exact"/>
        <w:rPr>
          <w:rFonts w:ascii="Arial" w:cs="Arial" w:eastAsia="Arial" w:hAnsi="Arial"/>
          <w:sz w:val="22"/>
          <w:szCs w:val="22"/>
          <w:color w:val="auto"/>
        </w:rPr>
      </w:pPr>
    </w:p>
    <w:p>
      <w:pPr>
        <w:ind w:right="340" w:firstLine="1436"/>
        <w:spacing w:after="0" w:line="251" w:lineRule="auto"/>
        <w:tabs>
          <w:tab w:leader="none" w:pos="211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Except as provided under Article Five, a Note Guarantee of Parent may be released and discharged only with the consent of each Holder of Notes to which such Note Guarantee relates.</w:t>
      </w:r>
    </w:p>
    <w:p>
      <w:pPr>
        <w:spacing w:after="0" w:line="173" w:lineRule="exact"/>
        <w:rPr>
          <w:rFonts w:ascii="Arial" w:cs="Arial" w:eastAsia="Arial" w:hAnsi="Arial"/>
          <w:sz w:val="22"/>
          <w:szCs w:val="22"/>
          <w:color w:val="auto"/>
        </w:rPr>
      </w:pPr>
    </w:p>
    <w:p>
      <w:pPr>
        <w:ind w:right="20" w:firstLine="1436"/>
        <w:spacing w:after="0" w:line="273" w:lineRule="auto"/>
        <w:tabs>
          <w:tab w:leader="none" w:pos="2105" w:val="left"/>
        </w:tabs>
        <w:numPr>
          <w:ilvl w:val="1"/>
          <w:numId w:val="118"/>
        </w:numPr>
        <w:rPr>
          <w:rFonts w:ascii="Arial" w:cs="Arial" w:eastAsia="Arial" w:hAnsi="Arial"/>
          <w:sz w:val="19"/>
          <w:szCs w:val="19"/>
          <w:color w:val="auto"/>
        </w:rPr>
      </w:pPr>
      <w:r>
        <w:rPr>
          <w:rFonts w:ascii="Arial" w:cs="Arial" w:eastAsia="Arial" w:hAnsi="Arial"/>
          <w:sz w:val="19"/>
          <w:szCs w:val="19"/>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ectPr>
          <w:pgSz w:w="11900" w:h="16838" w:orient="portrait"/>
          <w:cols w:equalWidth="0" w:num="1">
            <w:col w:w="11020"/>
          </w:cols>
          <w:pgMar w:left="440" w:top="415" w:right="4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w:t>
      </w:r>
    </w:p>
    <w:p>
      <w:pPr>
        <w:spacing w:after="0" w:line="233" w:lineRule="exact"/>
        <w:rPr>
          <w:sz w:val="20"/>
          <w:szCs w:val="20"/>
          <w:color w:val="auto"/>
        </w:rPr>
      </w:pPr>
    </w:p>
    <w:p>
      <w:pPr>
        <w:ind w:right="160" w:firstLine="1436"/>
        <w:spacing w:after="0"/>
        <w:tabs>
          <w:tab w:leader="none" w:pos="189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u w:val="single" w:color="auto"/>
          <w:color w:val="auto"/>
        </w:rPr>
        <w:t>Waiver of Subrogation</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2" w:lineRule="auto"/>
        <w:rPr>
          <w:sz w:val="20"/>
          <w:szCs w:val="20"/>
          <w:color w:val="auto"/>
        </w:rPr>
      </w:pPr>
      <w:r>
        <w:rPr>
          <w:rFonts w:ascii="Arial" w:cs="Arial" w:eastAsia="Arial" w:hAnsi="Arial"/>
          <w:sz w:val="19"/>
          <w:szCs w:val="19"/>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200" w:lineRule="exact"/>
        <w:rPr>
          <w:sz w:val="20"/>
          <w:szCs w:val="20"/>
          <w:color w:val="auto"/>
        </w:rPr>
      </w:pPr>
    </w:p>
    <w:p>
      <w:pPr>
        <w:spacing w:after="0" w:line="2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u w:val="single" w:color="auto"/>
          <w:color w:val="auto"/>
        </w:rPr>
        <w:t>Notice to Trustee</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72" w:lineRule="auto"/>
        <w:rPr>
          <w:sz w:val="20"/>
          <w:szCs w:val="20"/>
          <w:color w:val="auto"/>
        </w:rPr>
      </w:pPr>
      <w:r>
        <w:rPr>
          <w:rFonts w:ascii="Arial" w:cs="Arial" w:eastAsia="Arial" w:hAnsi="Arial"/>
          <w:sz w:val="19"/>
          <w:szCs w:val="19"/>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w:t>
      </w:r>
    </w:p>
    <w:p>
      <w:pPr>
        <w:sectPr>
          <w:pgSz w:w="11900" w:h="16838" w:orient="portrait"/>
          <w:cols w:equalWidth="0" w:num="1">
            <w:col w:w="11000"/>
          </w:cols>
          <w:pgMar w:left="440" w:top="415" w:right="45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purpose for which such money was received and shall not be affected by any notice to the contrary which may be received by it less than one Business Day prior to such date.</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u w:val="single" w:color="auto"/>
          <w:color w:val="auto"/>
        </w:rPr>
        <w:t>Limitation on Guarantor’s Liability</w:t>
      </w:r>
      <w:r>
        <w:rPr>
          <w:rFonts w:ascii="Arial" w:cs="Arial" w:eastAsia="Arial" w:hAnsi="Arial"/>
          <w:sz w:val="19"/>
          <w:szCs w:val="19"/>
          <w:color w:val="auto"/>
        </w:rPr>
        <w:t>.</w:t>
      </w:r>
    </w:p>
    <w:p>
      <w:pPr>
        <w:spacing w:after="0" w:line="206" w:lineRule="exact"/>
        <w:rPr>
          <w:sz w:val="20"/>
          <w:szCs w:val="20"/>
          <w:color w:val="auto"/>
        </w:rPr>
      </w:pPr>
    </w:p>
    <w:p>
      <w:pPr>
        <w:ind w:left="2220" w:hanging="453"/>
        <w:spacing w:after="0"/>
        <w:tabs>
          <w:tab w:leader="none" w:pos="22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To the extent applicable, a Guarantor’s liability in respect of its Note Guarantee shall be limited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extent set forth below:</w:t>
      </w:r>
    </w:p>
    <w:p>
      <w:pPr>
        <w:spacing w:after="0" w:line="188" w:lineRule="exact"/>
        <w:rPr>
          <w:rFonts w:ascii="Arial" w:cs="Arial" w:eastAsia="Arial" w:hAnsi="Arial"/>
          <w:sz w:val="19"/>
          <w:szCs w:val="19"/>
          <w:color w:val="auto"/>
        </w:rPr>
      </w:pPr>
    </w:p>
    <w:p>
      <w:pPr>
        <w:ind w:left="660" w:firstLine="730"/>
        <w:spacing w:after="0" w:line="274" w:lineRule="auto"/>
        <w:tabs>
          <w:tab w:leader="none" w:pos="2069"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U.S. Guarantors</w:t>
      </w:r>
      <w:r>
        <w:rPr>
          <w:rFonts w:ascii="Arial" w:cs="Arial" w:eastAsia="Arial" w:hAnsi="Arial"/>
          <w:sz w:val="19"/>
          <w:szCs w:val="19"/>
          <w:color w:val="auto"/>
        </w:rPr>
        <w:t>. Each Guarantor that is incorporated, organized or formed, as the case may be, under the laws of the United States, any State thereof or the District of Columbia (a “</w:t>
      </w:r>
      <w:r>
        <w:rPr>
          <w:rFonts w:ascii="Arial" w:cs="Arial" w:eastAsia="Arial" w:hAnsi="Arial"/>
          <w:sz w:val="19"/>
          <w:szCs w:val="19"/>
          <w:u w:val="single" w:color="auto"/>
          <w:color w:val="auto"/>
        </w:rPr>
        <w:t>U.S.</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w:t>
      </w:r>
      <w:r>
        <w:rPr>
          <w:rFonts w:ascii="Arial" w:cs="Arial" w:eastAsia="Arial" w:hAnsi="Arial"/>
          <w:sz w:val="19"/>
          <w:szCs w:val="19"/>
          <w:color w:val="auto"/>
        </w:rPr>
        <w:t>”), and by its acceptance hereof, each Holder, hereby confirm that it is the intention of all such parties that the Guarantee of a U.S.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U.S. Guarantor hereby irrevocably agree that the obligations of a U.S. Guarantor under its Note Guarantee shall be limited to the maximum amount as will, after giving effect to all other contingent and fixed liabilities of such U.S. Guarantor result in the obligations of such U.S. Guarantor not constituting such a fraudulent transfer or conveyance.</w:t>
      </w:r>
    </w:p>
    <w:p>
      <w:pPr>
        <w:spacing w:after="0" w:line="158" w:lineRule="exact"/>
        <w:rPr>
          <w:rFonts w:ascii="Arial" w:cs="Arial" w:eastAsia="Arial" w:hAnsi="Arial"/>
          <w:sz w:val="19"/>
          <w:szCs w:val="19"/>
          <w:color w:val="auto"/>
        </w:rPr>
      </w:pPr>
    </w:p>
    <w:p>
      <w:pPr>
        <w:ind w:left="2080" w:hanging="690"/>
        <w:spacing w:after="0"/>
        <w:tabs>
          <w:tab w:leader="none" w:pos="2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160" w:firstLine="730"/>
        <w:spacing w:after="0" w:line="272" w:lineRule="auto"/>
        <w:tabs>
          <w:tab w:leader="none" w:pos="2069"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German Guarantors</w:t>
      </w:r>
      <w:r>
        <w:rPr>
          <w:rFonts w:ascii="Arial" w:cs="Arial" w:eastAsia="Arial" w:hAnsi="Arial"/>
          <w:sz w:val="19"/>
          <w:szCs w:val="19"/>
          <w:color w:val="auto"/>
        </w:rPr>
        <w:t>. Each Guarantor incorporated, organized or formed, as the case may be, in Germany (a “</w:t>
      </w:r>
      <w:r>
        <w:rPr>
          <w:rFonts w:ascii="Arial" w:cs="Arial" w:eastAsia="Arial" w:hAnsi="Arial"/>
          <w:sz w:val="19"/>
          <w:szCs w:val="19"/>
          <w:u w:val="single" w:color="auto"/>
          <w:color w:val="auto"/>
        </w:rPr>
        <w:t>German Guarantor</w:t>
      </w:r>
      <w:r>
        <w:rPr>
          <w:rFonts w:ascii="Arial" w:cs="Arial" w:eastAsia="Arial" w:hAnsi="Arial"/>
          <w:sz w:val="19"/>
          <w:szCs w:val="19"/>
          <w:color w:val="auto"/>
        </w:rPr>
        <w:t xml:space="preserve">”), and by its acceptance hereof, each Holder, hereby confirm that the liability of such German Guarantor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applicable law. Each German Guarantor that makes a payment or distribution under its Note Guarantee shall be entitled to a contribution from each other Guarantor in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amount based on the Adjusted Net Assets of each Guarantor. The obligation of any German Guarantor under this Article Ten will be binding only to the extent that it would not result in a prohibited repayment to such Guarantor’s shareholders of assets necessary to maintain the nominal registered capital of such German Guarantor (Section 30 et seq. GmbH Act).</w:t>
      </w:r>
    </w:p>
    <w:p>
      <w:pPr>
        <w:spacing w:after="0" w:line="161" w:lineRule="exact"/>
        <w:rPr>
          <w:rFonts w:ascii="Arial" w:cs="Arial" w:eastAsia="Arial" w:hAnsi="Arial"/>
          <w:sz w:val="19"/>
          <w:szCs w:val="19"/>
          <w:color w:val="auto"/>
        </w:rPr>
      </w:pPr>
    </w:p>
    <w:p>
      <w:pPr>
        <w:ind w:left="660" w:right="80" w:firstLine="730"/>
        <w:spacing w:after="0" w:line="251" w:lineRule="auto"/>
        <w:tabs>
          <w:tab w:leader="none" w:pos="2069"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Limitations Applicable to Swiss Guarantors</w:t>
      </w:r>
      <w:r>
        <w:rPr>
          <w:rFonts w:ascii="Arial" w:cs="Arial" w:eastAsia="Arial" w:hAnsi="Arial"/>
          <w:sz w:val="22"/>
          <w:szCs w:val="22"/>
          <w:color w:val="auto"/>
        </w:rPr>
        <w:t>. Each Guarantor incorporated, organized or formed, as the case may be, in Switzerland (a “</w:t>
      </w:r>
      <w:r>
        <w:rPr>
          <w:rFonts w:ascii="Arial" w:cs="Arial" w:eastAsia="Arial" w:hAnsi="Arial"/>
          <w:sz w:val="22"/>
          <w:szCs w:val="22"/>
          <w:u w:val="single" w:color="auto"/>
          <w:color w:val="auto"/>
        </w:rPr>
        <w:t>Swiss Guarantor</w:t>
      </w:r>
      <w:r>
        <w:rPr>
          <w:rFonts w:ascii="Arial" w:cs="Arial" w:eastAsia="Arial" w:hAnsi="Arial"/>
          <w:sz w:val="22"/>
          <w:szCs w:val="22"/>
          <w:color w:val="auto"/>
        </w:rPr>
        <w:t>”)</w:t>
      </w:r>
    </w:p>
    <w:p>
      <w:pPr>
        <w:sectPr>
          <w:pgSz w:w="11900" w:h="16838" w:orient="portrait"/>
          <w:cols w:equalWidth="0" w:num="1">
            <w:col w:w="11020"/>
          </w:cols>
          <w:pgMar w:left="440" w:top="415" w:right="439" w:bottom="1440" w:gutter="0" w:footer="0" w:header="0"/>
        </w:sectPr>
      </w:pPr>
    </w:p>
    <w:bookmarkStart w:id="95" w:name="page96"/>
    <w:bookmarkEnd w:id="95"/>
    <w:p>
      <w:pPr>
        <w:ind w:left="46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w:t>
      </w:r>
    </w:p>
    <w:p>
      <w:pPr>
        <w:spacing w:after="0" w:line="23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and by its acceptance hereof, each Holder, hereby confirm that the liability of such Swiss Guarantor shall be limited to the maximum amount as will, after giving effect to all other contingent and fixed liabilities of such Swiss Guarantor and after giving effect to any collections from or payments made by or on behalf of any other Guarantor, result in the obligations of such Swiss Guarantor under its Note Guarantee not constituting a fraudulent conveyance or fraudulent transfer under applicable law. The obligations of any Swiss Guarantor under its Note Guarantee shall be limited so that they do not result in a prohibited repayment of the share capital of such Swiss Guarantor (Section 680 of the Swiss Code of Obligations), and infringe the mandatory provisions on reserves (Sections 671 to 674 of the Swiss Code of Obligations).</w:t>
      </w:r>
    </w:p>
    <w:p>
      <w:pPr>
        <w:spacing w:after="0" w:line="181" w:lineRule="exact"/>
        <w:rPr>
          <w:sz w:val="20"/>
          <w:szCs w:val="20"/>
          <w:color w:val="auto"/>
        </w:rPr>
      </w:pPr>
    </w:p>
    <w:p>
      <w:pPr>
        <w:ind w:firstLine="730"/>
        <w:spacing w:after="0" w:line="270" w:lineRule="auto"/>
        <w:tabs>
          <w:tab w:leader="none" w:pos="1409"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French Guarantors</w:t>
      </w:r>
      <w:r>
        <w:rPr>
          <w:rFonts w:ascii="Arial" w:cs="Arial" w:eastAsia="Arial" w:hAnsi="Arial"/>
          <w:sz w:val="19"/>
          <w:szCs w:val="19"/>
          <w:color w:val="auto"/>
        </w:rPr>
        <w:t>. Each Guarantor incorporated, organized or formed, as the case may be, in France (a “</w:t>
      </w:r>
      <w:r>
        <w:rPr>
          <w:rFonts w:ascii="Arial" w:cs="Arial" w:eastAsia="Arial" w:hAnsi="Arial"/>
          <w:sz w:val="19"/>
          <w:szCs w:val="19"/>
          <w:u w:val="single" w:color="auto"/>
          <w:color w:val="auto"/>
        </w:rPr>
        <w:t>French Guarantor</w:t>
      </w:r>
      <w:r>
        <w:rPr>
          <w:rFonts w:ascii="Arial" w:cs="Arial" w:eastAsia="Arial" w:hAnsi="Arial"/>
          <w:sz w:val="19"/>
          <w:szCs w:val="19"/>
          <w:color w:val="auto"/>
        </w:rPr>
        <w:t xml:space="preserve">”), and by its acceptance hereof, each Holder, hereby confirm that the obligation and liability of such French Guarantor or its subsidiaries (a) will not include any obligation or liability which if incurred would constitute prohibited financial assistance within the meaning of Article L. 225-216 of the French Commercial Code and/or would constitute a “misuse of corporate assets or powers” within the meaning of Articles L. 241-3 or L. 242-6 of the French Commercial Code (such articles are applicable to </w:t>
      </w:r>
      <w:r>
        <w:rPr>
          <w:rFonts w:ascii="Arial" w:cs="Arial" w:eastAsia="Arial" w:hAnsi="Arial"/>
          <w:sz w:val="19"/>
          <w:szCs w:val="19"/>
          <w:i w:val="1"/>
          <w:iCs w:val="1"/>
          <w:color w:val="auto"/>
        </w:rPr>
        <w:t>sociétés en commandite par actions</w:t>
      </w:r>
      <w:r>
        <w:rPr>
          <w:rFonts w:ascii="Arial" w:cs="Arial" w:eastAsia="Arial" w:hAnsi="Arial"/>
          <w:sz w:val="19"/>
          <w:szCs w:val="19"/>
          <w:color w:val="auto"/>
        </w:rPr>
        <w:t xml:space="preserve"> and to </w:t>
      </w:r>
      <w:r>
        <w:rPr>
          <w:rFonts w:ascii="Arial" w:cs="Arial" w:eastAsia="Arial" w:hAnsi="Arial"/>
          <w:sz w:val="19"/>
          <w:szCs w:val="19"/>
          <w:i w:val="1"/>
          <w:iCs w:val="1"/>
          <w:color w:val="auto"/>
        </w:rPr>
        <w:t>societés par actions simplifiées</w:t>
      </w:r>
      <w:r>
        <w:rPr>
          <w:rFonts w:ascii="Arial" w:cs="Arial" w:eastAsia="Arial" w:hAnsi="Arial"/>
          <w:sz w:val="19"/>
          <w:szCs w:val="19"/>
          <w:color w:val="auto"/>
        </w:rPr>
        <w:t xml:space="preserve"> pursuant to Articles L. 243-1 and L. 244-1 of the French Commercial Code ); and (b) shall be limited to the extent required by applicable law to the maximum amount any such French Guarantor can pay without exceeding its financial capacity or otherwise resulting in insolvency of such French Guarantor, as of the date the Note Guarantee is subscribed or, if later further amended, restated or reaffirmed, as of such later date, and the Note Guarantee given by any of Société de Participations Carnaudmetalbox SAS, Crown Bevcan France SAS, Crown Emballage France SAS, Crown Développement SAS, Crown Europe SAS, Gunther SAS, Litec France SAS, Mima Packaging Systems SAS, Nordic SAS, Société Civile Immobilière des Baquets, Société Civile Immobilière Rousseau-Ivry, Scybele SAS, SPG France Holdings SAS and Strapex SAS and each other Subsidiary Guarantor incorporated, organized or formed, as the case may be, in France (each, a “</w:t>
      </w:r>
      <w:r>
        <w:rPr>
          <w:rFonts w:ascii="Arial" w:cs="Arial" w:eastAsia="Arial" w:hAnsi="Arial"/>
          <w:sz w:val="19"/>
          <w:szCs w:val="19"/>
          <w:u w:val="single" w:color="auto"/>
          <w:color w:val="auto"/>
        </w:rPr>
        <w:t>French Subsidiary Guarantor</w:t>
      </w:r>
      <w:r>
        <w:rPr>
          <w:rFonts w:ascii="Arial" w:cs="Arial" w:eastAsia="Arial" w:hAnsi="Arial"/>
          <w:sz w:val="19"/>
          <w:szCs w:val="19"/>
          <w:color w:val="auto"/>
        </w:rPr>
        <w:t>”) will in addition be limited as to each French Subsidiary Guarantor or its subsidiaries, to the extent required by French law, to an amount that represents either (i) the amount of such proceeds made available to such French Subsidiary Guarantor via intragroup loans or otherwise or (ii) the equivalent in Euros of the portion of the proceeds of the Notes used directly or indirectly to repay or refinance obligations of or obligations guaranteed (to the extent permitted under French law) by, such French Subsidiary Guarantor or its subsidiaries, or to fund or refinance (directly or indirectly) advances or loans to such French Subsidiary Guarantor from time to time.</w:t>
      </w:r>
    </w:p>
    <w:p>
      <w:pPr>
        <w:sectPr>
          <w:pgSz w:w="11900" w:h="16838" w:orient="portrait"/>
          <w:cols w:equalWidth="0" w:num="1">
            <w:col w:w="10360"/>
          </w:cols>
          <w:pgMar w:left="1100" w:top="415" w:right="439" w:bottom="1440" w:gutter="0" w:footer="0" w:header="0"/>
        </w:sectPr>
      </w:pPr>
    </w:p>
    <w:bookmarkStart w:id="96" w:name="page97"/>
    <w:bookmarkEnd w:id="96"/>
    <w:p>
      <w:pPr>
        <w:ind w:left="43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w:t>
      </w:r>
    </w:p>
    <w:p>
      <w:pPr>
        <w:spacing w:after="0" w:line="233" w:lineRule="exact"/>
        <w:rPr>
          <w:sz w:val="20"/>
          <w:szCs w:val="20"/>
          <w:color w:val="auto"/>
        </w:rPr>
      </w:pPr>
    </w:p>
    <w:p>
      <w:pPr>
        <w:ind w:left="-340" w:right="20" w:firstLine="730"/>
        <w:spacing w:after="0" w:line="282" w:lineRule="auto"/>
        <w:tabs>
          <w:tab w:leader="none" w:pos="1069"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the Dutch Guarantors</w:t>
      </w:r>
      <w:r>
        <w:rPr>
          <w:rFonts w:ascii="Arial" w:cs="Arial" w:eastAsia="Arial" w:hAnsi="Arial"/>
          <w:sz w:val="19"/>
          <w:szCs w:val="19"/>
          <w:color w:val="auto"/>
        </w:rPr>
        <w:t>. Each Guarantor incorporated, organized or formed, as the case may be, in the Netherlands (a “</w:t>
      </w:r>
      <w:r>
        <w:rPr>
          <w:rFonts w:ascii="Arial" w:cs="Arial" w:eastAsia="Arial" w:hAnsi="Arial"/>
          <w:sz w:val="19"/>
          <w:szCs w:val="19"/>
          <w:u w:val="single" w:color="auto"/>
          <w:color w:val="auto"/>
        </w:rPr>
        <w:t>Dutch Guarantor</w:t>
      </w:r>
      <w:r>
        <w:rPr>
          <w:rFonts w:ascii="Arial" w:cs="Arial" w:eastAsia="Arial" w:hAnsi="Arial"/>
          <w:sz w:val="19"/>
          <w:szCs w:val="19"/>
          <w:color w:val="auto"/>
        </w:rPr>
        <w:t>”) and, by its acceptance hereof, each Holder, hereby confirm that the Dutch Guarantors shall not be liable under its Note Guarantee to the extent that, if it were so liable, its entry into its Note Guarantee would violate (a) section 2:98c of the Dutch Civil Code, (b) its corporate interest or (c) section 3:45 of the Dutch Civil Code or sections 42 or 43 of the Dutch Bankruptcy Act (</w:t>
      </w:r>
      <w:r>
        <w:rPr>
          <w:rFonts w:ascii="Arial" w:cs="Arial" w:eastAsia="Arial" w:hAnsi="Arial"/>
          <w:sz w:val="19"/>
          <w:szCs w:val="19"/>
          <w:i w:val="1"/>
          <w:iCs w:val="1"/>
          <w:color w:val="auto"/>
        </w:rPr>
        <w:t>Faillissementswet</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340" w:firstLine="730"/>
        <w:spacing w:after="0" w:line="270" w:lineRule="auto"/>
        <w:tabs>
          <w:tab w:leader="none" w:pos="1069"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the Luxembourg Guarantors</w:t>
      </w:r>
      <w:r>
        <w:rPr>
          <w:rFonts w:ascii="Arial" w:cs="Arial" w:eastAsia="Arial" w:hAnsi="Arial"/>
          <w:sz w:val="19"/>
          <w:szCs w:val="19"/>
          <w:color w:val="auto"/>
        </w:rPr>
        <w:t>. Each Guarantor incorporated, organized or formed, as the case may be, in Luxembourg or which may be incorporated, organized or formed in the future, as the case may be, in Luxembourg (a “</w:t>
      </w:r>
      <w:r>
        <w:rPr>
          <w:rFonts w:ascii="Arial" w:cs="Arial" w:eastAsia="Arial" w:hAnsi="Arial"/>
          <w:sz w:val="19"/>
          <w:szCs w:val="19"/>
          <w:u w:val="single" w:color="auto"/>
          <w:color w:val="auto"/>
        </w:rPr>
        <w:t>Luxembourg Guarantor</w:t>
      </w:r>
      <w:r>
        <w:rPr>
          <w:rFonts w:ascii="Arial" w:cs="Arial" w:eastAsia="Arial" w:hAnsi="Arial"/>
          <w:sz w:val="19"/>
          <w:szCs w:val="19"/>
          <w:color w:val="auto"/>
        </w:rPr>
        <w:t>”) and, by its acceptance hereof, each Holder, hereby confirm that all liabilities and obligations of such Luxembourg Guarantor arising under any Guarantee, including, without limitation, under any Note Guarantee, shall (a) not in any circumstances include any obligation or liability which, if incurred, would constitute a misuse of corporate assets under article 1500-11 of the Luxembourg law on commercial companies dated 10 August 1915, as amended from time to time (the “</w:t>
      </w:r>
      <w:r>
        <w:rPr>
          <w:rFonts w:ascii="Arial" w:cs="Arial" w:eastAsia="Arial" w:hAnsi="Arial"/>
          <w:sz w:val="19"/>
          <w:szCs w:val="19"/>
          <w:u w:val="single" w:color="auto"/>
          <w:color w:val="auto"/>
        </w:rPr>
        <w:t>1915 Law</w:t>
      </w:r>
      <w:r>
        <w:rPr>
          <w:rFonts w:ascii="Arial" w:cs="Arial" w:eastAsia="Arial" w:hAnsi="Arial"/>
          <w:sz w:val="19"/>
          <w:szCs w:val="19"/>
          <w:color w:val="auto"/>
        </w:rPr>
        <w:t>”) and (b) be limited, at all times, to an aggregate amount that does not exceed eighty percent (80%) of (i) the sum of such Luxembourg Guarantor’s “</w:t>
      </w:r>
      <w:r>
        <w:rPr>
          <w:rFonts w:ascii="Arial" w:cs="Arial" w:eastAsia="Arial" w:hAnsi="Arial"/>
          <w:sz w:val="19"/>
          <w:szCs w:val="19"/>
          <w:i w:val="1"/>
          <w:iCs w:val="1"/>
          <w:color w:val="auto"/>
        </w:rPr>
        <w:t>capitaux</w:t>
      </w:r>
      <w:r>
        <w:rPr>
          <w:rFonts w:ascii="Arial" w:cs="Arial" w:eastAsia="Arial" w:hAnsi="Arial"/>
          <w:sz w:val="19"/>
          <w:szCs w:val="19"/>
          <w:color w:val="auto"/>
        </w:rPr>
        <w:t xml:space="preserve"> </w:t>
      </w:r>
      <w:r>
        <w:rPr>
          <w:rFonts w:ascii="Arial" w:cs="Arial" w:eastAsia="Arial" w:hAnsi="Arial"/>
          <w:sz w:val="19"/>
          <w:szCs w:val="19"/>
          <w:i w:val="1"/>
          <w:iCs w:val="1"/>
          <w:color w:val="auto"/>
        </w:rPr>
        <w:t>propres</w:t>
      </w:r>
      <w:r>
        <w:rPr>
          <w:rFonts w:ascii="Arial" w:cs="Arial" w:eastAsia="Arial" w:hAnsi="Arial"/>
          <w:sz w:val="19"/>
          <w:szCs w:val="19"/>
          <w:color w:val="auto"/>
        </w:rPr>
        <w:t>” (as referred to in Annex I to the Luxembourg Grand-Ducal Regulation dated 18 December 2015 setting out</w:t>
      </w:r>
      <w:r>
        <w:rPr>
          <w:rFonts w:ascii="Arial" w:cs="Arial" w:eastAsia="Arial" w:hAnsi="Arial"/>
          <w:sz w:val="19"/>
          <w:szCs w:val="19"/>
          <w:i w:val="1"/>
          <w:iCs w:val="1"/>
          <w:color w:val="auto"/>
        </w:rPr>
        <w:t xml:space="preserve"> </w:t>
      </w:r>
      <w:r>
        <w:rPr>
          <w:rFonts w:ascii="Arial" w:cs="Arial" w:eastAsia="Arial" w:hAnsi="Arial"/>
          <w:sz w:val="19"/>
          <w:szCs w:val="19"/>
          <w:color w:val="auto"/>
        </w:rPr>
        <w:t>the form and content of the presentation of the balance sheet and profit and loss account and implementing articles 34, 35, 46, and 47 of the Luxembourg law of 19 December 2002 on the register of commerce and companies and the accounting and annual accounts of undertakings, as amended) (the “</w:t>
      </w:r>
      <w:r>
        <w:rPr>
          <w:rFonts w:ascii="Arial" w:cs="Arial" w:eastAsia="Arial" w:hAnsi="Arial"/>
          <w:sz w:val="19"/>
          <w:szCs w:val="19"/>
          <w:u w:val="single" w:color="auto"/>
          <w:color w:val="auto"/>
        </w:rPr>
        <w:t>Net Assets</w:t>
      </w:r>
      <w:r>
        <w:rPr>
          <w:rFonts w:ascii="Arial" w:cs="Arial" w:eastAsia="Arial" w:hAnsi="Arial"/>
          <w:sz w:val="19"/>
          <w:szCs w:val="19"/>
          <w:color w:val="auto"/>
        </w:rPr>
        <w:t>”) and its “</w:t>
      </w:r>
      <w:r>
        <w:rPr>
          <w:rFonts w:ascii="Arial" w:cs="Arial" w:eastAsia="Arial" w:hAnsi="Arial"/>
          <w:sz w:val="19"/>
          <w:szCs w:val="19"/>
          <w:i w:val="1"/>
          <w:iCs w:val="1"/>
          <w:color w:val="auto"/>
        </w:rPr>
        <w:t>dettes subordonnées</w:t>
      </w:r>
      <w:r>
        <w:rPr>
          <w:rFonts w:ascii="Arial" w:cs="Arial" w:eastAsia="Arial" w:hAnsi="Arial"/>
          <w:sz w:val="19"/>
          <w:szCs w:val="19"/>
          <w:color w:val="auto"/>
        </w:rPr>
        <w:t>” (as referred to in account 191 of the standard chart of accounts attached to the Luxembourg Grand-Ducal Regulation dated 10 June 2009 setting out the form and content of a standard chart of accounts, as the same may be amended or replaced) (the “</w:t>
      </w:r>
      <w:r>
        <w:rPr>
          <w:rFonts w:ascii="Arial" w:cs="Arial" w:eastAsia="Arial" w:hAnsi="Arial"/>
          <w:sz w:val="19"/>
          <w:szCs w:val="19"/>
          <w:u w:val="single" w:color="auto"/>
          <w:color w:val="auto"/>
        </w:rPr>
        <w:t>Subordinated Debts</w:t>
      </w:r>
      <w:r>
        <w:rPr>
          <w:rFonts w:ascii="Arial" w:cs="Arial" w:eastAsia="Arial" w:hAnsi="Arial"/>
          <w:sz w:val="19"/>
          <w:szCs w:val="19"/>
          <w:color w:val="auto"/>
        </w:rPr>
        <w:t>”), as reflected in the most recently available annual accounts of such Luxembourg Guarantor as at the date on which any Guarantee is realised and (ii) the sum of that Luxembourg Guarantor’s Net Assets and Subordinated Debts, as reflected in its last annual accounts available as at the date of execution of this Indenture (whether as an original party or by way of accession). The obligations of a Luxembourg Guarantor in respect of this Indenture and/or any Guarantee shall not extend to the guaranteeing or securing of any amount which would breach the prohibitions on financial assistance set out in the 1915 Law.</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340" w:firstLine="730"/>
        <w:spacing w:after="0" w:line="236" w:lineRule="auto"/>
        <w:tabs>
          <w:tab w:leader="none" w:pos="1069"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Limitations Applicable to the Spanish Guarantors</w:t>
      </w:r>
      <w:r>
        <w:rPr>
          <w:rFonts w:ascii="Arial" w:cs="Arial" w:eastAsia="Arial" w:hAnsi="Arial"/>
          <w:sz w:val="22"/>
          <w:szCs w:val="22"/>
          <w:color w:val="auto"/>
        </w:rPr>
        <w:t>. Each Guarantor incorporated in Spain or which may be incorporated in the future in Spain (a “</w:t>
      </w:r>
      <w:r>
        <w:rPr>
          <w:rFonts w:ascii="Arial" w:cs="Arial" w:eastAsia="Arial" w:hAnsi="Arial"/>
          <w:sz w:val="22"/>
          <w:szCs w:val="22"/>
          <w:u w:val="single" w:color="auto"/>
          <w:color w:val="auto"/>
        </w:rPr>
        <w:t>Spanish Guarantor</w:t>
      </w:r>
      <w:r>
        <w:rPr>
          <w:rFonts w:ascii="Arial" w:cs="Arial" w:eastAsia="Arial" w:hAnsi="Arial"/>
          <w:sz w:val="22"/>
          <w:szCs w:val="22"/>
          <w:color w:val="auto"/>
        </w:rPr>
        <w:t>”), and, by its acceptance hereof, each Holder, hereby confirm that the liabilities and obligations of each Spanish Guarantor under any Note Guarantee shall be equal to the lesser of (a) the equivalent in Euros of the portion of the proceeds of the Notes used directly or indirectly to pay or refinance obligations of, or obligations</w:t>
      </w:r>
    </w:p>
    <w:p>
      <w:pPr>
        <w:sectPr>
          <w:pgSz w:w="11900" w:h="16838" w:orient="portrait"/>
          <w:cols w:equalWidth="0" w:num="1">
            <w:col w:w="10000"/>
          </w:cols>
          <w:pgMar w:left="1440" w:top="415" w:right="45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p>
    <w:p>
      <w:pPr>
        <w:spacing w:after="0" w:line="233" w:lineRule="exact"/>
        <w:rPr>
          <w:sz w:val="20"/>
          <w:szCs w:val="20"/>
          <w:color w:val="auto"/>
        </w:rPr>
      </w:pPr>
    </w:p>
    <w:p>
      <w:pPr>
        <w:ind w:left="660" w:right="60"/>
        <w:spacing w:after="0" w:line="270" w:lineRule="auto"/>
        <w:rPr>
          <w:sz w:val="20"/>
          <w:szCs w:val="20"/>
          <w:color w:val="auto"/>
        </w:rPr>
      </w:pPr>
      <w:r>
        <w:rPr>
          <w:rFonts w:ascii="Arial" w:cs="Arial" w:eastAsia="Arial" w:hAnsi="Arial"/>
          <w:sz w:val="19"/>
          <w:szCs w:val="19"/>
          <w:color w:val="auto"/>
        </w:rPr>
        <w:t>guaranteed (to the extent permitted under Spanish law) by, such Spanish Guarantor, or to fund or refinance (directly or indirectly) advances of loans to such Spanish Guarantor and (b) the amount of the net equity (</w:t>
      </w:r>
      <w:r>
        <w:rPr>
          <w:rFonts w:ascii="Arial" w:cs="Arial" w:eastAsia="Arial" w:hAnsi="Arial"/>
          <w:sz w:val="19"/>
          <w:szCs w:val="19"/>
          <w:i w:val="1"/>
          <w:iCs w:val="1"/>
          <w:color w:val="auto"/>
        </w:rPr>
        <w:t>patrimonio neto</w:t>
      </w:r>
      <w:r>
        <w:rPr>
          <w:rFonts w:ascii="Arial" w:cs="Arial" w:eastAsia="Arial" w:hAnsi="Arial"/>
          <w:sz w:val="19"/>
          <w:szCs w:val="19"/>
          <w:color w:val="auto"/>
        </w:rPr>
        <w:t xml:space="preserve">) of such Spanish Guarantor as reflected in its latest financial statements (audited, if available) and approved by its sole shareholder before its Note Guarantee is enforced, or, in the event that the Spanish Guarantor is a </w:t>
      </w:r>
      <w:r>
        <w:rPr>
          <w:rFonts w:ascii="Arial" w:cs="Arial" w:eastAsia="Arial" w:hAnsi="Arial"/>
          <w:sz w:val="19"/>
          <w:szCs w:val="19"/>
          <w:i w:val="1"/>
          <w:iCs w:val="1"/>
          <w:color w:val="auto"/>
        </w:rPr>
        <w:t>sociedad de</w:t>
      </w:r>
      <w:r>
        <w:rPr>
          <w:rFonts w:ascii="Arial" w:cs="Arial" w:eastAsia="Arial" w:hAnsi="Arial"/>
          <w:sz w:val="19"/>
          <w:szCs w:val="19"/>
          <w:color w:val="auto"/>
        </w:rPr>
        <w:t xml:space="preserve"> </w:t>
      </w:r>
      <w:r>
        <w:rPr>
          <w:rFonts w:ascii="Arial" w:cs="Arial" w:eastAsia="Arial" w:hAnsi="Arial"/>
          <w:sz w:val="19"/>
          <w:szCs w:val="19"/>
          <w:i w:val="1"/>
          <w:iCs w:val="1"/>
          <w:color w:val="auto"/>
        </w:rPr>
        <w:t>responsabilidad limitada</w:t>
      </w:r>
      <w:r>
        <w:rPr>
          <w:rFonts w:ascii="Arial" w:cs="Arial" w:eastAsia="Arial" w:hAnsi="Arial"/>
          <w:sz w:val="19"/>
          <w:szCs w:val="19"/>
          <w:color w:val="auto"/>
        </w:rPr>
        <w:t>, any lesser amount constituting a limit on such Spanish Guarantor’s ability to guarantee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arising from or in connection with debt issuances pursuant to article 401.2 of the Spanish Capital Companies Act (</w:t>
      </w:r>
      <w:r>
        <w:rPr>
          <w:rFonts w:ascii="Arial" w:cs="Arial" w:eastAsia="Arial" w:hAnsi="Arial"/>
          <w:sz w:val="19"/>
          <w:szCs w:val="19"/>
          <w:i w:val="1"/>
          <w:iCs w:val="1"/>
          <w:color w:val="auto"/>
        </w:rPr>
        <w:t>Real Decreto Legislativo 1/2010, de 2 de julio, por el que se aprueba el texto refundido de la Ley de</w:t>
      </w:r>
      <w:r>
        <w:rPr>
          <w:rFonts w:ascii="Arial" w:cs="Arial" w:eastAsia="Arial" w:hAnsi="Arial"/>
          <w:sz w:val="19"/>
          <w:szCs w:val="19"/>
          <w:color w:val="auto"/>
        </w:rPr>
        <w:t xml:space="preserve"> </w:t>
      </w:r>
      <w:r>
        <w:rPr>
          <w:rFonts w:ascii="Arial" w:cs="Arial" w:eastAsia="Arial" w:hAnsi="Arial"/>
          <w:sz w:val="19"/>
          <w:szCs w:val="19"/>
          <w:i w:val="1"/>
          <w:iCs w:val="1"/>
          <w:color w:val="auto"/>
        </w:rPr>
        <w:t>Sociedades de Capital</w:t>
      </w:r>
      <w:r>
        <w:rPr>
          <w:rFonts w:ascii="Arial" w:cs="Arial" w:eastAsia="Arial" w:hAnsi="Arial"/>
          <w:sz w:val="19"/>
          <w:szCs w:val="19"/>
          <w:color w:val="auto"/>
        </w:rPr>
        <w:t>) (the “</w:t>
      </w:r>
      <w:r>
        <w:rPr>
          <w:rFonts w:ascii="Arial" w:cs="Arial" w:eastAsia="Arial" w:hAnsi="Arial"/>
          <w:sz w:val="19"/>
          <w:szCs w:val="19"/>
          <w:u w:val="single" w:color="auto"/>
          <w:color w:val="auto"/>
        </w:rPr>
        <w:t>Net Equity Cap</w:t>
      </w:r>
      <w:r>
        <w:rPr>
          <w:rFonts w:ascii="Arial" w:cs="Arial" w:eastAsia="Arial" w:hAnsi="Arial"/>
          <w:sz w:val="19"/>
          <w:szCs w:val="19"/>
          <w:color w:val="auto"/>
        </w:rPr>
        <w:t>”);</w:t>
      </w:r>
      <w:r>
        <w:rPr>
          <w:rFonts w:ascii="Arial" w:cs="Arial" w:eastAsia="Arial" w:hAnsi="Arial"/>
          <w:sz w:val="19"/>
          <w:szCs w:val="19"/>
          <w:i w:val="1"/>
          <w:iCs w:val="1"/>
          <w:color w:val="auto"/>
        </w:rPr>
        <w:t xml:space="preserve"> 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with respect to the Net Equity Cap, in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 that (a) such Spanish Guarantor has guaranteed any other bank financing or debt capital markets financing of Parent or any of its affiliates (each such financing, including the Financing Transaction, a “</w:t>
      </w:r>
      <w:r>
        <w:rPr>
          <w:rFonts w:ascii="Arial" w:cs="Arial" w:eastAsia="Arial" w:hAnsi="Arial"/>
          <w:sz w:val="19"/>
          <w:szCs w:val="19"/>
          <w:u w:val="single" w:color="auto"/>
          <w:color w:val="auto"/>
        </w:rPr>
        <w:t>Group Financing</w:t>
      </w:r>
      <w:r>
        <w:rPr>
          <w:rFonts w:ascii="Arial" w:cs="Arial" w:eastAsia="Arial" w:hAnsi="Arial"/>
          <w:sz w:val="19"/>
          <w:szCs w:val="19"/>
          <w:color w:val="auto"/>
        </w:rPr>
        <w:t>” and each such guarantee, including such Spanish Guarantor’s Note Guarantee, a “</w:t>
      </w:r>
      <w:r>
        <w:rPr>
          <w:rFonts w:ascii="Arial" w:cs="Arial" w:eastAsia="Arial" w:hAnsi="Arial"/>
          <w:sz w:val="19"/>
          <w:szCs w:val="19"/>
          <w:u w:val="single" w:color="auto"/>
          <w:color w:val="auto"/>
        </w:rPr>
        <w:t>Group Financing Guarantee</w:t>
      </w:r>
      <w:r>
        <w:rPr>
          <w:rFonts w:ascii="Arial" w:cs="Arial" w:eastAsia="Arial" w:hAnsi="Arial"/>
          <w:sz w:val="19"/>
          <w:szCs w:val="19"/>
          <w:color w:val="auto"/>
        </w:rPr>
        <w:t xml:space="preserve">”), (b) such Group Financing Guarantees are of the same rank, (c) the amount of any other such Group Financing Guarantees is similarly capped and (d) enforcement of any such Group Financing Guarantees occurs on or about the same time as the enforcement of its Note Guarantee, the Net Equity Cap shall be allocated as among the Group Financing Guarantees </w:t>
      </w:r>
      <w:r>
        <w:rPr>
          <w:rFonts w:ascii="Arial" w:cs="Arial" w:eastAsia="Arial" w:hAnsi="Arial"/>
          <w:sz w:val="19"/>
          <w:szCs w:val="19"/>
          <w:i w:val="1"/>
          <w:iCs w:val="1"/>
          <w:color w:val="auto"/>
        </w:rPr>
        <w:t>pro rata</w:t>
      </w:r>
      <w:r>
        <w:rPr>
          <w:rFonts w:ascii="Arial" w:cs="Arial" w:eastAsia="Arial" w:hAnsi="Arial"/>
          <w:sz w:val="19"/>
          <w:szCs w:val="19"/>
          <w:color w:val="auto"/>
        </w:rPr>
        <w:t>, based on the principal amount of each such Group Financing. Without prejudice to the limitations set forth</w:t>
      </w:r>
      <w:r>
        <w:rPr>
          <w:rFonts w:ascii="Arial" w:cs="Arial" w:eastAsia="Arial" w:hAnsi="Arial"/>
          <w:sz w:val="19"/>
          <w:szCs w:val="19"/>
          <w:i w:val="1"/>
          <w:iCs w:val="1"/>
          <w:color w:val="auto"/>
        </w:rPr>
        <w:t xml:space="preserve"> </w:t>
      </w:r>
      <w:r>
        <w:rPr>
          <w:rFonts w:ascii="Arial" w:cs="Arial" w:eastAsia="Arial" w:hAnsi="Arial"/>
          <w:sz w:val="19"/>
          <w:szCs w:val="19"/>
          <w:color w:val="auto"/>
        </w:rPr>
        <w:t>above in this Section 10.06(a)(8), in no event shall the obligations of a Spanish Guarantor pursuant to any Note Guarantee include or extend to any amounts that would render such obligations in contravention of articles 143.2, 150 or 401, as applicable, of the Spanish Capital Companies Act (</w:t>
      </w:r>
      <w:r>
        <w:rPr>
          <w:rFonts w:ascii="Arial" w:cs="Arial" w:eastAsia="Arial" w:hAnsi="Arial"/>
          <w:sz w:val="19"/>
          <w:szCs w:val="19"/>
          <w:i w:val="1"/>
          <w:iCs w:val="1"/>
          <w:color w:val="auto"/>
        </w:rPr>
        <w:t>Real Decreto Legislativo 1/2010, de 2 de julio, por el que</w:t>
      </w:r>
      <w:r>
        <w:rPr>
          <w:rFonts w:ascii="Arial" w:cs="Arial" w:eastAsia="Arial" w:hAnsi="Arial"/>
          <w:sz w:val="19"/>
          <w:szCs w:val="19"/>
          <w:color w:val="auto"/>
        </w:rPr>
        <w:t xml:space="preserve"> </w:t>
      </w:r>
      <w:r>
        <w:rPr>
          <w:rFonts w:ascii="Arial" w:cs="Arial" w:eastAsia="Arial" w:hAnsi="Arial"/>
          <w:sz w:val="19"/>
          <w:szCs w:val="19"/>
          <w:i w:val="1"/>
          <w:iCs w:val="1"/>
          <w:color w:val="auto"/>
        </w:rPr>
        <w:t>se aprueba el texto refundido de la Ley de Sociedades de Capital</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ind w:left="660" w:firstLine="730"/>
        <w:spacing w:after="0" w:line="275" w:lineRule="auto"/>
        <w:tabs>
          <w:tab w:leader="none" w:pos="1853"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Limitations Applicable to Other Guarantors</w:t>
      </w:r>
      <w:r>
        <w:rPr>
          <w:rFonts w:ascii="Arial" w:cs="Arial" w:eastAsia="Arial" w:hAnsi="Arial"/>
          <w:sz w:val="19"/>
          <w:szCs w:val="19"/>
          <w:color w:val="auto"/>
        </w:rPr>
        <w:t>. Each Guarantor that is incorporated, organized or formed, as the case may be, under the laws of any jurisdiction other than one set forth in clauses (1) through (8) above (an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w:t>
      </w:r>
      <w:r>
        <w:rPr>
          <w:rFonts w:ascii="Arial" w:cs="Arial" w:eastAsia="Arial" w:hAnsi="Arial"/>
          <w:sz w:val="19"/>
          <w:szCs w:val="19"/>
          <w:color w:val="auto"/>
        </w:rPr>
        <w:t>”), and by its acceptance hereof, each Holder, hereby confirm that it is the intention of all such parties that the Guarantee of an Other Guarantor does not constitute a fraudulent transfer or conveyance for purposes applicable law. To effectuate the foregoing intention, each Holder and each Other Guarantor hereby irrevocably agree that the obligations of an Other Guarantor under its Note Guarantee shall be limited to the maximum amount as will, after giving effect to all other contingent and fixed liabilities of such Other Guarantor result in the obligations of such Other Guarantor not constituting such a fraudulent transfer or conveyance.</w:t>
      </w:r>
    </w:p>
    <w:p>
      <w:pPr>
        <w:spacing w:after="0" w:line="158" w:lineRule="exact"/>
        <w:rPr>
          <w:sz w:val="20"/>
          <w:szCs w:val="20"/>
          <w:color w:val="auto"/>
        </w:rPr>
      </w:pPr>
    </w:p>
    <w:p>
      <w:pPr>
        <w:ind w:right="20" w:firstLine="143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Net Assets</w:t>
      </w:r>
      <w:r>
        <w:rPr>
          <w:rFonts w:ascii="Arial" w:cs="Arial" w:eastAsia="Arial" w:hAnsi="Arial"/>
          <w:sz w:val="22"/>
          <w:szCs w:val="22"/>
          <w:color w:val="auto"/>
        </w:rPr>
        <w:t>” of a Guarantor at any date means the lesser of (1) the amount by which (x) the fair value of the assets of such Guarantor exceeds the total amount of liabilities, including, without limitation, contingent liabilities, but excluding liabilities under</w:t>
      </w:r>
    </w:p>
    <w:p>
      <w:pPr>
        <w:sectPr>
          <w:pgSz w:w="11900" w:h="16838" w:orient="portrait"/>
          <w:cols w:equalWidth="0" w:num="1">
            <w:col w:w="11020"/>
          </w:cols>
          <w:pgMar w:left="440" w:top="415" w:right="4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its Note Guarantee, of such Guarantor at such date and (y) the present fair salable value of the assets of such Guarantor at such date exceeds (2) the amount that will be required to pay the probable liability of such Guarantor on its debts (after giving effect to all other fixed and contingent liabilities and after giving effect to any collection from any Subsidiary of such Guarantor in respect of the obligations of such Guarantor under its Note Guarantee), excluding Indebtedness in respect of its Note Guarantee, as they become absolute and matured.</w:t>
      </w:r>
    </w:p>
    <w:p>
      <w:pPr>
        <w:spacing w:after="0" w:line="188" w:lineRule="exact"/>
        <w:rPr>
          <w:sz w:val="20"/>
          <w:szCs w:val="20"/>
          <w:color w:val="auto"/>
        </w:rPr>
      </w:pPr>
    </w:p>
    <w:p>
      <w:pPr>
        <w:ind w:left="2460" w:hanging="693"/>
        <w:spacing w:after="0"/>
        <w:tabs>
          <w:tab w:leader="none" w:pos="24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If following the date of this Indenture and notwithstanding anything in Section 8.02 to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contrary:</w:t>
      </w:r>
    </w:p>
    <w:p>
      <w:pPr>
        <w:spacing w:after="0" w:line="188" w:lineRule="exact"/>
        <w:rPr>
          <w:sz w:val="20"/>
          <w:szCs w:val="20"/>
          <w:color w:val="auto"/>
        </w:rPr>
      </w:pPr>
    </w:p>
    <w:p>
      <w:pPr>
        <w:ind w:left="660" w:firstLine="730"/>
        <w:spacing w:after="0" w:line="247" w:lineRule="auto"/>
        <w:tabs>
          <w:tab w:leader="none" w:pos="206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 there shall be any change in the laws of the jurisdictions set forth in clauses (1) through (8) of subsection (a) of this Section 10.06 or (ii) any Restricted Subsidiary incorporated, organized or formed, as the case may be, under the laws of any jurisdiction other than ones set forth in clauses (1) through (8) of subsection (a) of this Section 10.06 (a “</w:t>
      </w:r>
      <w:r>
        <w:rPr>
          <w:rFonts w:ascii="Arial" w:cs="Arial" w:eastAsia="Arial" w:hAnsi="Arial"/>
          <w:sz w:val="21"/>
          <w:szCs w:val="21"/>
          <w:u w:val="single" w:color="auto"/>
          <w:color w:val="auto"/>
        </w:rPr>
        <w:t>Future Guarantor</w:t>
      </w:r>
      <w:r>
        <w:rPr>
          <w:rFonts w:ascii="Arial" w:cs="Arial" w:eastAsia="Arial" w:hAnsi="Arial"/>
          <w:sz w:val="21"/>
          <w:szCs w:val="21"/>
          <w:color w:val="auto"/>
        </w:rPr>
        <w:t>”) shall be required to execute a Note Guarantee and the Issuer shall reasonably determine that clause (9) with respect to Other Guarantors shall not adequately address the limitations on such Guarantee imposed by applicable law of the jurisdiction of incorporation, organization or formation, as the case may be, of any such Future Guarantor; or</w:t>
      </w:r>
    </w:p>
    <w:p>
      <w:pPr>
        <w:spacing w:after="0" w:line="178" w:lineRule="exact"/>
        <w:rPr>
          <w:rFonts w:ascii="Arial" w:cs="Arial" w:eastAsia="Arial" w:hAnsi="Arial"/>
          <w:sz w:val="21"/>
          <w:szCs w:val="21"/>
          <w:color w:val="auto"/>
        </w:rPr>
      </w:pPr>
    </w:p>
    <w:p>
      <w:pPr>
        <w:ind w:left="660" w:right="200" w:firstLine="730"/>
        <w:spacing w:after="0"/>
        <w:tabs>
          <w:tab w:leader="none" w:pos="206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Issuer shall reasonably determine that it shall be necessary or advisable to amend the terms of clauses (1) through (8) of subsection (a) of this Section 10.06 or to add additional provisions related to the limitations imposed on the Note Guarantee of a Future Guarantor,</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 xml:space="preserve">then upon the delivery of an Officers’ Certificate and Opinion of Counsel reasonably satisfactory to the Trustee, the Issuer shall be entitled to amend such clauses or add such additional provisions (including any related modifications to the form of Guarantee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 as the case may be, in order for the Note Guarantee of a Guarantor not to so violate applicable law.</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ARTICLE ELEVEN</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MISCELLANEOUS</w:t>
      </w:r>
    </w:p>
    <w:p>
      <w:pPr>
        <w:spacing w:after="0" w:line="35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Trust Indenture Act Controls</w:t>
      </w:r>
      <w:r>
        <w:rPr>
          <w:rFonts w:ascii="Arial" w:cs="Arial" w:eastAsia="Arial" w:hAnsi="Arial"/>
          <w:sz w:val="19"/>
          <w:szCs w:val="19"/>
          <w:color w:val="auto"/>
        </w:rPr>
        <w:t>.</w:t>
      </w:r>
    </w:p>
    <w:p>
      <w:pPr>
        <w:spacing w:after="0" w:line="206" w:lineRule="exact"/>
        <w:rPr>
          <w:sz w:val="20"/>
          <w:szCs w:val="20"/>
          <w:color w:val="auto"/>
        </w:rPr>
      </w:pPr>
    </w:p>
    <w:p>
      <w:pPr>
        <w:ind w:right="100" w:firstLine="1433"/>
        <w:spacing w:after="0" w:line="236" w:lineRule="auto"/>
        <w:rPr>
          <w:sz w:val="20"/>
          <w:szCs w:val="20"/>
          <w:color w:val="auto"/>
        </w:rPr>
      </w:pPr>
      <w:r>
        <w:rPr>
          <w:rFonts w:ascii="Arial" w:cs="Arial" w:eastAsia="Arial" w:hAnsi="Arial"/>
          <w:sz w:val="22"/>
          <w:szCs w:val="22"/>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ectPr>
          <w:pgSz w:w="11900" w:h="16838" w:orient="portrait"/>
          <w:cols w:equalWidth="0" w:num="1">
            <w:col w:w="11020"/>
          </w:cols>
          <w:pgMar w:left="440" w:top="415" w:right="4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-89-</w:t>
      </w:r>
    </w:p>
    <w:p>
      <w:pPr>
        <w:spacing w:after="0" w:line="233" w:lineRule="exact"/>
        <w:rPr>
          <w:sz w:val="20"/>
          <w:szCs w:val="20"/>
          <w:color w:val="auto"/>
        </w:rPr>
      </w:pPr>
    </w:p>
    <w:p>
      <w:pPr>
        <w:ind w:firstLine="1433"/>
        <w:spacing w:after="0"/>
        <w:rPr>
          <w:sz w:val="20"/>
          <w:szCs w:val="20"/>
          <w:color w:val="auto"/>
        </w:rPr>
      </w:pPr>
      <w:r>
        <w:rPr>
          <w:rFonts w:ascii="Arial" w:cs="Arial" w:eastAsia="Arial" w:hAnsi="Arial"/>
          <w:sz w:val="22"/>
          <w:szCs w:val="22"/>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ind w:right="60" w:firstLine="1433"/>
        <w:spacing w:after="0"/>
        <w:rPr>
          <w:sz w:val="20"/>
          <w:szCs w:val="20"/>
          <w:color w:val="auto"/>
        </w:rPr>
      </w:pPr>
      <w:r>
        <w:rPr>
          <w:rFonts w:ascii="Arial" w:cs="Arial" w:eastAsia="Arial" w:hAnsi="Arial"/>
          <w:sz w:val="22"/>
          <w:szCs w:val="22"/>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Issuer or any Guarantor:</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Crown European Holdings S.A.</w:t>
      </w:r>
    </w:p>
    <w:p>
      <w:pPr>
        <w:ind w:left="2100"/>
        <w:spacing w:after="0" w:line="238" w:lineRule="auto"/>
        <w:rPr>
          <w:sz w:val="20"/>
          <w:szCs w:val="20"/>
          <w:color w:val="auto"/>
        </w:rPr>
      </w:pPr>
      <w:r>
        <w:rPr>
          <w:rFonts w:ascii="Arial" w:cs="Arial" w:eastAsia="Arial" w:hAnsi="Arial"/>
          <w:sz w:val="22"/>
          <w:szCs w:val="22"/>
          <w:color w:val="auto"/>
        </w:rPr>
        <w:t>7 Rue Emmy Noether</w:t>
      </w:r>
    </w:p>
    <w:p>
      <w:pPr>
        <w:ind w:left="2100"/>
        <w:spacing w:after="0" w:line="230" w:lineRule="auto"/>
        <w:rPr>
          <w:sz w:val="20"/>
          <w:szCs w:val="20"/>
          <w:color w:val="auto"/>
        </w:rPr>
      </w:pPr>
      <w:r>
        <w:rPr>
          <w:rFonts w:ascii="Arial" w:cs="Arial" w:eastAsia="Arial" w:hAnsi="Arial"/>
          <w:sz w:val="22"/>
          <w:szCs w:val="22"/>
          <w:color w:val="auto"/>
        </w:rPr>
        <w:t>93400 Saint-Ouen, France</w:t>
      </w:r>
    </w:p>
    <w:p>
      <w:pPr>
        <w:ind w:left="2100"/>
        <w:spacing w:after="0" w:line="231" w:lineRule="auto"/>
        <w:rPr>
          <w:sz w:val="20"/>
          <w:szCs w:val="20"/>
          <w:color w:val="auto"/>
        </w:rPr>
      </w:pPr>
      <w:r>
        <w:rPr>
          <w:rFonts w:ascii="Arial" w:cs="Arial" w:eastAsia="Arial" w:hAnsi="Arial"/>
          <w:sz w:val="22"/>
          <w:szCs w:val="22"/>
          <w:color w:val="auto"/>
        </w:rPr>
        <w:t>Attn: Timothy Donahue</w:t>
      </w:r>
    </w:p>
    <w:p>
      <w:pPr>
        <w:ind w:left="2100"/>
        <w:spacing w:after="0" w:line="231" w:lineRule="auto"/>
        <w:rPr>
          <w:sz w:val="20"/>
          <w:szCs w:val="20"/>
          <w:color w:val="auto"/>
        </w:rPr>
      </w:pPr>
      <w:r>
        <w:rPr>
          <w:rFonts w:ascii="Arial" w:cs="Arial" w:eastAsia="Arial" w:hAnsi="Arial"/>
          <w:sz w:val="22"/>
          <w:szCs w:val="22"/>
          <w:color w:val="auto"/>
        </w:rPr>
        <w:t>Telephone: 33 1 4918 4000</w:t>
      </w:r>
    </w:p>
    <w:p>
      <w:pPr>
        <w:ind w:left="2100"/>
        <w:spacing w:after="0"/>
        <w:rPr>
          <w:sz w:val="20"/>
          <w:szCs w:val="20"/>
          <w:color w:val="auto"/>
        </w:rPr>
      </w:pPr>
      <w:r>
        <w:rPr>
          <w:rFonts w:ascii="Arial" w:cs="Arial" w:eastAsia="Arial" w:hAnsi="Arial"/>
          <w:sz w:val="22"/>
          <w:szCs w:val="22"/>
          <w:color w:val="auto"/>
        </w:rPr>
        <w:t>Facsimile:  33 1 4918 4001</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Crown Holdings, Inc.</w:t>
      </w:r>
    </w:p>
    <w:p>
      <w:pPr>
        <w:ind w:left="2100"/>
        <w:spacing w:after="0" w:line="238" w:lineRule="auto"/>
        <w:rPr>
          <w:sz w:val="20"/>
          <w:szCs w:val="20"/>
          <w:color w:val="auto"/>
        </w:rPr>
      </w:pPr>
      <w:r>
        <w:rPr>
          <w:rFonts w:ascii="Arial" w:cs="Arial" w:eastAsia="Arial" w:hAnsi="Arial"/>
          <w:sz w:val="22"/>
          <w:szCs w:val="22"/>
          <w:color w:val="auto"/>
        </w:rPr>
        <w:t>770 Township Line Road</w:t>
      </w:r>
    </w:p>
    <w:p>
      <w:pPr>
        <w:ind w:left="2100"/>
        <w:spacing w:after="0" w:line="230" w:lineRule="auto"/>
        <w:rPr>
          <w:sz w:val="20"/>
          <w:szCs w:val="20"/>
          <w:color w:val="auto"/>
        </w:rPr>
      </w:pPr>
      <w:r>
        <w:rPr>
          <w:rFonts w:ascii="Arial" w:cs="Arial" w:eastAsia="Arial" w:hAnsi="Arial"/>
          <w:sz w:val="22"/>
          <w:szCs w:val="22"/>
          <w:color w:val="auto"/>
        </w:rPr>
        <w:t>Yardley, PA 19067</w:t>
      </w:r>
    </w:p>
    <w:p>
      <w:pPr>
        <w:ind w:left="2100"/>
        <w:spacing w:after="0" w:line="231" w:lineRule="auto"/>
        <w:rPr>
          <w:sz w:val="20"/>
          <w:szCs w:val="20"/>
          <w:color w:val="auto"/>
        </w:rPr>
      </w:pPr>
      <w:r>
        <w:rPr>
          <w:rFonts w:ascii="Arial" w:cs="Arial" w:eastAsia="Arial" w:hAnsi="Arial"/>
          <w:sz w:val="22"/>
          <w:szCs w:val="22"/>
          <w:color w:val="auto"/>
        </w:rPr>
        <w:t>Attn: General Counsel</w:t>
      </w:r>
    </w:p>
    <w:p>
      <w:pPr>
        <w:ind w:left="2100"/>
        <w:spacing w:after="0" w:line="231" w:lineRule="auto"/>
        <w:rPr>
          <w:sz w:val="20"/>
          <w:szCs w:val="20"/>
          <w:color w:val="auto"/>
        </w:rPr>
      </w:pPr>
      <w:r>
        <w:rPr>
          <w:rFonts w:ascii="Arial" w:cs="Arial" w:eastAsia="Arial" w:hAnsi="Arial"/>
          <w:sz w:val="22"/>
          <w:szCs w:val="22"/>
          <w:color w:val="auto"/>
        </w:rPr>
        <w:t>Telephone: (215) 698-5100</w:t>
      </w:r>
    </w:p>
    <w:p>
      <w:pPr>
        <w:ind w:left="2100"/>
        <w:spacing w:after="0"/>
        <w:rPr>
          <w:sz w:val="20"/>
          <w:szCs w:val="20"/>
          <w:color w:val="auto"/>
        </w:rPr>
      </w:pPr>
      <w:r>
        <w:rPr>
          <w:rFonts w:ascii="Arial" w:cs="Arial" w:eastAsia="Arial" w:hAnsi="Arial"/>
          <w:sz w:val="22"/>
          <w:szCs w:val="22"/>
          <w:color w:val="auto"/>
        </w:rPr>
        <w:t>Facsimile:  (215) 676-6011</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Dechert LLP</w:t>
      </w:r>
    </w:p>
    <w:p>
      <w:pPr>
        <w:ind w:left="2100"/>
        <w:spacing w:after="0" w:line="238" w:lineRule="auto"/>
        <w:rPr>
          <w:sz w:val="20"/>
          <w:szCs w:val="20"/>
          <w:color w:val="auto"/>
        </w:rPr>
      </w:pPr>
      <w:r>
        <w:rPr>
          <w:rFonts w:ascii="Arial" w:cs="Arial" w:eastAsia="Arial" w:hAnsi="Arial"/>
          <w:sz w:val="22"/>
          <w:szCs w:val="22"/>
          <w:color w:val="auto"/>
        </w:rPr>
        <w:t>Cira Center</w:t>
      </w:r>
    </w:p>
    <w:p>
      <w:pPr>
        <w:ind w:left="2100"/>
        <w:spacing w:after="0" w:line="230" w:lineRule="auto"/>
        <w:rPr>
          <w:sz w:val="20"/>
          <w:szCs w:val="20"/>
          <w:color w:val="auto"/>
        </w:rPr>
      </w:pPr>
      <w:r>
        <w:rPr>
          <w:rFonts w:ascii="Arial" w:cs="Arial" w:eastAsia="Arial" w:hAnsi="Arial"/>
          <w:sz w:val="22"/>
          <w:szCs w:val="22"/>
          <w:color w:val="auto"/>
        </w:rPr>
        <w:t>2929 Arch Street</w:t>
      </w:r>
    </w:p>
    <w:p>
      <w:pPr>
        <w:ind w:left="2100"/>
        <w:spacing w:after="0" w:line="231" w:lineRule="auto"/>
        <w:rPr>
          <w:sz w:val="20"/>
          <w:szCs w:val="20"/>
          <w:color w:val="auto"/>
        </w:rPr>
      </w:pPr>
      <w:r>
        <w:rPr>
          <w:rFonts w:ascii="Arial" w:cs="Arial" w:eastAsia="Arial" w:hAnsi="Arial"/>
          <w:sz w:val="22"/>
          <w:szCs w:val="22"/>
          <w:color w:val="auto"/>
        </w:rPr>
        <w:t>Philadelphia, PA 19104</w:t>
      </w:r>
    </w:p>
    <w:p>
      <w:pPr>
        <w:ind w:left="2100"/>
        <w:spacing w:after="0" w:line="231" w:lineRule="auto"/>
        <w:tabs>
          <w:tab w:leader="none" w:pos="2780" w:val="left"/>
        </w:tabs>
        <w:rPr>
          <w:sz w:val="20"/>
          <w:szCs w:val="20"/>
          <w:color w:val="auto"/>
        </w:rPr>
      </w:pPr>
      <w:r>
        <w:rPr>
          <w:rFonts w:ascii="Arial" w:cs="Arial" w:eastAsia="Arial" w:hAnsi="Arial"/>
          <w:sz w:val="22"/>
          <w:szCs w:val="22"/>
          <w:color w:val="auto"/>
        </w:rPr>
        <w:t>Attn:</w:t>
        <w:tab/>
        <w:t>William G. Lawlor</w:t>
      </w:r>
    </w:p>
    <w:p>
      <w:pPr>
        <w:ind w:left="2800"/>
        <w:spacing w:after="0" w:line="230" w:lineRule="auto"/>
        <w:rPr>
          <w:sz w:val="20"/>
          <w:szCs w:val="20"/>
          <w:color w:val="auto"/>
        </w:rPr>
      </w:pPr>
      <w:r>
        <w:rPr>
          <w:rFonts w:ascii="Arial" w:cs="Arial" w:eastAsia="Arial" w:hAnsi="Arial"/>
          <w:sz w:val="22"/>
          <w:szCs w:val="22"/>
          <w:color w:val="auto"/>
        </w:rPr>
        <w:t>Ian A. Hartman</w:t>
      </w:r>
    </w:p>
    <w:p>
      <w:pPr>
        <w:ind w:left="2100"/>
        <w:spacing w:after="0" w:line="231" w:lineRule="auto"/>
        <w:rPr>
          <w:sz w:val="20"/>
          <w:szCs w:val="20"/>
          <w:color w:val="auto"/>
        </w:rPr>
      </w:pPr>
      <w:r>
        <w:rPr>
          <w:rFonts w:ascii="Arial" w:cs="Arial" w:eastAsia="Arial" w:hAnsi="Arial"/>
          <w:sz w:val="22"/>
          <w:szCs w:val="22"/>
          <w:color w:val="auto"/>
        </w:rPr>
        <w:t>Telephone: (215) 994-4000</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Facsimile: (215) 994-2222</w:t>
      </w:r>
    </w:p>
    <w:p>
      <w:pPr>
        <w:sectPr>
          <w:pgSz w:w="11900" w:h="16838" w:orient="portrait"/>
          <w:cols w:equalWidth="0" w:num="1">
            <w:col w:w="11000"/>
          </w:cols>
          <w:pgMar w:left="440" w:top="415" w:right="4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U.S. Bank National Association</w:t>
      </w:r>
    </w:p>
    <w:p>
      <w:pPr>
        <w:ind w:left="2100"/>
        <w:spacing w:after="0" w:line="238" w:lineRule="auto"/>
        <w:rPr>
          <w:sz w:val="20"/>
          <w:szCs w:val="20"/>
          <w:color w:val="auto"/>
        </w:rPr>
      </w:pPr>
      <w:r>
        <w:rPr>
          <w:rFonts w:ascii="Arial" w:cs="Arial" w:eastAsia="Arial" w:hAnsi="Arial"/>
          <w:sz w:val="22"/>
          <w:szCs w:val="22"/>
          <w:color w:val="auto"/>
        </w:rPr>
        <w:t>Global Corporate Trust Services</w:t>
      </w:r>
    </w:p>
    <w:p>
      <w:pPr>
        <w:ind w:left="2100"/>
        <w:spacing w:after="0" w:line="230" w:lineRule="auto"/>
        <w:rPr>
          <w:sz w:val="20"/>
          <w:szCs w:val="20"/>
          <w:color w:val="auto"/>
        </w:rPr>
      </w:pPr>
      <w:r>
        <w:rPr>
          <w:rFonts w:ascii="Arial" w:cs="Arial" w:eastAsia="Arial" w:hAnsi="Arial"/>
          <w:sz w:val="22"/>
          <w:szCs w:val="22"/>
          <w:color w:val="auto"/>
        </w:rPr>
        <w:t>Two Liberty Place</w:t>
      </w:r>
    </w:p>
    <w:p>
      <w:pPr>
        <w:ind w:left="2100"/>
        <w:spacing w:after="0" w:line="231" w:lineRule="auto"/>
        <w:rPr>
          <w:sz w:val="20"/>
          <w:szCs w:val="20"/>
          <w:color w:val="auto"/>
        </w:rPr>
      </w:pPr>
      <w:r>
        <w:rPr>
          <w:rFonts w:ascii="Arial" w:cs="Arial" w:eastAsia="Arial" w:hAnsi="Arial"/>
          <w:sz w:val="22"/>
          <w:szCs w:val="22"/>
          <w:color w:val="auto"/>
        </w:rPr>
        <w:t>50 South 16th Street, Suite 2000</w:t>
      </w:r>
    </w:p>
    <w:p>
      <w:pPr>
        <w:ind w:left="2100"/>
        <w:spacing w:after="0" w:line="231" w:lineRule="auto"/>
        <w:rPr>
          <w:sz w:val="20"/>
          <w:szCs w:val="20"/>
          <w:color w:val="auto"/>
        </w:rPr>
      </w:pPr>
      <w:r>
        <w:rPr>
          <w:rFonts w:ascii="Arial" w:cs="Arial" w:eastAsia="Arial" w:hAnsi="Arial"/>
          <w:sz w:val="22"/>
          <w:szCs w:val="22"/>
          <w:color w:val="auto"/>
        </w:rPr>
        <w:t>Mail Station: EX-PA-WBSP</w:t>
      </w:r>
    </w:p>
    <w:p>
      <w:pPr>
        <w:ind w:left="2100"/>
        <w:spacing w:after="0" w:line="230" w:lineRule="auto"/>
        <w:rPr>
          <w:sz w:val="20"/>
          <w:szCs w:val="20"/>
          <w:color w:val="auto"/>
        </w:rPr>
      </w:pPr>
      <w:r>
        <w:rPr>
          <w:rFonts w:ascii="Arial" w:cs="Arial" w:eastAsia="Arial" w:hAnsi="Arial"/>
          <w:sz w:val="22"/>
          <w:szCs w:val="22"/>
          <w:color w:val="auto"/>
        </w:rPr>
        <w:t>Philadelphia, PA 19102</w:t>
      </w:r>
    </w:p>
    <w:p>
      <w:pPr>
        <w:ind w:left="2100"/>
        <w:spacing w:after="0" w:line="231" w:lineRule="auto"/>
        <w:rPr>
          <w:sz w:val="20"/>
          <w:szCs w:val="20"/>
          <w:color w:val="auto"/>
        </w:rPr>
      </w:pPr>
      <w:r>
        <w:rPr>
          <w:rFonts w:ascii="Arial" w:cs="Arial" w:eastAsia="Arial" w:hAnsi="Arial"/>
          <w:sz w:val="22"/>
          <w:szCs w:val="22"/>
          <w:color w:val="auto"/>
        </w:rPr>
        <w:t>Attention: Michael Judge</w:t>
      </w:r>
    </w:p>
    <w:p>
      <w:pPr>
        <w:ind w:left="2100"/>
        <w:spacing w:after="0" w:line="231" w:lineRule="auto"/>
        <w:rPr>
          <w:sz w:val="20"/>
          <w:szCs w:val="20"/>
          <w:color w:val="auto"/>
        </w:rPr>
      </w:pPr>
      <w:r>
        <w:rPr>
          <w:rFonts w:ascii="Arial" w:cs="Arial" w:eastAsia="Arial" w:hAnsi="Arial"/>
          <w:sz w:val="22"/>
          <w:szCs w:val="22"/>
          <w:color w:val="auto"/>
        </w:rPr>
        <w:t>Telephone: 215-761-9326</w:t>
      </w:r>
    </w:p>
    <w:p>
      <w:pPr>
        <w:ind w:left="2100"/>
        <w:spacing w:after="0" w:line="230" w:lineRule="auto"/>
        <w:rPr>
          <w:sz w:val="20"/>
          <w:szCs w:val="20"/>
          <w:color w:val="auto"/>
        </w:rPr>
      </w:pPr>
      <w:r>
        <w:rPr>
          <w:rFonts w:ascii="Arial" w:cs="Arial" w:eastAsia="Arial" w:hAnsi="Arial"/>
          <w:sz w:val="22"/>
          <w:szCs w:val="22"/>
          <w:color w:val="auto"/>
        </w:rPr>
        <w:t>Facsimile: 215-761-9412</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Email: Michael.Judge@usbank.com</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Registrar or the Transfer Agent:</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Elavon Financial Services DAC</w:t>
      </w:r>
    </w:p>
    <w:p>
      <w:pPr>
        <w:ind w:left="2100"/>
        <w:spacing w:after="0" w:line="238" w:lineRule="auto"/>
        <w:rPr>
          <w:sz w:val="20"/>
          <w:szCs w:val="20"/>
          <w:color w:val="auto"/>
        </w:rPr>
      </w:pPr>
      <w:r>
        <w:rPr>
          <w:rFonts w:ascii="Arial" w:cs="Arial" w:eastAsia="Arial" w:hAnsi="Arial"/>
          <w:sz w:val="22"/>
          <w:szCs w:val="22"/>
          <w:color w:val="auto"/>
        </w:rPr>
        <w:t>Building 8, Cherrywood Business Park</w:t>
      </w:r>
    </w:p>
    <w:p>
      <w:pPr>
        <w:ind w:left="2100"/>
        <w:spacing w:after="0" w:line="230" w:lineRule="auto"/>
        <w:rPr>
          <w:sz w:val="20"/>
          <w:szCs w:val="20"/>
          <w:color w:val="auto"/>
        </w:rPr>
      </w:pPr>
      <w:r>
        <w:rPr>
          <w:rFonts w:ascii="Arial" w:cs="Arial" w:eastAsia="Arial" w:hAnsi="Arial"/>
          <w:sz w:val="22"/>
          <w:szCs w:val="22"/>
          <w:color w:val="auto"/>
        </w:rPr>
        <w:t>Loughlinstown, Dublin 18</w:t>
      </w:r>
    </w:p>
    <w:p>
      <w:pPr>
        <w:ind w:left="2100"/>
        <w:spacing w:after="0" w:line="231" w:lineRule="auto"/>
        <w:rPr>
          <w:sz w:val="20"/>
          <w:szCs w:val="20"/>
          <w:color w:val="auto"/>
        </w:rPr>
      </w:pPr>
      <w:r>
        <w:rPr>
          <w:rFonts w:ascii="Arial" w:cs="Arial" w:eastAsia="Arial" w:hAnsi="Arial"/>
          <w:sz w:val="22"/>
          <w:szCs w:val="22"/>
          <w:color w:val="auto"/>
        </w:rPr>
        <w:t>D18 W319, Ireland</w:t>
      </w:r>
    </w:p>
    <w:p>
      <w:pPr>
        <w:ind w:left="2100"/>
        <w:spacing w:after="0" w:line="231" w:lineRule="auto"/>
        <w:rPr>
          <w:sz w:val="20"/>
          <w:szCs w:val="20"/>
          <w:color w:val="auto"/>
        </w:rPr>
      </w:pPr>
      <w:r>
        <w:rPr>
          <w:rFonts w:ascii="Arial" w:cs="Arial" w:eastAsia="Arial" w:hAnsi="Arial"/>
          <w:sz w:val="22"/>
          <w:szCs w:val="22"/>
          <w:color w:val="auto"/>
        </w:rPr>
        <w:t>Attn: Structured Finance Relationship Management</w:t>
      </w:r>
    </w:p>
    <w:p>
      <w:pPr>
        <w:ind w:left="2100"/>
        <w:spacing w:after="0" w:line="230" w:lineRule="auto"/>
        <w:rPr>
          <w:sz w:val="20"/>
          <w:szCs w:val="20"/>
          <w:color w:val="auto"/>
        </w:rPr>
      </w:pPr>
      <w:r>
        <w:rPr>
          <w:rFonts w:ascii="Arial" w:cs="Arial" w:eastAsia="Arial" w:hAnsi="Arial"/>
          <w:sz w:val="22"/>
          <w:szCs w:val="22"/>
          <w:color w:val="auto"/>
        </w:rPr>
        <w:t>Facsimile: +44 207 365 2577</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mbs.relationship.management@usbank.com</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Paying Agent:</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Elavon Financial Services DAC</w:t>
      </w:r>
    </w:p>
    <w:p>
      <w:pPr>
        <w:ind w:left="2100"/>
        <w:spacing w:after="0" w:line="238" w:lineRule="auto"/>
        <w:rPr>
          <w:sz w:val="20"/>
          <w:szCs w:val="20"/>
          <w:color w:val="auto"/>
        </w:rPr>
      </w:pPr>
      <w:r>
        <w:rPr>
          <w:rFonts w:ascii="Arial" w:cs="Arial" w:eastAsia="Arial" w:hAnsi="Arial"/>
          <w:sz w:val="22"/>
          <w:szCs w:val="22"/>
          <w:color w:val="auto"/>
        </w:rPr>
        <w:t>125 Old Broad Street, Fifth Floor</w:t>
      </w:r>
    </w:p>
    <w:p>
      <w:pPr>
        <w:ind w:left="2100"/>
        <w:spacing w:after="0" w:line="230" w:lineRule="auto"/>
        <w:rPr>
          <w:sz w:val="20"/>
          <w:szCs w:val="20"/>
          <w:color w:val="auto"/>
        </w:rPr>
      </w:pPr>
      <w:r>
        <w:rPr>
          <w:rFonts w:ascii="Arial" w:cs="Arial" w:eastAsia="Arial" w:hAnsi="Arial"/>
          <w:sz w:val="22"/>
          <w:szCs w:val="22"/>
          <w:color w:val="auto"/>
        </w:rPr>
        <w:t>London, EC2N 1AR</w:t>
      </w:r>
    </w:p>
    <w:p>
      <w:pPr>
        <w:ind w:left="2100"/>
        <w:spacing w:after="0" w:line="231" w:lineRule="auto"/>
        <w:rPr>
          <w:sz w:val="20"/>
          <w:szCs w:val="20"/>
          <w:color w:val="auto"/>
        </w:rPr>
      </w:pPr>
      <w:r>
        <w:rPr>
          <w:rFonts w:ascii="Arial" w:cs="Arial" w:eastAsia="Arial" w:hAnsi="Arial"/>
          <w:sz w:val="22"/>
          <w:szCs w:val="22"/>
          <w:color w:val="auto"/>
        </w:rPr>
        <w:t>United Kingdom</w:t>
      </w:r>
    </w:p>
    <w:p>
      <w:pPr>
        <w:ind w:left="2100"/>
        <w:spacing w:after="0" w:line="231" w:lineRule="auto"/>
        <w:rPr>
          <w:sz w:val="20"/>
          <w:szCs w:val="20"/>
          <w:color w:val="auto"/>
        </w:rPr>
      </w:pPr>
      <w:r>
        <w:rPr>
          <w:rFonts w:ascii="Arial" w:cs="Arial" w:eastAsia="Arial" w:hAnsi="Arial"/>
          <w:sz w:val="22"/>
          <w:szCs w:val="22"/>
          <w:color w:val="auto"/>
        </w:rPr>
        <w:t>Attn: Structured Finance Relationship Management</w:t>
      </w:r>
    </w:p>
    <w:p>
      <w:pPr>
        <w:ind w:left="2100"/>
        <w:spacing w:after="0" w:line="230" w:lineRule="auto"/>
        <w:rPr>
          <w:sz w:val="20"/>
          <w:szCs w:val="20"/>
          <w:color w:val="auto"/>
        </w:rPr>
      </w:pPr>
      <w:r>
        <w:rPr>
          <w:rFonts w:ascii="Arial" w:cs="Arial" w:eastAsia="Arial" w:hAnsi="Arial"/>
          <w:sz w:val="22"/>
          <w:szCs w:val="22"/>
          <w:color w:val="auto"/>
        </w:rPr>
        <w:t>Facsimile: +44 207 365 2577</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mbs.relationship.management@usbank.com</w:t>
      </w:r>
    </w:p>
    <w:p>
      <w:pPr>
        <w:spacing w:after="0" w:line="188" w:lineRule="exact"/>
        <w:rPr>
          <w:sz w:val="20"/>
          <w:szCs w:val="20"/>
          <w:color w:val="auto"/>
        </w:rPr>
      </w:pPr>
    </w:p>
    <w:p>
      <w:pPr>
        <w:ind w:right="180" w:firstLine="1433"/>
        <w:spacing w:after="0" w:line="251" w:lineRule="auto"/>
        <w:rPr>
          <w:sz w:val="20"/>
          <w:szCs w:val="20"/>
          <w:color w:val="auto"/>
        </w:rPr>
      </w:pPr>
      <w:r>
        <w:rPr>
          <w:rFonts w:ascii="Arial" w:cs="Arial" w:eastAsia="Arial" w:hAnsi="Arial"/>
          <w:sz w:val="22"/>
          <w:szCs w:val="22"/>
          <w:color w:val="auto"/>
        </w:rPr>
        <w:t>The Issuer, the Guarantors or the Trustee by written notice to the others may designate additional or different addresses for subsequent notices or communications.</w:t>
      </w:r>
    </w:p>
    <w:p>
      <w:pPr>
        <w:spacing w:after="0" w:line="173"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w:t>
      </w:r>
    </w:p>
    <w:p>
      <w:pPr>
        <w:sectPr>
          <w:pgSz w:w="11900" w:h="16838" w:orient="portrait"/>
          <w:cols w:equalWidth="0" w:num="1">
            <w:col w:w="11020"/>
          </w:cols>
          <w:pgMar w:left="440" w:top="415" w:right="4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and the next Business Day after timely delivery to the courier, if sent by overnight air courier guaranteeing next day delivery.</w:t>
      </w:r>
    </w:p>
    <w:p>
      <w:pPr>
        <w:spacing w:after="0" w:line="241" w:lineRule="exact"/>
        <w:rPr>
          <w:sz w:val="20"/>
          <w:szCs w:val="20"/>
          <w:color w:val="auto"/>
        </w:rPr>
      </w:pPr>
    </w:p>
    <w:p>
      <w:pPr>
        <w:ind w:firstLine="1433"/>
        <w:spacing w:after="0" w:line="236" w:lineRule="auto"/>
        <w:rPr>
          <w:sz w:val="20"/>
          <w:szCs w:val="20"/>
          <w:color w:val="auto"/>
        </w:rPr>
      </w:pPr>
      <w:r>
        <w:rPr>
          <w:rFonts w:ascii="Arial" w:cs="Arial" w:eastAsia="Arial" w:hAnsi="Arial"/>
          <w:sz w:val="22"/>
          <w:szCs w:val="22"/>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8" w:lineRule="exact"/>
        <w:rPr>
          <w:sz w:val="20"/>
          <w:szCs w:val="20"/>
          <w:color w:val="auto"/>
        </w:rPr>
      </w:pPr>
    </w:p>
    <w:p>
      <w:pPr>
        <w:ind w:right="440" w:firstLine="1433"/>
        <w:spacing w:after="0" w:line="251" w:lineRule="auto"/>
        <w:rPr>
          <w:sz w:val="20"/>
          <w:szCs w:val="20"/>
          <w:color w:val="auto"/>
        </w:rPr>
      </w:pPr>
      <w:r>
        <w:rPr>
          <w:rFonts w:ascii="Arial" w:cs="Arial" w:eastAsia="Arial" w:hAnsi="Arial"/>
          <w:sz w:val="22"/>
          <w:szCs w:val="22"/>
          <w:color w:val="auto"/>
        </w:rPr>
        <w:t>If a notice or communication to a Holder is mailed in the manner provided above, it shall be deemed duly given, whether or not the addressee receives it.</w:t>
      </w:r>
    </w:p>
    <w:p>
      <w:pPr>
        <w:spacing w:after="0" w:line="173" w:lineRule="exact"/>
        <w:rPr>
          <w:sz w:val="20"/>
          <w:szCs w:val="20"/>
          <w:color w:val="auto"/>
        </w:rPr>
      </w:pPr>
    </w:p>
    <w:p>
      <w:pPr>
        <w:jc w:val="both"/>
        <w:ind w:right="760" w:firstLine="1433"/>
        <w:spacing w:after="0" w:line="258" w:lineRule="auto"/>
        <w:rPr>
          <w:sz w:val="20"/>
          <w:szCs w:val="20"/>
          <w:color w:val="auto"/>
        </w:rPr>
      </w:pPr>
      <w:r>
        <w:rPr>
          <w:rFonts w:ascii="Arial" w:cs="Arial" w:eastAsia="Arial" w:hAnsi="Arial"/>
          <w:sz w:val="21"/>
          <w:szCs w:val="21"/>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94"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u w:val="single" w:color="auto"/>
          <w:color w:val="auto"/>
        </w:rPr>
        <w:t>Communications by Holders with Other Holders</w:t>
      </w:r>
      <w:r>
        <w:rPr>
          <w:rFonts w:ascii="Arial" w:cs="Arial" w:eastAsia="Arial" w:hAnsi="Arial"/>
          <w:sz w:val="19"/>
          <w:szCs w:val="19"/>
          <w:color w:val="auto"/>
        </w:rPr>
        <w:t>.</w:t>
      </w:r>
    </w:p>
    <w:p>
      <w:pPr>
        <w:spacing w:after="0" w:line="206" w:lineRule="exact"/>
        <w:rPr>
          <w:sz w:val="20"/>
          <w:szCs w:val="20"/>
          <w:color w:val="auto"/>
        </w:rPr>
      </w:pPr>
    </w:p>
    <w:p>
      <w:pPr>
        <w:ind w:right="100" w:firstLine="1433"/>
        <w:spacing w:after="0"/>
        <w:rPr>
          <w:sz w:val="20"/>
          <w:szCs w:val="20"/>
          <w:color w:val="auto"/>
        </w:rPr>
      </w:pPr>
      <w:r>
        <w:rPr>
          <w:rFonts w:ascii="Arial" w:cs="Arial" w:eastAsia="Arial" w:hAnsi="Arial"/>
          <w:sz w:val="22"/>
          <w:szCs w:val="22"/>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u w:val="single" w:color="auto"/>
          <w:color w:val="auto"/>
        </w:rPr>
        <w:t>Certificate and Opinion as to Conditions Precedent</w:t>
      </w:r>
      <w:r>
        <w:rPr>
          <w:rFonts w:ascii="Arial" w:cs="Arial" w:eastAsia="Arial" w:hAnsi="Arial"/>
          <w:sz w:val="19"/>
          <w:szCs w:val="19"/>
          <w:color w:val="auto"/>
        </w:rPr>
        <w: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Upon any request or application by the Issuer or any Guarantor to the Trustee to take any action under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the Issuer or such Guarantor shall furnish to the Trustee:</w:t>
      </w:r>
    </w:p>
    <w:p>
      <w:pPr>
        <w:spacing w:after="0" w:line="188" w:lineRule="exact"/>
        <w:rPr>
          <w:sz w:val="20"/>
          <w:szCs w:val="20"/>
          <w:color w:val="auto"/>
        </w:rPr>
      </w:pPr>
    </w:p>
    <w:p>
      <w:pPr>
        <w:ind w:left="780" w:right="320" w:firstLine="610"/>
        <w:spacing w:after="0"/>
        <w:tabs>
          <w:tab w:leader="none" w:pos="207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186" w:lineRule="exact"/>
        <w:rPr>
          <w:rFonts w:ascii="Arial" w:cs="Arial" w:eastAsia="Arial" w:hAnsi="Arial"/>
          <w:sz w:val="22"/>
          <w:szCs w:val="22"/>
          <w:color w:val="auto"/>
        </w:rPr>
      </w:pPr>
    </w:p>
    <w:p>
      <w:pPr>
        <w:ind w:left="780" w:right="360" w:firstLine="610"/>
        <w:spacing w:after="0" w:line="328" w:lineRule="auto"/>
        <w:tabs>
          <w:tab w:leader="none" w:pos="207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 Opinion of Counsel (which shall include the statements set forth in Section 11.05 below) stating that, in the opinion of such counsel, all such conditions precedent and covenants have been complied with.</w:t>
      </w:r>
    </w:p>
    <w:p>
      <w:pPr>
        <w:spacing w:after="0" w:line="1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u w:val="single" w:color="auto"/>
          <w:color w:val="auto"/>
        </w:rPr>
        <w:t>Statements Required in Certificate and Opinion</w:t>
      </w:r>
      <w:r>
        <w:rPr>
          <w:rFonts w:ascii="Arial" w:cs="Arial" w:eastAsia="Arial" w:hAnsi="Arial"/>
          <w:sz w:val="19"/>
          <w:szCs w:val="19"/>
          <w:color w:val="auto"/>
        </w:rPr>
        <w:t>.</w:t>
      </w:r>
    </w:p>
    <w:p>
      <w:pPr>
        <w:spacing w:after="0" w:line="206" w:lineRule="exact"/>
        <w:rPr>
          <w:sz w:val="20"/>
          <w:szCs w:val="20"/>
          <w:color w:val="auto"/>
        </w:rPr>
      </w:pPr>
    </w:p>
    <w:p>
      <w:pPr>
        <w:ind w:right="140" w:firstLine="1433"/>
        <w:spacing w:after="0" w:line="251" w:lineRule="auto"/>
        <w:rPr>
          <w:sz w:val="20"/>
          <w:szCs w:val="20"/>
          <w:color w:val="auto"/>
        </w:rPr>
      </w:pPr>
      <w:r>
        <w:rPr>
          <w:rFonts w:ascii="Arial" w:cs="Arial" w:eastAsia="Arial" w:hAnsi="Arial"/>
          <w:sz w:val="22"/>
          <w:szCs w:val="22"/>
          <w:color w:val="auto"/>
        </w:rPr>
        <w:t>Each certificate and opinion with respect to compliance by or on behalf of the Issuer or any Guarantor with a condition or covenant provided for in this Indenture shall include:</w:t>
      </w:r>
    </w:p>
    <w:p>
      <w:pPr>
        <w:sectPr>
          <w:pgSz w:w="11900" w:h="16838" w:orient="portrait"/>
          <w:cols w:equalWidth="0" w:num="1">
            <w:col w:w="11000"/>
          </w:cols>
          <w:pgMar w:left="440" w:top="415" w:right="4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p>
    <w:p>
      <w:pPr>
        <w:spacing w:after="0" w:line="233" w:lineRule="exact"/>
        <w:rPr>
          <w:sz w:val="20"/>
          <w:szCs w:val="20"/>
          <w:color w:val="auto"/>
        </w:rPr>
      </w:pPr>
    </w:p>
    <w:p>
      <w:pPr>
        <w:ind w:left="2080" w:hanging="690"/>
        <w:spacing w:after="0"/>
        <w:tabs>
          <w:tab w:leader="none" w:pos="20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 statement that the Person making such certificate or opinion has read such covenant or condition;</w:t>
      </w:r>
    </w:p>
    <w:p>
      <w:pPr>
        <w:spacing w:after="0" w:line="240" w:lineRule="exact"/>
        <w:rPr>
          <w:rFonts w:ascii="Arial" w:cs="Arial" w:eastAsia="Arial" w:hAnsi="Arial"/>
          <w:sz w:val="19"/>
          <w:szCs w:val="19"/>
          <w:color w:val="auto"/>
        </w:rPr>
      </w:pPr>
    </w:p>
    <w:p>
      <w:pPr>
        <w:ind w:left="780" w:right="720" w:firstLine="610"/>
        <w:spacing w:after="0" w:line="251" w:lineRule="auto"/>
        <w:tabs>
          <w:tab w:leader="none" w:pos="207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3" w:lineRule="exact"/>
        <w:rPr>
          <w:rFonts w:ascii="Arial" w:cs="Arial" w:eastAsia="Arial" w:hAnsi="Arial"/>
          <w:sz w:val="22"/>
          <w:szCs w:val="22"/>
          <w:color w:val="auto"/>
        </w:rPr>
      </w:pPr>
    </w:p>
    <w:p>
      <w:pPr>
        <w:jc w:val="both"/>
        <w:ind w:left="780" w:right="180" w:firstLine="610"/>
        <w:spacing w:after="0"/>
        <w:tabs>
          <w:tab w:leader="none" w:pos="207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2080" w:hanging="690"/>
        <w:spacing w:after="0"/>
        <w:tabs>
          <w:tab w:leader="none" w:pos="20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covenant or condition has been</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u w:val="single" w:color="auto"/>
          <w:color w:val="auto"/>
        </w:rPr>
        <w:t>Rules by Trustee and Agents</w:t>
      </w:r>
      <w:r>
        <w:rPr>
          <w:rFonts w:ascii="Arial" w:cs="Arial" w:eastAsia="Arial" w:hAnsi="Arial"/>
          <w:sz w:val="19"/>
          <w:szCs w:val="19"/>
          <w:color w:val="auto"/>
        </w:rPr>
        <w:t>.</w:t>
      </w:r>
    </w:p>
    <w:p>
      <w:pPr>
        <w:spacing w:after="0" w:line="206" w:lineRule="exact"/>
        <w:rPr>
          <w:sz w:val="20"/>
          <w:szCs w:val="20"/>
          <w:color w:val="auto"/>
        </w:rPr>
      </w:pPr>
    </w:p>
    <w:p>
      <w:pPr>
        <w:ind w:right="240" w:firstLine="1433"/>
        <w:spacing w:after="0" w:line="251" w:lineRule="auto"/>
        <w:rPr>
          <w:sz w:val="20"/>
          <w:szCs w:val="20"/>
          <w:color w:val="auto"/>
        </w:rPr>
      </w:pPr>
      <w:r>
        <w:rPr>
          <w:rFonts w:ascii="Arial" w:cs="Arial" w:eastAsia="Arial" w:hAnsi="Arial"/>
          <w:sz w:val="22"/>
          <w:szCs w:val="22"/>
          <w:color w:val="auto"/>
        </w:rPr>
        <w:t>The Trustee may make reasonable rules for action by or meetings of Noteholders. The Registrar and Paying Agent may make reasonable rules for their functions.</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11.07.</w:t>
      </w:r>
      <w:r>
        <w:rPr>
          <w:sz w:val="20"/>
          <w:szCs w:val="20"/>
          <w:color w:val="auto"/>
        </w:rPr>
        <w:tab/>
      </w:r>
      <w:r>
        <w:rPr>
          <w:rFonts w:ascii="Arial" w:cs="Arial" w:eastAsia="Arial" w:hAnsi="Arial"/>
          <w:sz w:val="19"/>
          <w:szCs w:val="19"/>
          <w:u w:val="single" w:color="auto"/>
          <w:color w:val="auto"/>
        </w:rPr>
        <w:t>Business Days; Legal Holidays</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38"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Business Day</w:t>
      </w:r>
      <w:r>
        <w:rPr>
          <w:rFonts w:ascii="Arial" w:cs="Arial" w:eastAsia="Arial" w:hAnsi="Arial"/>
          <w:sz w:val="22"/>
          <w:szCs w:val="22"/>
          <w:color w:val="auto"/>
        </w:rPr>
        <w:t>” is a day that is not a Legal Holiday.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 Saturday, a Sunday or other day on which commercial banks in London, Luxembourg or France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11.08.</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w:t>
      </w:r>
    </w:p>
    <w:p>
      <w:pPr>
        <w:spacing w:after="0" w:line="206" w:lineRule="exact"/>
        <w:rPr>
          <w:sz w:val="20"/>
          <w:szCs w:val="20"/>
          <w:color w:val="auto"/>
        </w:rPr>
      </w:pPr>
    </w:p>
    <w:p>
      <w:pPr>
        <w:ind w:right="60" w:firstLine="1433"/>
        <w:spacing w:after="0"/>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11.09.</w:t>
      </w:r>
      <w:r>
        <w:rPr>
          <w:sz w:val="20"/>
          <w:szCs w:val="20"/>
          <w:color w:val="auto"/>
        </w:rPr>
        <w:tab/>
      </w:r>
      <w:r>
        <w:rPr>
          <w:rFonts w:ascii="Arial" w:cs="Arial" w:eastAsia="Arial" w:hAnsi="Arial"/>
          <w:sz w:val="19"/>
          <w:szCs w:val="19"/>
          <w:u w:val="single" w:color="auto"/>
          <w:color w:val="auto"/>
        </w:rPr>
        <w:t>No Adverse Interpretation of Other Agreements</w:t>
      </w:r>
      <w:r>
        <w:rPr>
          <w:rFonts w:ascii="Arial" w:cs="Arial" w:eastAsia="Arial" w:hAnsi="Arial"/>
          <w:sz w:val="19"/>
          <w:szCs w:val="19"/>
          <w:color w:val="auto"/>
        </w:rPr>
        <w:t>.</w:t>
      </w:r>
    </w:p>
    <w:p>
      <w:pPr>
        <w:spacing w:after="0" w:line="206" w:lineRule="exact"/>
        <w:rPr>
          <w:sz w:val="20"/>
          <w:szCs w:val="20"/>
          <w:color w:val="auto"/>
        </w:rPr>
      </w:pPr>
    </w:p>
    <w:p>
      <w:pPr>
        <w:ind w:right="280" w:firstLine="1433"/>
        <w:spacing w:after="0" w:line="328" w:lineRule="auto"/>
        <w:rPr>
          <w:sz w:val="20"/>
          <w:szCs w:val="20"/>
          <w:color w:val="auto"/>
        </w:rPr>
      </w:pPr>
      <w:r>
        <w:rPr>
          <w:rFonts w:ascii="Arial" w:cs="Arial" w:eastAsia="Arial" w:hAnsi="Arial"/>
          <w:sz w:val="19"/>
          <w:szCs w:val="19"/>
          <w:color w:val="auto"/>
        </w:rPr>
        <w:t>This Indenture may not be used to interpret another indenture, loan, security or debt agreement of Parent or any Subsidiary thereof. No such indenture, loan, security or debt agreement may be used to interpret this Indenture.</w:t>
      </w:r>
    </w:p>
    <w:p>
      <w:pPr>
        <w:sectPr>
          <w:pgSz w:w="11900" w:h="16838" w:orient="portrait"/>
          <w:cols w:equalWidth="0" w:num="1">
            <w:col w:w="10980"/>
          </w:cols>
          <w:pgMar w:left="440" w:top="415" w:right="4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jc w:val="both"/>
        <w:ind w:right="440" w:firstLine="1433"/>
        <w:spacing w:after="0" w:line="328" w:lineRule="auto"/>
        <w:rPr>
          <w:sz w:val="20"/>
          <w:szCs w:val="20"/>
          <w:color w:val="auto"/>
        </w:rPr>
      </w:pPr>
      <w:r>
        <w:rPr>
          <w:rFonts w:ascii="Arial" w:cs="Arial" w:eastAsia="Arial" w:hAnsi="Arial"/>
          <w:sz w:val="19"/>
          <w:szCs w:val="19"/>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3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u w:val="single" w:color="auto"/>
          <w:color w:val="auto"/>
        </w:rPr>
        <w:t>Multiple Counterparts</w:t>
      </w:r>
      <w:r>
        <w:rPr>
          <w:rFonts w:ascii="Arial" w:cs="Arial" w:eastAsia="Arial" w:hAnsi="Arial"/>
          <w:sz w:val="19"/>
          <w:szCs w:val="19"/>
          <w:color w:val="auto"/>
        </w:rPr>
        <w:t>.</w:t>
      </w:r>
    </w:p>
    <w:p>
      <w:pPr>
        <w:spacing w:after="0" w:line="206" w:lineRule="exact"/>
        <w:rPr>
          <w:sz w:val="20"/>
          <w:szCs w:val="20"/>
          <w:color w:val="auto"/>
        </w:rPr>
      </w:pPr>
    </w:p>
    <w:p>
      <w:pPr>
        <w:ind w:right="480" w:firstLine="1433"/>
        <w:spacing w:after="0" w:line="251" w:lineRule="auto"/>
        <w:rPr>
          <w:sz w:val="20"/>
          <w:szCs w:val="20"/>
          <w:color w:val="auto"/>
        </w:rPr>
      </w:pPr>
      <w:r>
        <w:rPr>
          <w:rFonts w:ascii="Arial" w:cs="Arial" w:eastAsia="Arial" w:hAnsi="Arial"/>
          <w:sz w:val="22"/>
          <w:szCs w:val="22"/>
          <w:color w:val="auto"/>
        </w:rPr>
        <w:t>The parties may sign multiple counterparts of this Indenture. Each signed counterpart shall be deemed an original, but all of them together represent one and the same agreement.</w:t>
      </w:r>
    </w:p>
    <w:p>
      <w:pPr>
        <w:spacing w:after="0" w:line="20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u w:val="single" w:color="auto"/>
          <w:color w:val="auto"/>
        </w:rPr>
        <w:t>Table of Contents, Headings, etc</w:t>
      </w:r>
      <w:r>
        <w:rPr>
          <w:rFonts w:ascii="Arial" w:cs="Arial" w:eastAsia="Arial" w:hAnsi="Arial"/>
          <w:sz w:val="19"/>
          <w:szCs w:val="19"/>
          <w:color w:val="auto"/>
        </w:rPr>
        <w:t>.</w:t>
      </w:r>
    </w:p>
    <w:p>
      <w:pPr>
        <w:spacing w:after="0" w:line="206" w:lineRule="exact"/>
        <w:rPr>
          <w:sz w:val="20"/>
          <w:szCs w:val="20"/>
          <w:color w:val="auto"/>
        </w:rPr>
      </w:pPr>
    </w:p>
    <w:p>
      <w:pPr>
        <w:jc w:val="both"/>
        <w:ind w:right="220" w:firstLine="1433"/>
        <w:spacing w:after="0"/>
        <w:rPr>
          <w:sz w:val="20"/>
          <w:szCs w:val="20"/>
          <w:color w:val="auto"/>
        </w:rPr>
      </w:pPr>
      <w:r>
        <w:rPr>
          <w:rFonts w:ascii="Arial" w:cs="Arial" w:eastAsia="Arial" w:hAnsi="Arial"/>
          <w:sz w:val="22"/>
          <w:szCs w:val="22"/>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u w:val="single" w:color="auto"/>
          <w:color w:val="auto"/>
        </w:rPr>
        <w:t>Separability</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97" w:lineRule="auto"/>
        <w:rPr>
          <w:sz w:val="20"/>
          <w:szCs w:val="20"/>
          <w:color w:val="auto"/>
        </w:rPr>
      </w:pPr>
      <w:r>
        <w:rPr>
          <w:rFonts w:ascii="Arial" w:cs="Arial" w:eastAsia="Arial" w:hAnsi="Arial"/>
          <w:sz w:val="19"/>
          <w:szCs w:val="19"/>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6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06" w:lineRule="exact"/>
        <w:rPr>
          <w:sz w:val="20"/>
          <w:szCs w:val="20"/>
          <w:color w:val="auto"/>
        </w:rPr>
      </w:pPr>
    </w:p>
    <w:p>
      <w:pPr>
        <w:ind w:right="20" w:firstLine="1433"/>
        <w:spacing w:after="0" w:line="238" w:lineRule="auto"/>
        <w:rPr>
          <w:sz w:val="20"/>
          <w:szCs w:val="20"/>
          <w:color w:val="auto"/>
        </w:rPr>
      </w:pPr>
      <w:r>
        <w:rPr>
          <w:rFonts w:ascii="Arial" w:cs="Arial" w:eastAsia="Arial" w:hAnsi="Arial"/>
          <w:sz w:val="22"/>
          <w:szCs w:val="22"/>
          <w:color w:val="auto"/>
        </w:rPr>
        <w:t>THE ISSUER, EACH OF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11.15.</w:t>
      </w:r>
      <w:r>
        <w:rPr>
          <w:sz w:val="20"/>
          <w:szCs w:val="20"/>
          <w:color w:val="auto"/>
        </w:rPr>
        <w:tab/>
      </w:r>
      <w:r>
        <w:rPr>
          <w:rFonts w:ascii="Arial" w:cs="Arial" w:eastAsia="Arial" w:hAnsi="Arial"/>
          <w:sz w:val="19"/>
          <w:szCs w:val="19"/>
          <w:u w:val="single" w:color="auto"/>
          <w:color w:val="auto"/>
        </w:rPr>
        <w:t>Force Majeure</w:t>
      </w:r>
      <w:r>
        <w:rPr>
          <w:rFonts w:ascii="Arial" w:cs="Arial" w:eastAsia="Arial" w:hAnsi="Arial"/>
          <w:sz w:val="19"/>
          <w:szCs w:val="19"/>
          <w:color w:val="auto"/>
        </w:rPr>
        <w:t>.</w:t>
      </w:r>
    </w:p>
    <w:p>
      <w:pPr>
        <w:spacing w:after="0" w:line="206" w:lineRule="exact"/>
        <w:rPr>
          <w:sz w:val="20"/>
          <w:szCs w:val="20"/>
          <w:color w:val="auto"/>
        </w:rPr>
      </w:pPr>
    </w:p>
    <w:p>
      <w:pPr>
        <w:ind w:firstLine="1433"/>
        <w:spacing w:after="0" w:line="248" w:lineRule="auto"/>
        <w:rPr>
          <w:sz w:val="20"/>
          <w:szCs w:val="20"/>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ectPr>
          <w:pgSz w:w="11900" w:h="16838" w:orient="portrait"/>
          <w:cols w:equalWidth="0" w:num="1">
            <w:col w:w="11000"/>
          </w:cols>
          <w:pgMar w:left="440" w:top="415" w:right="4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w:t>
      </w:r>
    </w:p>
    <w:p>
      <w:pPr>
        <w:spacing w:after="0" w:line="23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11.16.</w:t>
      </w:r>
      <w:r>
        <w:rPr>
          <w:sz w:val="20"/>
          <w:szCs w:val="20"/>
          <w:color w:val="auto"/>
        </w:rPr>
        <w:tab/>
      </w:r>
      <w:r>
        <w:rPr>
          <w:rFonts w:ascii="Arial" w:cs="Arial" w:eastAsia="Arial" w:hAnsi="Arial"/>
          <w:sz w:val="19"/>
          <w:szCs w:val="19"/>
          <w:u w:val="single" w:color="auto"/>
          <w:color w:val="auto"/>
        </w:rPr>
        <w:t>Agent for Service; Submission to Jurisdiction; Waiver of Immunities</w:t>
      </w:r>
      <w:r>
        <w:rPr>
          <w:rFonts w:ascii="Arial" w:cs="Arial" w:eastAsia="Arial" w:hAnsi="Arial"/>
          <w:sz w:val="19"/>
          <w:szCs w:val="19"/>
          <w:color w:val="auto"/>
        </w:rPr>
        <w:t>.</w:t>
      </w:r>
    </w:p>
    <w:p>
      <w:pPr>
        <w:spacing w:after="0" w:line="206" w:lineRule="exact"/>
        <w:rPr>
          <w:sz w:val="20"/>
          <w:szCs w:val="20"/>
          <w:color w:val="auto"/>
        </w:rPr>
      </w:pPr>
    </w:p>
    <w:p>
      <w:pPr>
        <w:ind w:firstLine="1767"/>
        <w:spacing w:after="0" w:line="270" w:lineRule="auto"/>
        <w:tabs>
          <w:tab w:leader="none" w:pos="221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By the execution and delivery of this Indenture, the Issuer and 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subsection (a)(i) above and (iii) agrees that service of process upon CT Corporation System and written notice of said service to the Issuer in accordance with this Section 11.16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this Indenture shall be in full force and effect or any of the Notes shall be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 or any Guarantor may, by written notice to the Trustee, designate such additional or alternative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for service of process under this Section 11.16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Section 11.16. Such notice shall identify the name of such agent for process and the address of such agent for process in the Borough of Manhattan, The City of New York, the State of New York.</w:t>
      </w:r>
    </w:p>
    <w:p>
      <w:pPr>
        <w:spacing w:after="0" w:line="167" w:lineRule="exact"/>
        <w:rPr>
          <w:rFonts w:ascii="Arial" w:cs="Arial" w:eastAsia="Arial" w:hAnsi="Arial"/>
          <w:sz w:val="19"/>
          <w:szCs w:val="19"/>
          <w:color w:val="auto"/>
        </w:rPr>
      </w:pPr>
    </w:p>
    <w:p>
      <w:pPr>
        <w:ind w:right="20" w:firstLine="1767"/>
        <w:spacing w:after="0" w:line="275" w:lineRule="auto"/>
        <w:tabs>
          <w:tab w:leader="none" w:pos="222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this Indenture, the Notes and the Note Guarantees. In addition, the Issuer and each Guarantor irrevocably waives and agrees not to assert, by way of motion, as a defense, or otherwise in any such suit, action or proceeding, any claim that it is not personally subject to the jurisdiction of the courts mentioned in subsection (a) of this Section 11.16 for any reason whatsoever, that such suit, action or proceeding is brought in an inconvenient forum or that the venue for such suit is improper, or that this Indenture, the Notes or the Note Guarantees or the subject matter hereof or thereof may not be enforced in such courts.</w:t>
      </w:r>
    </w:p>
    <w:p>
      <w:pPr>
        <w:spacing w:after="0" w:line="158" w:lineRule="exact"/>
        <w:rPr>
          <w:rFonts w:ascii="Arial" w:cs="Arial" w:eastAsia="Arial" w:hAnsi="Arial"/>
          <w:sz w:val="19"/>
          <w:szCs w:val="19"/>
          <w:color w:val="auto"/>
        </w:rPr>
      </w:pPr>
    </w:p>
    <w:p>
      <w:pPr>
        <w:ind w:right="60" w:firstLine="1767"/>
        <w:spacing w:after="0"/>
        <w:tabs>
          <w:tab w:leader="none" w:pos="221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Issuer and the Guarantors agree that a final judgment in any such suit, action or proceeding shall be conclusive and may be enforced in other jurisdictions by suit on the judgment or in any other manner provided by law. To the fullest extent permitted</w:t>
      </w:r>
    </w:p>
    <w:p>
      <w:pPr>
        <w:sectPr>
          <w:pgSz w:w="11900" w:h="16838" w:orient="portrait"/>
          <w:cols w:equalWidth="0" w:num="1">
            <w:col w:w="11000"/>
          </w:cols>
          <w:pgMar w:left="440" w:top="415" w:right="4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p>
    <w:p>
      <w:pPr>
        <w:spacing w:after="0" w:line="233"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by applicable law, nothing in this Section 11.16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21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11.17.</w:t>
      </w:r>
      <w:r>
        <w:rPr>
          <w:sz w:val="20"/>
          <w:szCs w:val="20"/>
          <w:color w:val="auto"/>
        </w:rPr>
        <w:tab/>
      </w:r>
      <w:r>
        <w:rPr>
          <w:rFonts w:ascii="Arial" w:cs="Arial" w:eastAsia="Arial" w:hAnsi="Arial"/>
          <w:sz w:val="19"/>
          <w:szCs w:val="19"/>
          <w:u w:val="single" w:color="auto"/>
          <w:color w:val="auto"/>
        </w:rPr>
        <w:t>Currency of Account; Conversion of Currency; Foreign Exchange Restrictions</w:t>
      </w:r>
      <w:r>
        <w:rPr>
          <w:rFonts w:ascii="Arial" w:cs="Arial" w:eastAsia="Arial" w:hAnsi="Arial"/>
          <w:sz w:val="19"/>
          <w:szCs w:val="19"/>
          <w:color w:val="auto"/>
        </w:rPr>
        <w:t>.</w:t>
      </w:r>
    </w:p>
    <w:p>
      <w:pPr>
        <w:spacing w:after="0" w:line="206" w:lineRule="exact"/>
        <w:rPr>
          <w:sz w:val="20"/>
          <w:szCs w:val="20"/>
          <w:color w:val="auto"/>
        </w:rPr>
      </w:pPr>
    </w:p>
    <w:p>
      <w:pPr>
        <w:ind w:right="60" w:firstLine="1767"/>
        <w:spacing w:after="0" w:line="270" w:lineRule="auto"/>
        <w:tabs>
          <w:tab w:leader="none" w:pos="2219"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Euros are the sole currency of account and payment for all sums payable by the Issuer and the Guarantors under or in connection with the Notes, the Note Guarantees or this Indenture, including damages related thereto. Any amount received or recovered in a currency other than Euro by a Holder of the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 If that Euro amount is less than the Euro amount expressed to be due to the recipient under the Notes, the Issuer shall indemnify it against any loss sustained by it as a result as set forth in subsection (b) of this Section 11.17. In any event, the Issuer and the Guarantors shall indemnify the recipient against the cost of making any such purchase. For the purposes of this Section 11.17, it will be sufficient for the Holder of a Note to certify in a satisfactory manner (indicating sources of information used) that it would have suffered a loss had an actual purchase of Euros been made with the amount so received in that other currency on the date of receipt or recovery (or, if a purchase of Euros on such date had not been practicable, on the first date on which it would have been practicable, it being required that the need for a change of date be certified in the manner mentioned above). The indemnities set forth in this Section 11.17 constitute separate and independent obligations from other obligations of the Issuer and the Guarantors, shall give rise to a separate and independent cause of action, shall apply irrespective of any indulgence granted by any Holder of the Notes and shall continue in full force and effect despite any other judgment, order, claim or proof for a liquidated amount in respect of any sum due under the Notes.</w:t>
      </w:r>
    </w:p>
    <w:p>
      <w:pPr>
        <w:spacing w:after="0" w:line="167" w:lineRule="exact"/>
        <w:rPr>
          <w:rFonts w:ascii="Arial" w:cs="Arial" w:eastAsia="Arial" w:hAnsi="Arial"/>
          <w:sz w:val="19"/>
          <w:szCs w:val="19"/>
          <w:color w:val="auto"/>
        </w:rPr>
      </w:pPr>
    </w:p>
    <w:p>
      <w:pPr>
        <w:ind w:firstLine="1767"/>
        <w:spacing w:after="0" w:line="274" w:lineRule="auto"/>
        <w:tabs>
          <w:tab w:leader="none" w:pos="2227"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Issuer and the Guarantors, jointly and severally, covenant and agree that the following provisions shall apply to conversion of currency in the case of the Notes, the Note Guarantees and this Indenture:</w:t>
      </w:r>
    </w:p>
    <w:p>
      <w:pPr>
        <w:spacing w:after="0" w:line="177" w:lineRule="exact"/>
        <w:rPr>
          <w:rFonts w:ascii="Arial" w:cs="Arial" w:eastAsia="Arial" w:hAnsi="Arial"/>
          <w:sz w:val="21"/>
          <w:szCs w:val="21"/>
          <w:color w:val="auto"/>
        </w:rPr>
      </w:pPr>
    </w:p>
    <w:p>
      <w:pPr>
        <w:ind w:left="2860" w:right="20" w:hanging="1317"/>
        <w:spacing w:after="0" w:line="236" w:lineRule="auto"/>
        <w:tabs>
          <w:tab w:leader="none" w:pos="212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(A)If for the purpose of obtaining judgment in, or enforcing the judgment of, any court in any country, it becomes necessary to convert into a currency (the “</w:t>
      </w:r>
      <w:r>
        <w:rPr>
          <w:rFonts w:ascii="Arial" w:cs="Arial" w:eastAsia="Arial" w:hAnsi="Arial"/>
          <w:sz w:val="22"/>
          <w:szCs w:val="22"/>
          <w:u w:val="single" w:color="auto"/>
          <w:color w:val="auto"/>
        </w:rPr>
        <w:t>Judgment Currency</w:t>
      </w:r>
      <w:r>
        <w:rPr>
          <w:rFonts w:ascii="Arial" w:cs="Arial" w:eastAsia="Arial" w:hAnsi="Arial"/>
          <w:sz w:val="22"/>
          <w:szCs w:val="22"/>
          <w:color w:val="auto"/>
        </w:rPr>
        <w:t>”) an amount due in any other currency (the “</w:t>
      </w:r>
      <w:r>
        <w:rPr>
          <w:rFonts w:ascii="Arial" w:cs="Arial" w:eastAsia="Arial" w:hAnsi="Arial"/>
          <w:sz w:val="22"/>
          <w:szCs w:val="22"/>
          <w:u w:val="single" w:color="auto"/>
          <w:color w:val="auto"/>
        </w:rPr>
        <w:t>Base Currency</w:t>
      </w:r>
      <w:r>
        <w:rPr>
          <w:rFonts w:ascii="Arial" w:cs="Arial" w:eastAsia="Arial" w:hAnsi="Arial"/>
          <w:sz w:val="22"/>
          <w:szCs w:val="22"/>
          <w:color w:val="auto"/>
        </w:rPr>
        <w:t>”), then the conversion shall be made at the rate of exchange prevailing on the Business Day before the day on which the judgment is given or</w:t>
      </w:r>
    </w:p>
    <w:p>
      <w:pPr>
        <w:sectPr>
          <w:pgSz w:w="11900" w:h="16838" w:orient="portrait"/>
          <w:cols w:equalWidth="0" w:num="1">
            <w:col w:w="11020"/>
          </w:cols>
          <w:pgMar w:left="440" w:top="415" w:right="4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w:t>
      </w:r>
    </w:p>
    <w:p>
      <w:pPr>
        <w:spacing w:after="0" w:line="233" w:lineRule="exact"/>
        <w:rPr>
          <w:sz w:val="20"/>
          <w:szCs w:val="20"/>
          <w:color w:val="auto"/>
        </w:rPr>
      </w:pPr>
    </w:p>
    <w:p>
      <w:pPr>
        <w:ind w:left="2840" w:right="900"/>
        <w:spacing w:after="0" w:line="251" w:lineRule="auto"/>
        <w:rPr>
          <w:sz w:val="20"/>
          <w:szCs w:val="20"/>
          <w:color w:val="auto"/>
        </w:rPr>
      </w:pPr>
      <w:r>
        <w:rPr>
          <w:rFonts w:ascii="Arial" w:cs="Arial" w:eastAsia="Arial" w:hAnsi="Arial"/>
          <w:sz w:val="22"/>
          <w:szCs w:val="22"/>
          <w:color w:val="auto"/>
        </w:rPr>
        <w:t>the order of enforcement is made, as the case may be (unless a court shall otherwise determine).</w:t>
      </w:r>
    </w:p>
    <w:p>
      <w:pPr>
        <w:spacing w:after="0" w:line="200" w:lineRule="exact"/>
        <w:rPr>
          <w:sz w:val="20"/>
          <w:szCs w:val="20"/>
          <w:color w:val="auto"/>
        </w:rPr>
      </w:pPr>
    </w:p>
    <w:p>
      <w:pPr>
        <w:ind w:left="2840" w:right="120" w:hanging="655"/>
        <w:spacing w:after="0" w:line="277" w:lineRule="auto"/>
        <w:tabs>
          <w:tab w:leader="none" w:pos="2840" w:val="left"/>
        </w:tabs>
        <w:numPr>
          <w:ilvl w:val="2"/>
          <w:numId w:val="132"/>
        </w:numPr>
        <w:rPr>
          <w:rFonts w:ascii="Arial" w:cs="Arial" w:eastAsia="Arial" w:hAnsi="Arial"/>
          <w:sz w:val="19"/>
          <w:szCs w:val="19"/>
          <w:color w:val="auto"/>
        </w:rPr>
      </w:pPr>
      <w:r>
        <w:rPr>
          <w:rFonts w:ascii="Arial" w:cs="Arial" w:eastAsia="Arial" w:hAnsi="Arial"/>
          <w:sz w:val="19"/>
          <w:szCs w:val="19"/>
          <w:color w:val="auto"/>
        </w:rPr>
        <w:t>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52" w:lineRule="exact"/>
        <w:rPr>
          <w:rFonts w:ascii="Arial" w:cs="Arial" w:eastAsia="Arial" w:hAnsi="Arial"/>
          <w:sz w:val="19"/>
          <w:szCs w:val="19"/>
          <w:color w:val="auto"/>
        </w:rPr>
      </w:pPr>
    </w:p>
    <w:p>
      <w:pPr>
        <w:ind w:left="640" w:firstLine="730"/>
        <w:spacing w:after="0" w:line="244" w:lineRule="auto"/>
        <w:tabs>
          <w:tab w:leader="none" w:pos="183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 (i) the date as of which the Euro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189" w:lineRule="exact"/>
        <w:rPr>
          <w:rFonts w:ascii="Arial" w:cs="Arial" w:eastAsia="Arial" w:hAnsi="Arial"/>
          <w:sz w:val="21"/>
          <w:szCs w:val="21"/>
          <w:color w:val="auto"/>
        </w:rPr>
      </w:pPr>
    </w:p>
    <w:p>
      <w:pPr>
        <w:ind w:left="-20" w:right="80" w:firstLine="1767"/>
        <w:spacing w:after="0" w:line="245" w:lineRule="auto"/>
        <w:tabs>
          <w:tab w:leader="none" w:pos="2195"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obligations contained in subsections (a), (b)(1)(B) and (b)(2) of this Section 11.17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w:t>
      </w:r>
    </w:p>
    <w:p>
      <w:pPr>
        <w:sectPr>
          <w:pgSz w:w="11900" w:h="16838" w:orient="portrait"/>
          <w:cols w:equalWidth="0" w:num="1">
            <w:col w:w="11000"/>
          </w:cols>
          <w:pgMar w:left="460" w:top="415" w:right="4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not be deemed to be reduced by any variation in rates of exchange occurring between the said final date and the date of any liquidating distribution.</w:t>
      </w:r>
    </w:p>
    <w:p>
      <w:pPr>
        <w:spacing w:after="0" w:line="173" w:lineRule="exact"/>
        <w:rPr>
          <w:sz w:val="20"/>
          <w:szCs w:val="20"/>
          <w:color w:val="auto"/>
        </w:rPr>
      </w:pPr>
    </w:p>
    <w:p>
      <w:pPr>
        <w:ind w:firstLine="1767"/>
        <w:spacing w:after="0" w:line="297" w:lineRule="auto"/>
        <w:tabs>
          <w:tab w:leader="none" w:pos="222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020"/>
          </w:cols>
          <w:pgMar w:left="440" w:top="415" w:right="4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-98-</w:t>
      </w:r>
    </w:p>
    <w:p>
      <w:pPr>
        <w:spacing w:after="0" w:line="233" w:lineRule="exact"/>
        <w:rPr>
          <w:sz w:val="20"/>
          <w:szCs w:val="20"/>
          <w:color w:val="auto"/>
        </w:rPr>
      </w:pPr>
    </w:p>
    <w:p>
      <w:pPr>
        <w:ind w:right="380" w:firstLine="1433"/>
        <w:spacing w:after="0" w:line="251" w:lineRule="auto"/>
        <w:rPr>
          <w:sz w:val="20"/>
          <w:szCs w:val="20"/>
          <w:color w:val="auto"/>
        </w:rPr>
      </w:pPr>
      <w:r>
        <w:rPr>
          <w:rFonts w:ascii="Arial" w:cs="Arial" w:eastAsia="Arial" w:hAnsi="Arial"/>
          <w:sz w:val="22"/>
          <w:szCs w:val="22"/>
          <w:color w:val="auto"/>
        </w:rPr>
        <w:t>IN WITNESS WHEREOF, the parties have caused this Indenture to be duly executed all as of the date and year first written above.</w:t>
      </w:r>
    </w:p>
    <w:p>
      <w:pPr>
        <w:spacing w:after="0" w:line="200"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CROWN EUROPEAN HOLDINGS S.A.</w:t>
      </w:r>
    </w:p>
    <w:p>
      <w:pPr>
        <w:spacing w:after="0" w:line="200" w:lineRule="exact"/>
        <w:rPr>
          <w:sz w:val="20"/>
          <w:szCs w:val="20"/>
          <w:color w:val="auto"/>
        </w:rPr>
      </w:pPr>
    </w:p>
    <w:p>
      <w:pPr>
        <w:spacing w:after="0" w:line="22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Laurent Watteaux</w:t>
      </w:r>
    </w:p>
    <w:p>
      <w:pPr>
        <w:spacing w:after="0" w:line="12" w:lineRule="exact"/>
        <w:rPr>
          <w:sz w:val="20"/>
          <w:szCs w:val="20"/>
          <w:color w:val="auto"/>
        </w:rPr>
      </w:pPr>
    </w:p>
    <w:tbl>
      <w:tblPr>
        <w:tblLayout w:type="fixed"/>
        <w:tblInd w:w="606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Laurent Watteaux</w:t>
            </w:r>
          </w:p>
        </w:tc>
      </w:tr>
      <w:tr>
        <w:trPr>
          <w:trHeight w:val="243"/>
        </w:trPr>
        <w:tc>
          <w:tcPr>
            <w:tcW w:w="460" w:type="dxa"/>
            <w:vAlign w:val="bottom"/>
          </w:tcPr>
          <w:p>
            <w:pPr>
              <w:spacing w:after="0"/>
              <w:rPr>
                <w:sz w:val="21"/>
                <w:szCs w:val="21"/>
                <w:color w:val="auto"/>
              </w:rPr>
            </w:pPr>
          </w:p>
        </w:tc>
        <w:tc>
          <w:tcPr>
            <w:tcW w:w="1080" w:type="dxa"/>
            <w:vAlign w:val="bottom"/>
          </w:tcPr>
          <w:p>
            <w:pPr>
              <w:ind w:left="100"/>
              <w:spacing w:after="0" w:line="243" w:lineRule="exact"/>
              <w:rPr>
                <w:sz w:val="20"/>
                <w:szCs w:val="20"/>
                <w:color w:val="auto"/>
              </w:rPr>
            </w:pPr>
            <w:r>
              <w:rPr>
                <w:rFonts w:ascii="Arial" w:cs="Arial" w:eastAsia="Arial" w:hAnsi="Arial"/>
                <w:sz w:val="22"/>
                <w:szCs w:val="22"/>
                <w:color w:val="auto"/>
              </w:rPr>
              <w:t>Title:</w:t>
            </w:r>
          </w:p>
        </w:tc>
        <w:tc>
          <w:tcPr>
            <w:tcW w:w="3440" w:type="dxa"/>
            <w:vAlign w:val="bottom"/>
          </w:tcPr>
          <w:p>
            <w:pPr>
              <w:ind w:left="380"/>
              <w:spacing w:after="0" w:line="243" w:lineRule="exact"/>
              <w:rPr>
                <w:sz w:val="20"/>
                <w:szCs w:val="20"/>
                <w:color w:val="auto"/>
              </w:rPr>
            </w:pPr>
            <w:r>
              <w:rPr>
                <w:rFonts w:ascii="Arial" w:cs="Arial" w:eastAsia="Arial" w:hAnsi="Arial"/>
                <w:sz w:val="22"/>
                <w:szCs w:val="22"/>
                <w:color w:val="auto"/>
              </w:rPr>
              <w:t>Administrateur &amp;</w:t>
            </w:r>
          </w:p>
        </w:tc>
      </w:tr>
      <w:tr>
        <w:trPr>
          <w:trHeight w:val="275"/>
        </w:trPr>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40" w:type="dxa"/>
            <w:vAlign w:val="bottom"/>
          </w:tcPr>
          <w:p>
            <w:pPr>
              <w:ind w:left="400"/>
              <w:spacing w:after="0"/>
              <w:rPr>
                <w:sz w:val="20"/>
                <w:szCs w:val="20"/>
                <w:color w:val="auto"/>
              </w:rPr>
            </w:pPr>
            <w:r>
              <w:rPr>
                <w:rFonts w:ascii="Arial" w:cs="Arial" w:eastAsia="Arial" w:hAnsi="Arial"/>
                <w:sz w:val="22"/>
                <w:szCs w:val="22"/>
                <w:color w:val="auto"/>
              </w:rPr>
              <w:t>Président-Directeur Général</w:t>
            </w:r>
          </w:p>
        </w:tc>
      </w:tr>
      <w:tr>
        <w:trPr>
          <w:trHeight w:val="675"/>
        </w:trPr>
        <w:tc>
          <w:tcPr>
            <w:tcW w:w="4980" w:type="dxa"/>
            <w:vAlign w:val="bottom"/>
            <w:gridSpan w:val="3"/>
          </w:tcPr>
          <w:p>
            <w:pPr>
              <w:spacing w:after="0"/>
              <w:rPr>
                <w:sz w:val="20"/>
                <w:szCs w:val="20"/>
                <w:color w:val="auto"/>
              </w:rPr>
            </w:pPr>
            <w:r>
              <w:rPr>
                <w:rFonts w:ascii="Arial" w:cs="Arial" w:eastAsia="Arial" w:hAnsi="Arial"/>
                <w:sz w:val="22"/>
                <w:szCs w:val="22"/>
                <w:color w:val="auto"/>
              </w:rPr>
              <w:t>CROWN HOLDINGS, INC.</w:t>
            </w:r>
          </w:p>
        </w:tc>
      </w:tr>
      <w:tr>
        <w:trPr>
          <w:trHeight w:val="665"/>
        </w:trPr>
        <w:tc>
          <w:tcPr>
            <w:tcW w:w="4980" w:type="dxa"/>
            <w:vAlign w:val="bottom"/>
            <w:gridSpan w:val="3"/>
          </w:tcPr>
          <w:p>
            <w:pPr>
              <w:spacing w:after="0"/>
              <w:rPr>
                <w:sz w:val="20"/>
                <w:szCs w:val="20"/>
                <w:color w:val="auto"/>
              </w:rPr>
            </w:pPr>
            <w:r>
              <w:rPr>
                <w:rFonts w:ascii="Arial" w:cs="Arial" w:eastAsia="Arial" w:hAnsi="Arial"/>
                <w:sz w:val="22"/>
                <w:szCs w:val="22"/>
                <w:color w:val="auto"/>
              </w:rPr>
              <w:t>By: /s/ Timothy J, Donahue</w:t>
            </w:r>
          </w:p>
        </w:tc>
      </w:tr>
      <w:tr>
        <w:trPr>
          <w:trHeight w:val="229"/>
        </w:trPr>
        <w:tc>
          <w:tcPr>
            <w:tcW w:w="46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Timothy J. Donahue</w:t>
            </w:r>
          </w:p>
        </w:tc>
      </w:tr>
      <w:tr>
        <w:trPr>
          <w:trHeight w:val="243"/>
        </w:trPr>
        <w:tc>
          <w:tcPr>
            <w:tcW w:w="460" w:type="dxa"/>
            <w:vAlign w:val="bottom"/>
          </w:tcPr>
          <w:p>
            <w:pPr>
              <w:spacing w:after="0"/>
              <w:rPr>
                <w:sz w:val="21"/>
                <w:szCs w:val="21"/>
                <w:color w:val="auto"/>
              </w:rPr>
            </w:pPr>
          </w:p>
        </w:tc>
        <w:tc>
          <w:tcPr>
            <w:tcW w:w="1080" w:type="dxa"/>
            <w:vAlign w:val="bottom"/>
          </w:tcPr>
          <w:p>
            <w:pPr>
              <w:ind w:left="100"/>
              <w:spacing w:after="0" w:line="243" w:lineRule="exact"/>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line="243" w:lineRule="exact"/>
              <w:rPr>
                <w:sz w:val="20"/>
                <w:szCs w:val="20"/>
                <w:color w:val="auto"/>
              </w:rPr>
            </w:pPr>
            <w:r>
              <w:rPr>
                <w:rFonts w:ascii="Arial" w:cs="Arial" w:eastAsia="Arial" w:hAnsi="Arial"/>
                <w:sz w:val="22"/>
                <w:szCs w:val="22"/>
                <w:color w:val="auto"/>
              </w:rPr>
              <w:t>President &amp;</w:t>
            </w:r>
          </w:p>
        </w:tc>
      </w:tr>
      <w:tr>
        <w:trPr>
          <w:trHeight w:val="275"/>
        </w:trPr>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40" w:type="dxa"/>
            <w:vAlign w:val="bottom"/>
          </w:tcPr>
          <w:p>
            <w:pPr>
              <w:ind w:left="400"/>
              <w:spacing w:after="0"/>
              <w:rPr>
                <w:sz w:val="20"/>
                <w:szCs w:val="20"/>
                <w:color w:val="auto"/>
              </w:rPr>
            </w:pPr>
            <w:r>
              <w:rPr>
                <w:rFonts w:ascii="Arial" w:cs="Arial" w:eastAsia="Arial" w:hAnsi="Arial"/>
                <w:sz w:val="22"/>
                <w:szCs w:val="22"/>
                <w:color w:val="auto"/>
              </w:rPr>
              <w:t>Chief Executive Officer</w:t>
            </w:r>
          </w:p>
        </w:tc>
      </w:tr>
    </w:tbl>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1040"/>
          </w:cols>
          <w:pgMar w:left="440" w:top="415" w:right="419" w:bottom="1440" w:gutter="0" w:footer="0" w:header="0"/>
        </w:sectPr>
      </w:pPr>
    </w:p>
    <w:bookmarkStart w:id="109" w:name="page110"/>
    <w:bookmarkEnd w:id="109"/>
    <w:p>
      <w:pPr>
        <w:ind w:left="43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-99-</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GUARANTORS</w:t>
      </w:r>
      <w:r>
        <w:rPr>
          <w:rFonts w:ascii="Arial" w:cs="Arial" w:eastAsia="Arial" w:hAnsi="Arial"/>
          <w:sz w:val="22"/>
          <w:szCs w:val="22"/>
          <w:color w:val="auto"/>
        </w:rPr>
        <w:t>:</w:t>
      </w:r>
    </w:p>
    <w:p>
      <w:pPr>
        <w:spacing w:after="0" w:line="31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 USA, INC.</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CROWN BEVERAGE PACKAGING PUERTO RICO,</w:t>
      </w:r>
    </w:p>
    <w:p>
      <w:pPr>
        <w:ind w:left="5060"/>
        <w:spacing w:after="0" w:line="232" w:lineRule="auto"/>
        <w:rPr>
          <w:sz w:val="20"/>
          <w:szCs w:val="20"/>
          <w:color w:val="auto"/>
        </w:rPr>
      </w:pPr>
      <w:r>
        <w:rPr>
          <w:rFonts w:ascii="Arial" w:cs="Arial" w:eastAsia="Arial" w:hAnsi="Arial"/>
          <w:sz w:val="22"/>
          <w:szCs w:val="22"/>
          <w:color w:val="auto"/>
        </w:rPr>
        <w:t>INC.</w:t>
      </w:r>
    </w:p>
    <w:p>
      <w:pPr>
        <w:ind w:left="5060"/>
        <w:spacing w:after="0" w:line="230" w:lineRule="auto"/>
        <w:rPr>
          <w:sz w:val="20"/>
          <w:szCs w:val="20"/>
          <w:color w:val="auto"/>
        </w:rPr>
      </w:pPr>
      <w:r>
        <w:rPr>
          <w:rFonts w:ascii="Arial" w:cs="Arial" w:eastAsia="Arial" w:hAnsi="Arial"/>
          <w:sz w:val="22"/>
          <w:szCs w:val="22"/>
          <w:color w:val="auto"/>
        </w:rPr>
        <w:t>CROWN CONSULTANTS, INC.</w:t>
      </w:r>
    </w:p>
    <w:p>
      <w:pPr>
        <w:ind w:left="5060"/>
        <w:spacing w:after="0" w:line="231" w:lineRule="auto"/>
        <w:rPr>
          <w:sz w:val="20"/>
          <w:szCs w:val="20"/>
          <w:color w:val="auto"/>
        </w:rPr>
      </w:pPr>
      <w:r>
        <w:rPr>
          <w:rFonts w:ascii="Arial" w:cs="Arial" w:eastAsia="Arial" w:hAnsi="Arial"/>
          <w:sz w:val="22"/>
          <w:szCs w:val="22"/>
          <w:color w:val="auto"/>
        </w:rPr>
        <w:t>CROWN CORK &amp; SEAL COMPANY (DE), LLC</w:t>
      </w:r>
    </w:p>
    <w:p>
      <w:pPr>
        <w:ind w:left="5060"/>
        <w:spacing w:after="0" w:line="231" w:lineRule="auto"/>
        <w:rPr>
          <w:sz w:val="20"/>
          <w:szCs w:val="20"/>
          <w:color w:val="auto"/>
        </w:rPr>
      </w:pPr>
      <w:r>
        <w:rPr>
          <w:rFonts w:ascii="Arial" w:cs="Arial" w:eastAsia="Arial" w:hAnsi="Arial"/>
          <w:sz w:val="22"/>
          <w:szCs w:val="22"/>
          <w:color w:val="auto"/>
        </w:rPr>
        <w:t>CROWN CORK &amp; SEAL COMPANY, INC.</w:t>
      </w:r>
    </w:p>
    <w:p>
      <w:pPr>
        <w:ind w:left="5060"/>
        <w:spacing w:after="0" w:line="230" w:lineRule="auto"/>
        <w:rPr>
          <w:sz w:val="20"/>
          <w:szCs w:val="20"/>
          <w:color w:val="auto"/>
        </w:rPr>
      </w:pPr>
      <w:r>
        <w:rPr>
          <w:rFonts w:ascii="Arial" w:cs="Arial" w:eastAsia="Arial" w:hAnsi="Arial"/>
          <w:sz w:val="22"/>
          <w:szCs w:val="22"/>
          <w:color w:val="auto"/>
        </w:rPr>
        <w:t>CROWN FINANCIAL CORPORATION</w:t>
      </w:r>
    </w:p>
    <w:p>
      <w:pPr>
        <w:ind w:left="5060"/>
        <w:spacing w:after="0" w:line="231" w:lineRule="auto"/>
        <w:rPr>
          <w:sz w:val="20"/>
          <w:szCs w:val="20"/>
          <w:color w:val="auto"/>
        </w:rPr>
      </w:pPr>
      <w:r>
        <w:rPr>
          <w:rFonts w:ascii="Arial" w:cs="Arial" w:eastAsia="Arial" w:hAnsi="Arial"/>
          <w:sz w:val="22"/>
          <w:szCs w:val="22"/>
          <w:color w:val="auto"/>
        </w:rPr>
        <w:t>CROWN INTERNATIONAL HOLDINGS, INC.</w:t>
      </w:r>
    </w:p>
    <w:p>
      <w:pPr>
        <w:ind w:left="5060"/>
        <w:spacing w:after="0" w:line="230" w:lineRule="auto"/>
        <w:rPr>
          <w:sz w:val="20"/>
          <w:szCs w:val="20"/>
          <w:color w:val="auto"/>
        </w:rPr>
      </w:pPr>
      <w:r>
        <w:rPr>
          <w:rFonts w:ascii="Arial" w:cs="Arial" w:eastAsia="Arial" w:hAnsi="Arial"/>
          <w:sz w:val="22"/>
          <w:szCs w:val="22"/>
          <w:color w:val="auto"/>
        </w:rPr>
        <w:t>CROWN PACKAGING TECHNOLOGY, INC.</w:t>
      </w:r>
    </w:p>
    <w:p>
      <w:pPr>
        <w:ind w:left="5060"/>
        <w:spacing w:after="0" w:line="231" w:lineRule="auto"/>
        <w:rPr>
          <w:sz w:val="20"/>
          <w:szCs w:val="20"/>
          <w:color w:val="auto"/>
        </w:rPr>
      </w:pPr>
      <w:r>
        <w:rPr>
          <w:rFonts w:ascii="Arial" w:cs="Arial" w:eastAsia="Arial" w:hAnsi="Arial"/>
          <w:sz w:val="22"/>
          <w:szCs w:val="22"/>
          <w:color w:val="auto"/>
        </w:rPr>
        <w:t>FOREIGN MANUFACTURERS FINANCE</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5520" w:type="dxa"/>
        <w:tblCellMar>
          <w:top w:w="0" w:type="dxa"/>
          <w:left w:w="0" w:type="dxa"/>
          <w:bottom w:w="0" w:type="dxa"/>
          <w:right w:w="0" w:type="dxa"/>
        </w:tblCellMar>
      </w:tblPr>
      <w:tr>
        <w:trPr>
          <w:trHeight w:val="229"/>
        </w:trPr>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rPr>
                <w:sz w:val="20"/>
                <w:szCs w:val="20"/>
                <w:color w:val="auto"/>
              </w:rPr>
            </w:pPr>
            <w:r>
              <w:rPr>
                <w:rFonts w:ascii="Arial" w:cs="Arial" w:eastAsia="Arial" w:hAnsi="Arial"/>
                <w:sz w:val="22"/>
                <w:szCs w:val="22"/>
                <w:color w:val="auto"/>
              </w:rPr>
              <w:t>Vice President &amp; Treasurer</w:t>
            </w:r>
          </w:p>
        </w:tc>
      </w:tr>
    </w:tbl>
    <w:p>
      <w:pPr>
        <w:spacing w:after="0" w:line="200" w:lineRule="exact"/>
        <w:rPr>
          <w:sz w:val="20"/>
          <w:szCs w:val="20"/>
          <w:color w:val="auto"/>
        </w:rPr>
      </w:pPr>
    </w:p>
    <w:p>
      <w:pPr>
        <w:spacing w:after="0" w:line="20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BEVERAGE PACKAGING, LLC</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CORK &amp; SEAL USA,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28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380"/>
              <w:spacing w:after="0"/>
              <w:rPr>
                <w:sz w:val="20"/>
                <w:szCs w:val="20"/>
                <w:color w:val="auto"/>
              </w:rPr>
            </w:pPr>
            <w:r>
              <w:rPr>
                <w:rFonts w:ascii="Arial" w:cs="Arial" w:eastAsia="Arial" w:hAnsi="Arial"/>
                <w:sz w:val="22"/>
                <w:szCs w:val="22"/>
                <w:color w:val="auto"/>
              </w:rPr>
              <w:t>Assistant Treasurer</w:t>
            </w:r>
          </w:p>
        </w:tc>
      </w:tr>
      <w:tr>
        <w:trPr>
          <w:trHeight w:val="392"/>
        </w:trPr>
        <w:tc>
          <w:tcPr>
            <w:tcW w:w="336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4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0" w:name="page111"/>
    <w:bookmarkEnd w:id="110"/>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KIWIPLAN INC.</w:t>
      </w:r>
    </w:p>
    <w:p>
      <w:pPr>
        <w:ind w:left="4860"/>
        <w:spacing w:after="0" w:line="238" w:lineRule="auto"/>
        <w:rPr>
          <w:sz w:val="20"/>
          <w:szCs w:val="20"/>
          <w:color w:val="auto"/>
        </w:rPr>
      </w:pPr>
      <w:r>
        <w:rPr>
          <w:rFonts w:ascii="Arial" w:cs="Arial" w:eastAsia="Arial" w:hAnsi="Arial"/>
          <w:sz w:val="22"/>
          <w:szCs w:val="22"/>
          <w:color w:val="auto"/>
        </w:rPr>
        <w:t>PACKAGE DESIGN AND MANUFACTURING, INC.</w:t>
      </w:r>
    </w:p>
    <w:p>
      <w:pPr>
        <w:ind w:left="4860"/>
        <w:spacing w:after="0" w:line="230" w:lineRule="auto"/>
        <w:rPr>
          <w:sz w:val="20"/>
          <w:szCs w:val="20"/>
          <w:color w:val="auto"/>
        </w:rPr>
      </w:pPr>
      <w:r>
        <w:rPr>
          <w:rFonts w:ascii="Arial" w:cs="Arial" w:eastAsia="Arial" w:hAnsi="Arial"/>
          <w:sz w:val="22"/>
          <w:szCs w:val="22"/>
          <w:color w:val="auto"/>
        </w:rPr>
        <w:t>SIGNODE INDUSTRIAL GROUP LLC</w:t>
      </w:r>
    </w:p>
    <w:p>
      <w:pPr>
        <w:ind w:left="4860"/>
        <w:spacing w:after="0" w:line="231" w:lineRule="auto"/>
        <w:rPr>
          <w:sz w:val="20"/>
          <w:szCs w:val="20"/>
          <w:color w:val="auto"/>
        </w:rPr>
      </w:pPr>
      <w:r>
        <w:rPr>
          <w:rFonts w:ascii="Arial" w:cs="Arial" w:eastAsia="Arial" w:hAnsi="Arial"/>
          <w:sz w:val="22"/>
          <w:szCs w:val="22"/>
          <w:color w:val="auto"/>
        </w:rPr>
        <w:t>SIGNODE PICKLING HOLDING LLC</w:t>
      </w:r>
    </w:p>
    <w:p>
      <w:pPr>
        <w:ind w:left="4860"/>
        <w:spacing w:after="0" w:line="231" w:lineRule="auto"/>
        <w:rPr>
          <w:sz w:val="20"/>
          <w:szCs w:val="20"/>
          <w:color w:val="auto"/>
        </w:rPr>
      </w:pPr>
      <w:r>
        <w:rPr>
          <w:rFonts w:ascii="Arial" w:cs="Arial" w:eastAsia="Arial" w:hAnsi="Arial"/>
          <w:sz w:val="22"/>
          <w:szCs w:val="22"/>
          <w:color w:val="auto"/>
        </w:rPr>
        <w:t>SIGNODE US IP HOLDINGS LLC</w:t>
      </w:r>
    </w:p>
    <w:p>
      <w:pPr>
        <w:ind w:left="4860"/>
        <w:spacing w:after="0"/>
        <w:rPr>
          <w:sz w:val="20"/>
          <w:szCs w:val="20"/>
          <w:color w:val="auto"/>
        </w:rPr>
      </w:pPr>
      <w:r>
        <w:rPr>
          <w:rFonts w:ascii="Arial" w:cs="Arial" w:eastAsia="Arial" w:hAnsi="Arial"/>
          <w:sz w:val="21"/>
          <w:szCs w:val="21"/>
          <w:color w:val="auto"/>
        </w:rPr>
        <w:t>SIGNODE INDUSTRIAL GROUP HOLDINGS US INC.</w:t>
      </w:r>
    </w:p>
    <w:p>
      <w:pPr>
        <w:spacing w:after="0" w:line="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SIGNODE INTERNATIONAL IP HOLDINGS LLC</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104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660" w:type="dxa"/>
            <w:vAlign w:val="bottom"/>
            <w:tcBorders>
              <w:top w:val="single" w:sz="8" w:color="auto"/>
            </w:tcBorders>
          </w:tcPr>
          <w:p>
            <w:pPr>
              <w:ind w:left="36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100" w:type="dxa"/>
            <w:vAlign w:val="bottom"/>
          </w:tcPr>
          <w:p>
            <w:pPr>
              <w:spacing w:after="0"/>
              <w:rPr>
                <w:sz w:val="23"/>
                <w:szCs w:val="23"/>
                <w:color w:val="auto"/>
              </w:rPr>
            </w:pPr>
          </w:p>
        </w:tc>
        <w:tc>
          <w:tcPr>
            <w:tcW w:w="1040" w:type="dxa"/>
            <w:vAlign w:val="bottom"/>
          </w:tcPr>
          <w:p>
            <w:pPr>
              <w:ind w:left="100"/>
              <w:spacing w:after="0"/>
              <w:rPr>
                <w:sz w:val="20"/>
                <w:szCs w:val="20"/>
                <w:color w:val="auto"/>
              </w:rPr>
            </w:pPr>
            <w:r>
              <w:rPr>
                <w:rFonts w:ascii="Arial" w:cs="Arial" w:eastAsia="Arial" w:hAnsi="Arial"/>
                <w:sz w:val="22"/>
                <w:szCs w:val="22"/>
                <w:color w:val="auto"/>
              </w:rPr>
              <w:t>Title:</w:t>
            </w:r>
          </w:p>
        </w:tc>
        <w:tc>
          <w:tcPr>
            <w:tcW w:w="3660" w:type="dxa"/>
            <w:vAlign w:val="bottom"/>
          </w:tcPr>
          <w:p>
            <w:pPr>
              <w:ind w:left="360"/>
              <w:spacing w:after="0"/>
              <w:rPr>
                <w:sz w:val="20"/>
                <w:szCs w:val="20"/>
                <w:color w:val="auto"/>
              </w:rPr>
            </w:pPr>
            <w:r>
              <w:rPr>
                <w:rFonts w:ascii="Arial" w:cs="Arial" w:eastAsia="Arial" w:hAnsi="Arial"/>
                <w:sz w:val="22"/>
                <w:szCs w:val="22"/>
                <w:color w:val="auto"/>
                <w:w w:val="91"/>
              </w:rPr>
              <w:t>Vice President &amp; Assistant Treasurer</w:t>
            </w:r>
          </w:p>
        </w:tc>
      </w:tr>
      <w:tr>
        <w:trPr>
          <w:trHeight w:val="392"/>
        </w:trPr>
        <w:tc>
          <w:tcPr>
            <w:tcW w:w="314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66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1" w:name="page112"/>
    <w:bookmarkEnd w:id="111"/>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SIGNODE INDUSTRIAL GROUP US INC.</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28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rPr>
                <w:sz w:val="20"/>
                <w:szCs w:val="20"/>
                <w:color w:val="auto"/>
              </w:rPr>
            </w:pPr>
            <w:r>
              <w:rPr>
                <w:rFonts w:ascii="Arial" w:cs="Arial" w:eastAsia="Arial" w:hAnsi="Arial"/>
                <w:sz w:val="22"/>
                <w:szCs w:val="22"/>
                <w:color w:val="auto"/>
              </w:rPr>
              <w:t>Vice President</w:t>
            </w:r>
          </w:p>
        </w:tc>
      </w:tr>
      <w:tr>
        <w:trPr>
          <w:trHeight w:val="392"/>
        </w:trPr>
        <w:tc>
          <w:tcPr>
            <w:tcW w:w="336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4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2" w:name="page113"/>
    <w:bookmarkEnd w:id="112"/>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AMERICAS LLC</w:t>
      </w:r>
    </w:p>
    <w:p>
      <w:pPr>
        <w:spacing w:after="0" w:line="31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28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rPr>
                <w:sz w:val="20"/>
                <w:szCs w:val="20"/>
                <w:color w:val="auto"/>
              </w:rPr>
            </w:pPr>
            <w:r>
              <w:rPr>
                <w:rFonts w:ascii="Arial" w:cs="Arial" w:eastAsia="Arial" w:hAnsi="Arial"/>
                <w:sz w:val="22"/>
                <w:szCs w:val="22"/>
                <w:color w:val="auto"/>
              </w:rPr>
              <w:t>Vice President &amp; Treasurer</w:t>
            </w:r>
          </w:p>
        </w:tc>
      </w:tr>
      <w:tr>
        <w:trPr>
          <w:trHeight w:val="392"/>
        </w:trPr>
        <w:tc>
          <w:tcPr>
            <w:tcW w:w="336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4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3" w:name="page114"/>
    <w:bookmarkEnd w:id="113"/>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3079939 NOVA SCOTIA COMPANY/3079939</w:t>
      </w:r>
    </w:p>
    <w:p>
      <w:pPr>
        <w:ind w:left="5060"/>
        <w:spacing w:after="0" w:line="238" w:lineRule="auto"/>
        <w:rPr>
          <w:sz w:val="20"/>
          <w:szCs w:val="20"/>
          <w:color w:val="auto"/>
        </w:rPr>
      </w:pPr>
      <w:r>
        <w:rPr>
          <w:rFonts w:ascii="Arial" w:cs="Arial" w:eastAsia="Arial" w:hAnsi="Arial"/>
          <w:sz w:val="22"/>
          <w:szCs w:val="22"/>
          <w:color w:val="auto"/>
        </w:rPr>
        <w:t>COMPAGNIE DE LA NOUVELLE ECOSSE</w:t>
      </w:r>
    </w:p>
    <w:p>
      <w:pPr>
        <w:ind w:left="5060"/>
        <w:spacing w:after="0" w:line="230" w:lineRule="auto"/>
        <w:rPr>
          <w:sz w:val="20"/>
          <w:szCs w:val="20"/>
          <w:color w:val="auto"/>
        </w:rPr>
      </w:pPr>
      <w:r>
        <w:rPr>
          <w:rFonts w:ascii="Arial" w:cs="Arial" w:eastAsia="Arial" w:hAnsi="Arial"/>
          <w:sz w:val="22"/>
          <w:szCs w:val="22"/>
          <w:color w:val="auto"/>
        </w:rPr>
        <w:t>889273 ONTARIO INC.</w:t>
      </w:r>
    </w:p>
    <w:p>
      <w:pPr>
        <w:ind w:left="5060"/>
        <w:spacing w:after="0" w:line="231" w:lineRule="auto"/>
        <w:rPr>
          <w:sz w:val="20"/>
          <w:szCs w:val="20"/>
          <w:color w:val="auto"/>
        </w:rPr>
      </w:pPr>
      <w:r>
        <w:rPr>
          <w:rFonts w:ascii="Arial" w:cs="Arial" w:eastAsia="Arial" w:hAnsi="Arial"/>
          <w:sz w:val="22"/>
          <w:szCs w:val="22"/>
          <w:color w:val="auto"/>
        </w:rPr>
        <w:t>CROWN CANADIAN HOLDINGS ULC</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METAL PACKAGING CANADA INC.</w:t>
      </w:r>
    </w:p>
    <w:p>
      <w:pPr>
        <w:spacing w:after="0" w:line="29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5520" w:type="dxa"/>
        <w:tblCellMar>
          <w:top w:w="0" w:type="dxa"/>
          <w:left w:w="0" w:type="dxa"/>
          <w:bottom w:w="0" w:type="dxa"/>
          <w:right w:w="0" w:type="dxa"/>
        </w:tblCellMar>
      </w:tblPr>
      <w:tr>
        <w:trPr>
          <w:trHeight w:val="229"/>
        </w:trPr>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rPr>
                <w:sz w:val="20"/>
                <w:szCs w:val="20"/>
                <w:color w:val="auto"/>
              </w:rPr>
            </w:pPr>
            <w:r>
              <w:rPr>
                <w:rFonts w:ascii="Arial" w:cs="Arial" w:eastAsia="Arial" w:hAnsi="Arial"/>
                <w:sz w:val="22"/>
                <w:szCs w:val="22"/>
                <w:color w:val="auto"/>
              </w:rPr>
              <w:t>Vice President &amp; Treasurer</w:t>
            </w:r>
          </w:p>
        </w:tc>
      </w:tr>
    </w:tbl>
    <w:p>
      <w:pPr>
        <w:spacing w:after="0" w:line="185"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SIGNODE PACKAGING GROUP CANADA ULC</w:t>
      </w:r>
    </w:p>
    <w:p>
      <w:pPr>
        <w:spacing w:after="0" w:line="31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Jon Fowkes</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Jon Fowkes</w:t>
            </w:r>
          </w:p>
        </w:tc>
      </w:tr>
      <w:tr>
        <w:trPr>
          <w:trHeight w:val="275"/>
        </w:trPr>
        <w:tc>
          <w:tcPr>
            <w:tcW w:w="228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40" w:type="dxa"/>
            <w:vAlign w:val="bottom"/>
          </w:tcPr>
          <w:p>
            <w:pPr>
              <w:ind w:left="400"/>
              <w:spacing w:after="0"/>
              <w:rPr>
                <w:sz w:val="20"/>
                <w:szCs w:val="20"/>
                <w:color w:val="auto"/>
              </w:rPr>
            </w:pPr>
            <w:r>
              <w:rPr>
                <w:rFonts w:ascii="Arial" w:cs="Arial" w:eastAsia="Arial" w:hAnsi="Arial"/>
                <w:sz w:val="22"/>
                <w:szCs w:val="22"/>
                <w:color w:val="auto"/>
              </w:rPr>
              <w:t>President</w:t>
            </w:r>
          </w:p>
        </w:tc>
      </w:tr>
      <w:tr>
        <w:trPr>
          <w:trHeight w:val="392"/>
        </w:trPr>
        <w:tc>
          <w:tcPr>
            <w:tcW w:w="336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4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CROWN METAL PACKAGING CANADA LP</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-17780</wp:posOffset>
            </wp:positionV>
            <wp:extent cx="29616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61640" cy="8890"/>
                    </a:xfrm>
                    <a:prstGeom prst="rect">
                      <a:avLst/>
                    </a:prstGeom>
                    <a:noFill/>
                  </pic:spPr>
                </pic:pic>
              </a:graphicData>
            </a:graphic>
          </wp:anchor>
        </w:drawing>
      </w:r>
    </w:p>
    <w:p>
      <w:pPr>
        <w:ind w:left="5020"/>
        <w:spacing w:after="0" w:line="238" w:lineRule="auto"/>
        <w:tabs>
          <w:tab w:leader="none" w:pos="64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Kevin C. Clothier</w:t>
      </w:r>
    </w:p>
    <w:p>
      <w:pPr>
        <w:ind w:left="5000"/>
        <w:spacing w:after="0"/>
        <w:tabs>
          <w:tab w:leader="none" w:pos="64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 &amp; Treasurer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019"/>
          </w:cols>
          <w:pgMar w:left="1440" w:top="415" w:right="1440" w:bottom="1440" w:gutter="0" w:footer="0" w:header="0"/>
        </w:sectPr>
      </w:pPr>
    </w:p>
    <w:bookmarkStart w:id="115" w:name="page116"/>
    <w:bookmarkEnd w:id="115"/>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BEVCAN FRANCE SAS</w:t>
      </w:r>
    </w:p>
    <w:p>
      <w:pPr>
        <w:ind w:left="4520"/>
        <w:spacing w:after="0" w:line="238" w:lineRule="auto"/>
        <w:rPr>
          <w:sz w:val="20"/>
          <w:szCs w:val="20"/>
          <w:color w:val="auto"/>
        </w:rPr>
      </w:pPr>
      <w:r>
        <w:rPr>
          <w:rFonts w:ascii="Arial" w:cs="Arial" w:eastAsia="Arial" w:hAnsi="Arial"/>
          <w:sz w:val="22"/>
          <w:szCs w:val="22"/>
          <w:color w:val="auto"/>
        </w:rPr>
        <w:t>CROWN EMBALLAGE FRANCE SA</w:t>
      </w:r>
    </w:p>
    <w:p>
      <w:pPr>
        <w:ind w:left="4520"/>
        <w:spacing w:after="0"/>
        <w:rPr>
          <w:sz w:val="20"/>
          <w:szCs w:val="20"/>
          <w:color w:val="auto"/>
        </w:rPr>
      </w:pPr>
      <w:r>
        <w:rPr>
          <w:rFonts w:ascii="Arial" w:cs="Arial" w:eastAsia="Arial" w:hAnsi="Arial"/>
          <w:sz w:val="22"/>
          <w:szCs w:val="22"/>
          <w:color w:val="auto"/>
        </w:rPr>
        <w:t>CROWN EUROPE SAS</w:t>
      </w:r>
    </w:p>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Didier Callet</w:t>
      </w:r>
    </w:p>
    <w:p>
      <w:pPr>
        <w:spacing w:after="0" w:line="12" w:lineRule="exact"/>
        <w:rPr>
          <w:sz w:val="20"/>
          <w:szCs w:val="20"/>
          <w:color w:val="auto"/>
        </w:rPr>
      </w:pPr>
    </w:p>
    <w:tbl>
      <w:tblPr>
        <w:tblLayout w:type="fixed"/>
        <w:tblInd w:w="490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408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Didier Callet</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4080" w:type="dxa"/>
            <w:vAlign w:val="bottom"/>
          </w:tcPr>
          <w:p>
            <w:pPr>
              <w:ind w:left="400"/>
              <w:spacing w:after="0"/>
              <w:rPr>
                <w:sz w:val="20"/>
                <w:szCs w:val="20"/>
                <w:color w:val="auto"/>
              </w:rPr>
            </w:pPr>
            <w:r>
              <w:rPr>
                <w:rFonts w:ascii="Arial" w:cs="Arial" w:eastAsia="Arial" w:hAnsi="Arial"/>
                <w:sz w:val="22"/>
                <w:szCs w:val="22"/>
                <w:color w:val="auto"/>
              </w:rPr>
              <w:t>Président</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DÉVELOPPEMENT</w:t>
      </w:r>
    </w:p>
    <w:p>
      <w:pPr>
        <w:ind w:left="4520"/>
        <w:spacing w:after="0" w:line="238" w:lineRule="auto"/>
        <w:rPr>
          <w:sz w:val="20"/>
          <w:szCs w:val="20"/>
          <w:color w:val="auto"/>
        </w:rPr>
      </w:pPr>
      <w:r>
        <w:rPr>
          <w:rFonts w:ascii="Arial" w:cs="Arial" w:eastAsia="Arial" w:hAnsi="Arial"/>
          <w:sz w:val="22"/>
          <w:szCs w:val="22"/>
          <w:color w:val="auto"/>
        </w:rPr>
        <w:t>SOCIETE DE PARTICIPATIONS</w:t>
      </w:r>
    </w:p>
    <w:p>
      <w:pPr>
        <w:ind w:left="4520"/>
        <w:spacing w:after="0"/>
        <w:rPr>
          <w:sz w:val="20"/>
          <w:szCs w:val="20"/>
          <w:color w:val="auto"/>
        </w:rPr>
      </w:pPr>
      <w:r>
        <w:rPr>
          <w:rFonts w:ascii="Arial" w:cs="Arial" w:eastAsia="Arial" w:hAnsi="Arial"/>
          <w:sz w:val="22"/>
          <w:szCs w:val="22"/>
          <w:color w:val="auto"/>
        </w:rPr>
        <w:t>CARNAUDMETALBOX</w:t>
      </w:r>
    </w:p>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Paul Browett</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66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280"/>
              <w:spacing w:after="0" w:line="228" w:lineRule="exact"/>
              <w:rPr>
                <w:sz w:val="20"/>
                <w:szCs w:val="20"/>
                <w:color w:val="auto"/>
              </w:rPr>
            </w:pPr>
            <w:r>
              <w:rPr>
                <w:rFonts w:ascii="Arial" w:cs="Arial" w:eastAsia="Arial" w:hAnsi="Arial"/>
                <w:sz w:val="22"/>
                <w:szCs w:val="22"/>
                <w:color w:val="auto"/>
              </w:rPr>
              <w:t>Paul Browett</w:t>
            </w:r>
          </w:p>
        </w:tc>
      </w:tr>
      <w:tr>
        <w:trPr>
          <w:trHeight w:val="275"/>
        </w:trPr>
        <w:tc>
          <w:tcPr>
            <w:tcW w:w="166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280"/>
              <w:spacing w:after="0"/>
              <w:rPr>
                <w:sz w:val="20"/>
                <w:szCs w:val="20"/>
                <w:color w:val="auto"/>
              </w:rPr>
            </w:pPr>
            <w:r>
              <w:rPr>
                <w:rFonts w:ascii="Arial" w:cs="Arial" w:eastAsia="Arial" w:hAnsi="Arial"/>
                <w:sz w:val="22"/>
                <w:szCs w:val="22"/>
                <w:color w:val="auto"/>
              </w:rPr>
              <w:t>Président</w:t>
            </w:r>
          </w:p>
        </w:tc>
      </w:tr>
      <w:tr>
        <w:trPr>
          <w:trHeight w:val="392"/>
        </w:trPr>
        <w:tc>
          <w:tcPr>
            <w:tcW w:w="2840" w:type="dxa"/>
            <w:vAlign w:val="bottom"/>
            <w:gridSpan w:val="2"/>
          </w:tcPr>
          <w:p>
            <w:pPr>
              <w:spacing w:after="0"/>
              <w:rPr>
                <w:sz w:val="20"/>
                <w:szCs w:val="20"/>
                <w:color w:val="auto"/>
              </w:rPr>
            </w:pPr>
            <w:r>
              <w:rPr>
                <w:rFonts w:ascii="Arial" w:cs="Arial" w:eastAsia="Arial" w:hAnsi="Arial"/>
                <w:sz w:val="22"/>
                <w:szCs w:val="22"/>
                <w:color w:val="auto"/>
                <w:w w:val="98"/>
              </w:rPr>
              <w:t>[Signature Page to Indenture]</w:t>
            </w:r>
          </w:p>
        </w:tc>
        <w:tc>
          <w:tcPr>
            <w:tcW w:w="396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6" w:name="page117"/>
    <w:bookmarkEnd w:id="116"/>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GUNTER SAS</w:t>
      </w: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66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2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166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280"/>
              <w:spacing w:after="0"/>
              <w:rPr>
                <w:sz w:val="20"/>
                <w:szCs w:val="20"/>
                <w:color w:val="auto"/>
              </w:rPr>
            </w:pPr>
            <w:r>
              <w:rPr>
                <w:rFonts w:ascii="Arial" w:cs="Arial" w:eastAsia="Arial" w:hAnsi="Arial"/>
                <w:sz w:val="22"/>
                <w:szCs w:val="22"/>
                <w:color w:val="auto"/>
              </w:rPr>
              <w:t>Gérant de law Société</w:t>
            </w:r>
          </w:p>
        </w:tc>
      </w:tr>
      <w:tr>
        <w:trPr>
          <w:trHeight w:val="392"/>
        </w:trPr>
        <w:tc>
          <w:tcPr>
            <w:tcW w:w="2840" w:type="dxa"/>
            <w:vAlign w:val="bottom"/>
            <w:gridSpan w:val="2"/>
          </w:tcPr>
          <w:p>
            <w:pPr>
              <w:spacing w:after="0"/>
              <w:rPr>
                <w:sz w:val="20"/>
                <w:szCs w:val="20"/>
                <w:color w:val="auto"/>
              </w:rPr>
            </w:pPr>
            <w:r>
              <w:rPr>
                <w:rFonts w:ascii="Arial" w:cs="Arial" w:eastAsia="Arial" w:hAnsi="Arial"/>
                <w:sz w:val="22"/>
                <w:szCs w:val="22"/>
                <w:color w:val="auto"/>
                <w:w w:val="98"/>
              </w:rPr>
              <w:t>[Signature Page to Indenture]</w:t>
            </w:r>
          </w:p>
        </w:tc>
        <w:tc>
          <w:tcPr>
            <w:tcW w:w="396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7" w:name="page118"/>
    <w:bookmarkEnd w:id="117"/>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LITEC FRANCE SAS</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Nils Stenger</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9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4040" w:type="dxa"/>
            <w:vAlign w:val="bottom"/>
            <w:tcBorders>
              <w:top w:val="single" w:sz="8" w:color="auto"/>
            </w:tcBorders>
          </w:tcPr>
          <w:p>
            <w:pPr>
              <w:ind w:left="2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60" w:type="dxa"/>
            <w:vAlign w:val="bottom"/>
          </w:tcPr>
          <w:p>
            <w:pPr>
              <w:ind w:left="100"/>
              <w:spacing w:after="0"/>
              <w:rPr>
                <w:sz w:val="20"/>
                <w:szCs w:val="20"/>
                <w:color w:val="auto"/>
              </w:rPr>
            </w:pPr>
            <w:r>
              <w:rPr>
                <w:rFonts w:ascii="Arial" w:cs="Arial" w:eastAsia="Arial" w:hAnsi="Arial"/>
                <w:sz w:val="22"/>
                <w:szCs w:val="22"/>
                <w:color w:val="auto"/>
              </w:rPr>
              <w:t>Title:</w:t>
            </w:r>
          </w:p>
        </w:tc>
        <w:tc>
          <w:tcPr>
            <w:tcW w:w="4040" w:type="dxa"/>
            <w:vAlign w:val="bottom"/>
          </w:tcPr>
          <w:p>
            <w:pPr>
              <w:ind w:left="28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MIMA PACKAGING SYSTEMS SAS</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Nils Stenger</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9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4040" w:type="dxa"/>
            <w:vAlign w:val="bottom"/>
            <w:tcBorders>
              <w:top w:val="single" w:sz="8" w:color="auto"/>
            </w:tcBorders>
          </w:tcPr>
          <w:p>
            <w:pPr>
              <w:ind w:left="2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60" w:type="dxa"/>
            <w:vAlign w:val="bottom"/>
          </w:tcPr>
          <w:p>
            <w:pPr>
              <w:ind w:left="100"/>
              <w:spacing w:after="0"/>
              <w:rPr>
                <w:sz w:val="20"/>
                <w:szCs w:val="20"/>
                <w:color w:val="auto"/>
              </w:rPr>
            </w:pPr>
            <w:r>
              <w:rPr>
                <w:rFonts w:ascii="Arial" w:cs="Arial" w:eastAsia="Arial" w:hAnsi="Arial"/>
                <w:sz w:val="22"/>
                <w:szCs w:val="22"/>
                <w:color w:val="auto"/>
              </w:rPr>
              <w:t>Title:</w:t>
            </w:r>
          </w:p>
        </w:tc>
        <w:tc>
          <w:tcPr>
            <w:tcW w:w="4040" w:type="dxa"/>
            <w:vAlign w:val="bottom"/>
          </w:tcPr>
          <w:p>
            <w:pPr>
              <w:ind w:left="28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NORDIC SAS</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Nils Stenger</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9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4040" w:type="dxa"/>
            <w:vAlign w:val="bottom"/>
            <w:tcBorders>
              <w:top w:val="single" w:sz="8" w:color="auto"/>
            </w:tcBorders>
          </w:tcPr>
          <w:p>
            <w:pPr>
              <w:ind w:left="2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60" w:type="dxa"/>
            <w:vAlign w:val="bottom"/>
          </w:tcPr>
          <w:p>
            <w:pPr>
              <w:ind w:left="100"/>
              <w:spacing w:after="0"/>
              <w:rPr>
                <w:sz w:val="20"/>
                <w:szCs w:val="20"/>
                <w:color w:val="auto"/>
              </w:rPr>
            </w:pPr>
            <w:r>
              <w:rPr>
                <w:rFonts w:ascii="Arial" w:cs="Arial" w:eastAsia="Arial" w:hAnsi="Arial"/>
                <w:sz w:val="22"/>
                <w:szCs w:val="22"/>
                <w:color w:val="auto"/>
              </w:rPr>
              <w:t>Title:</w:t>
            </w:r>
          </w:p>
        </w:tc>
        <w:tc>
          <w:tcPr>
            <w:tcW w:w="4040" w:type="dxa"/>
            <w:vAlign w:val="bottom"/>
          </w:tcPr>
          <w:p>
            <w:pPr>
              <w:ind w:left="28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SOCIETE CIVILE IMMOBILIERE DES BACQUETS</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Nils Stenger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0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4000" w:type="dxa"/>
            <w:vAlign w:val="bottom"/>
            <w:tcBorders>
              <w:top w:val="single" w:sz="8" w:color="auto"/>
            </w:tcBorders>
          </w:tcPr>
          <w:p>
            <w:pPr>
              <w:ind w:left="24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18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Arial" w:cs="Arial" w:eastAsia="Arial" w:hAnsi="Arial"/>
                <w:sz w:val="22"/>
                <w:szCs w:val="22"/>
                <w:color w:val="auto"/>
              </w:rPr>
              <w:t>Title:</w:t>
            </w:r>
          </w:p>
        </w:tc>
        <w:tc>
          <w:tcPr>
            <w:tcW w:w="4000" w:type="dxa"/>
            <w:vAlign w:val="bottom"/>
          </w:tcPr>
          <w:p>
            <w:pPr>
              <w:ind w:left="240"/>
              <w:spacing w:after="0"/>
              <w:rPr>
                <w:sz w:val="20"/>
                <w:szCs w:val="20"/>
                <w:color w:val="auto"/>
              </w:rPr>
            </w:pPr>
            <w:r>
              <w:rPr>
                <w:rFonts w:ascii="Arial" w:cs="Arial" w:eastAsia="Arial" w:hAnsi="Arial"/>
                <w:sz w:val="22"/>
                <w:szCs w:val="22"/>
                <w:color w:val="auto"/>
              </w:rPr>
              <w:t>Director</w:t>
            </w:r>
          </w:p>
        </w:tc>
      </w:tr>
      <w:tr>
        <w:trPr>
          <w:trHeight w:val="392"/>
        </w:trPr>
        <w:tc>
          <w:tcPr>
            <w:tcW w:w="2800" w:type="dxa"/>
            <w:vAlign w:val="bottom"/>
            <w:gridSpan w:val="2"/>
          </w:tcPr>
          <w:p>
            <w:pPr>
              <w:spacing w:after="0"/>
              <w:rPr>
                <w:sz w:val="20"/>
                <w:szCs w:val="20"/>
                <w:color w:val="auto"/>
              </w:rPr>
            </w:pPr>
            <w:r>
              <w:rPr>
                <w:rFonts w:ascii="Arial" w:cs="Arial" w:eastAsia="Arial" w:hAnsi="Arial"/>
                <w:sz w:val="22"/>
                <w:szCs w:val="22"/>
                <w:color w:val="auto"/>
                <w:w w:val="96"/>
              </w:rPr>
              <w:t>[Signature Page to Indenture]</w:t>
            </w:r>
          </w:p>
        </w:tc>
        <w:tc>
          <w:tcPr>
            <w:tcW w:w="400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8" w:name="page119"/>
    <w:bookmarkEnd w:id="118"/>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w:t>
      </w:r>
    </w:p>
    <w:p>
      <w:pPr>
        <w:spacing w:after="0" w:line="233" w:lineRule="exact"/>
        <w:rPr>
          <w:sz w:val="20"/>
          <w:szCs w:val="20"/>
          <w:color w:val="auto"/>
        </w:rPr>
      </w:pPr>
    </w:p>
    <w:p>
      <w:pPr>
        <w:jc w:val="right"/>
        <w:ind w:right="160"/>
        <w:spacing w:after="0"/>
        <w:rPr>
          <w:sz w:val="20"/>
          <w:szCs w:val="20"/>
          <w:color w:val="auto"/>
        </w:rPr>
      </w:pPr>
      <w:r>
        <w:rPr>
          <w:rFonts w:ascii="Arial" w:cs="Arial" w:eastAsia="Arial" w:hAnsi="Arial"/>
          <w:sz w:val="22"/>
          <w:szCs w:val="22"/>
          <w:color w:val="auto"/>
        </w:rPr>
        <w:t>SOCIÉTÉ CIVILE IMMOBILIÉRE ROUSSEAU-IVRY</w:t>
      </w: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5420" w:type="dxa"/>
        <w:tblCellMar>
          <w:top w:w="0" w:type="dxa"/>
          <w:left w:w="0" w:type="dxa"/>
          <w:bottom w:w="0" w:type="dxa"/>
          <w:right w:w="0" w:type="dxa"/>
        </w:tblCellMar>
      </w:tblPr>
      <w:tr>
        <w:trPr>
          <w:trHeight w:val="229"/>
        </w:trPr>
        <w:tc>
          <w:tcPr>
            <w:tcW w:w="9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70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20" w:type="dxa"/>
            <w:vAlign w:val="bottom"/>
          </w:tcPr>
          <w:p>
            <w:pPr>
              <w:ind w:left="100"/>
              <w:spacing w:after="0"/>
              <w:rPr>
                <w:sz w:val="20"/>
                <w:szCs w:val="20"/>
                <w:color w:val="auto"/>
              </w:rPr>
            </w:pPr>
            <w:r>
              <w:rPr>
                <w:rFonts w:ascii="Arial" w:cs="Arial" w:eastAsia="Arial" w:hAnsi="Arial"/>
                <w:sz w:val="22"/>
                <w:szCs w:val="22"/>
                <w:color w:val="auto"/>
              </w:rPr>
              <w:t>Title:</w:t>
            </w:r>
          </w:p>
        </w:tc>
        <w:tc>
          <w:tcPr>
            <w:tcW w:w="3700" w:type="dxa"/>
            <w:vAlign w:val="bottom"/>
          </w:tcPr>
          <w:p>
            <w:pPr>
              <w:ind w:left="26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SCYBELE SAS</w:t>
      </w: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5420" w:type="dxa"/>
        <w:tblCellMar>
          <w:top w:w="0" w:type="dxa"/>
          <w:left w:w="0" w:type="dxa"/>
          <w:bottom w:w="0" w:type="dxa"/>
          <w:right w:w="0" w:type="dxa"/>
        </w:tblCellMar>
      </w:tblPr>
      <w:tr>
        <w:trPr>
          <w:trHeight w:val="229"/>
        </w:trPr>
        <w:tc>
          <w:tcPr>
            <w:tcW w:w="9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70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20" w:type="dxa"/>
            <w:vAlign w:val="bottom"/>
          </w:tcPr>
          <w:p>
            <w:pPr>
              <w:ind w:left="100"/>
              <w:spacing w:after="0"/>
              <w:rPr>
                <w:sz w:val="20"/>
                <w:szCs w:val="20"/>
                <w:color w:val="auto"/>
              </w:rPr>
            </w:pPr>
            <w:r>
              <w:rPr>
                <w:rFonts w:ascii="Arial" w:cs="Arial" w:eastAsia="Arial" w:hAnsi="Arial"/>
                <w:sz w:val="22"/>
                <w:szCs w:val="22"/>
                <w:color w:val="auto"/>
              </w:rPr>
              <w:t>Title:</w:t>
            </w:r>
          </w:p>
        </w:tc>
        <w:tc>
          <w:tcPr>
            <w:tcW w:w="3700" w:type="dxa"/>
            <w:vAlign w:val="bottom"/>
          </w:tcPr>
          <w:p>
            <w:pPr>
              <w:ind w:left="26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SPG FRANCE HOLDINGS SAS</w:t>
      </w: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5420" w:type="dxa"/>
        <w:tblCellMar>
          <w:top w:w="0" w:type="dxa"/>
          <w:left w:w="0" w:type="dxa"/>
          <w:bottom w:w="0" w:type="dxa"/>
          <w:right w:w="0" w:type="dxa"/>
        </w:tblCellMar>
      </w:tblPr>
      <w:tr>
        <w:trPr>
          <w:trHeight w:val="229"/>
        </w:trPr>
        <w:tc>
          <w:tcPr>
            <w:tcW w:w="9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70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920" w:type="dxa"/>
            <w:vAlign w:val="bottom"/>
          </w:tcPr>
          <w:p>
            <w:pPr>
              <w:ind w:left="100"/>
              <w:spacing w:after="0"/>
              <w:rPr>
                <w:sz w:val="20"/>
                <w:szCs w:val="20"/>
                <w:color w:val="auto"/>
              </w:rPr>
            </w:pPr>
            <w:r>
              <w:rPr>
                <w:rFonts w:ascii="Arial" w:cs="Arial" w:eastAsia="Arial" w:hAnsi="Arial"/>
                <w:sz w:val="22"/>
                <w:szCs w:val="22"/>
                <w:color w:val="auto"/>
              </w:rPr>
              <w:t>Title:</w:t>
            </w:r>
          </w:p>
        </w:tc>
        <w:tc>
          <w:tcPr>
            <w:tcW w:w="3700" w:type="dxa"/>
            <w:vAlign w:val="bottom"/>
          </w:tcPr>
          <w:p>
            <w:pPr>
              <w:ind w:left="26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STRAPEX SAS</w:t>
      </w: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180" w:type="dxa"/>
            <w:vAlign w:val="bottom"/>
          </w:tcPr>
          <w:p>
            <w:pPr>
              <w:spacing w:after="0"/>
              <w:rPr>
                <w:sz w:val="19"/>
                <w:szCs w:val="19"/>
                <w:color w:val="auto"/>
              </w:rPr>
            </w:pPr>
          </w:p>
        </w:tc>
        <w:tc>
          <w:tcPr>
            <w:tcW w:w="9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70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2180" w:type="dxa"/>
            <w:vAlign w:val="bottom"/>
          </w:tcPr>
          <w:p>
            <w:pPr>
              <w:spacing w:after="0"/>
              <w:rPr>
                <w:sz w:val="23"/>
                <w:szCs w:val="23"/>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Title:</w:t>
            </w:r>
          </w:p>
        </w:tc>
        <w:tc>
          <w:tcPr>
            <w:tcW w:w="3700" w:type="dxa"/>
            <w:vAlign w:val="bottom"/>
          </w:tcPr>
          <w:p>
            <w:pPr>
              <w:ind w:left="260"/>
              <w:spacing w:after="0"/>
              <w:rPr>
                <w:sz w:val="20"/>
                <w:szCs w:val="20"/>
                <w:color w:val="auto"/>
              </w:rPr>
            </w:pPr>
            <w:r>
              <w:rPr>
                <w:rFonts w:ascii="Arial" w:cs="Arial" w:eastAsia="Arial" w:hAnsi="Arial"/>
                <w:sz w:val="22"/>
                <w:szCs w:val="22"/>
                <w:color w:val="auto"/>
              </w:rPr>
              <w:t>Director</w:t>
            </w:r>
          </w:p>
        </w:tc>
      </w:tr>
      <w:tr>
        <w:trPr>
          <w:trHeight w:val="392"/>
        </w:trPr>
        <w:tc>
          <w:tcPr>
            <w:tcW w:w="31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70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19" w:name="page120"/>
    <w:bookmarkEnd w:id="119"/>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-109-</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FOODCAN GERMANY GMBH</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FOODCAN GMBH</w:t>
      </w:r>
    </w:p>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Beardsley</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John Beardsley</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COMMERCIAL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VERMÖGENSVERWALTUNG GMBH</w:t>
      </w:r>
    </w:p>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Rolf Willke</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Rolf Willke</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COMMERCIAL GERMANY GMBH &amp; CO. KG</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Rolf Willke</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Rolf Willke</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CORK &amp; SEAL DEUTSCHLAND HOLDINGS</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GMBH</w:t>
      </w:r>
    </w:p>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Rolf Willke</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1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00" w:type="dxa"/>
            <w:vAlign w:val="bottom"/>
            <w:tcBorders>
              <w:top w:val="single" w:sz="8" w:color="auto"/>
            </w:tcBorders>
          </w:tcPr>
          <w:p>
            <w:pPr>
              <w:ind w:left="360"/>
              <w:spacing w:after="0" w:line="228" w:lineRule="exact"/>
              <w:rPr>
                <w:sz w:val="20"/>
                <w:szCs w:val="20"/>
                <w:color w:val="auto"/>
              </w:rPr>
            </w:pPr>
            <w:r>
              <w:rPr>
                <w:rFonts w:ascii="Arial" w:cs="Arial" w:eastAsia="Arial" w:hAnsi="Arial"/>
                <w:sz w:val="22"/>
                <w:szCs w:val="22"/>
                <w:color w:val="auto"/>
              </w:rPr>
              <w:t>Rolf Willke</w:t>
            </w:r>
          </w:p>
        </w:tc>
      </w:tr>
      <w:tr>
        <w:trPr>
          <w:trHeight w:val="275"/>
        </w:trPr>
        <w:tc>
          <w:tcPr>
            <w:tcW w:w="1800" w:type="dxa"/>
            <w:vAlign w:val="bottom"/>
          </w:tcPr>
          <w:p>
            <w:pPr>
              <w:spacing w:after="0"/>
              <w:rPr>
                <w:sz w:val="23"/>
                <w:szCs w:val="23"/>
                <w:color w:val="auto"/>
              </w:rPr>
            </w:pPr>
          </w:p>
        </w:tc>
        <w:tc>
          <w:tcPr>
            <w:tcW w:w="1100" w:type="dxa"/>
            <w:vAlign w:val="bottom"/>
          </w:tcPr>
          <w:p>
            <w:pPr>
              <w:ind w:left="100"/>
              <w:spacing w:after="0"/>
              <w:rPr>
                <w:sz w:val="20"/>
                <w:szCs w:val="20"/>
                <w:color w:val="auto"/>
              </w:rPr>
            </w:pPr>
            <w:r>
              <w:rPr>
                <w:rFonts w:ascii="Arial" w:cs="Arial" w:eastAsia="Arial" w:hAnsi="Arial"/>
                <w:sz w:val="22"/>
                <w:szCs w:val="22"/>
                <w:color w:val="auto"/>
              </w:rPr>
              <w:t>Title:</w:t>
            </w:r>
          </w:p>
        </w:tc>
        <w:tc>
          <w:tcPr>
            <w:tcW w:w="3900" w:type="dxa"/>
            <w:vAlign w:val="bottom"/>
          </w:tcPr>
          <w:p>
            <w:pPr>
              <w:ind w:left="340"/>
              <w:spacing w:after="0"/>
              <w:rPr>
                <w:sz w:val="20"/>
                <w:szCs w:val="20"/>
                <w:color w:val="auto"/>
              </w:rPr>
            </w:pPr>
            <w:r>
              <w:rPr>
                <w:rFonts w:ascii="Arial" w:cs="Arial" w:eastAsia="Arial" w:hAnsi="Arial"/>
                <w:sz w:val="22"/>
                <w:szCs w:val="22"/>
                <w:color w:val="auto"/>
              </w:rPr>
              <w:t>Authorized Representative</w:t>
            </w:r>
          </w:p>
        </w:tc>
      </w:tr>
      <w:tr>
        <w:trPr>
          <w:trHeight w:val="392"/>
        </w:trPr>
        <w:tc>
          <w:tcPr>
            <w:tcW w:w="29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90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20" w:name="page121"/>
    <w:bookmarkEnd w:id="120"/>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SPG PACKAGING SYSTEMS GMBH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Ellen Fleischmann</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4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20"/>
              <w:spacing w:after="0" w:line="228" w:lineRule="exact"/>
              <w:rPr>
                <w:sz w:val="20"/>
                <w:szCs w:val="20"/>
                <w:color w:val="auto"/>
              </w:rPr>
            </w:pPr>
            <w:r>
              <w:rPr>
                <w:rFonts w:ascii="Arial" w:cs="Arial" w:eastAsia="Arial" w:hAnsi="Arial"/>
                <w:sz w:val="22"/>
                <w:szCs w:val="22"/>
                <w:color w:val="auto"/>
              </w:rPr>
              <w:t>Ellen Fleischmann</w:t>
            </w:r>
          </w:p>
        </w:tc>
      </w:tr>
      <w:tr>
        <w:trPr>
          <w:trHeight w:val="275"/>
        </w:trPr>
        <w:tc>
          <w:tcPr>
            <w:tcW w:w="104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20"/>
              <w:spacing w:after="0"/>
              <w:rPr>
                <w:sz w:val="20"/>
                <w:szCs w:val="20"/>
                <w:color w:val="auto"/>
              </w:rPr>
            </w:pPr>
            <w:r>
              <w:rPr>
                <w:rFonts w:ascii="Arial" w:cs="Arial" w:eastAsia="Arial" w:hAnsi="Arial"/>
                <w:sz w:val="22"/>
                <w:szCs w:val="22"/>
                <w:color w:val="auto"/>
              </w:rPr>
              <w:t>Business Unit Manager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KIWIPLAN GMBH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Steven Whillis</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4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20"/>
              <w:spacing w:after="0" w:line="228" w:lineRule="exact"/>
              <w:rPr>
                <w:sz w:val="20"/>
                <w:szCs w:val="20"/>
                <w:color w:val="auto"/>
              </w:rPr>
            </w:pPr>
            <w:r>
              <w:rPr>
                <w:rFonts w:ascii="Arial" w:cs="Arial" w:eastAsia="Arial" w:hAnsi="Arial"/>
                <w:sz w:val="22"/>
                <w:szCs w:val="22"/>
                <w:color w:val="auto"/>
              </w:rPr>
              <w:t>Steven Whillis</w:t>
            </w:r>
          </w:p>
        </w:tc>
      </w:tr>
      <w:tr>
        <w:trPr>
          <w:trHeight w:val="275"/>
        </w:trPr>
        <w:tc>
          <w:tcPr>
            <w:tcW w:w="104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20"/>
              <w:spacing w:after="0"/>
              <w:rPr>
                <w:sz w:val="20"/>
                <w:szCs w:val="20"/>
                <w:color w:val="auto"/>
              </w:rPr>
            </w:pPr>
            <w:r>
              <w:rPr>
                <w:rFonts w:ascii="Arial" w:cs="Arial" w:eastAsia="Arial" w:hAnsi="Arial"/>
                <w:sz w:val="22"/>
                <w:szCs w:val="22"/>
                <w:color w:val="auto"/>
              </w:rPr>
              <w:t>Business Unite Manager - EMEA</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MEZGER HEFTSYSTEME GMBH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Ellen Fleischmann</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Ellen Fleischmann</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Business Unit Manager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SIGNODE PACKAGING EQUIPMENT GERMANY</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GMBH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gridSpan w:val="3"/>
          </w:tcPr>
          <w:p>
            <w:pPr>
              <w:ind w:left="100"/>
              <w:spacing w:after="0"/>
              <w:rPr>
                <w:sz w:val="20"/>
                <w:szCs w:val="20"/>
                <w:color w:val="auto"/>
              </w:rPr>
            </w:pPr>
            <w:r>
              <w:rPr>
                <w:rFonts w:ascii="Arial" w:cs="Arial" w:eastAsia="Arial" w:hAnsi="Arial"/>
                <w:sz w:val="22"/>
                <w:szCs w:val="22"/>
                <w:color w:val="auto"/>
              </w:rPr>
              <w:t>/s/ Gynter Lorenzen</w:t>
            </w: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Gynter Lorenzen</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GESCHÄFTSFÜHRER</w:t>
            </w:r>
          </w:p>
        </w:tc>
      </w:tr>
      <w:tr>
        <w:trPr>
          <w:trHeight w:val="675"/>
        </w:trPr>
        <w:tc>
          <w:tcPr>
            <w:tcW w:w="5520" w:type="dxa"/>
            <w:vAlign w:val="bottom"/>
            <w:gridSpan w:val="4"/>
          </w:tcPr>
          <w:p>
            <w:pPr>
              <w:spacing w:after="0"/>
              <w:rPr>
                <w:sz w:val="20"/>
                <w:szCs w:val="20"/>
                <w:color w:val="auto"/>
              </w:rPr>
            </w:pPr>
            <w:r>
              <w:rPr>
                <w:rFonts w:ascii="Arial" w:cs="Arial" w:eastAsia="Arial" w:hAnsi="Arial"/>
                <w:sz w:val="22"/>
                <w:szCs w:val="22"/>
                <w:color w:val="auto"/>
              </w:rPr>
              <w:t>SIGNODE SYSTEM GMBH</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gridSpan w:val="3"/>
          </w:tcPr>
          <w:p>
            <w:pPr>
              <w:ind w:left="100"/>
              <w:spacing w:after="0"/>
              <w:rPr>
                <w:sz w:val="20"/>
                <w:szCs w:val="20"/>
                <w:color w:val="auto"/>
              </w:rPr>
            </w:pPr>
            <w:r>
              <w:rPr>
                <w:rFonts w:ascii="Arial" w:cs="Arial" w:eastAsia="Arial" w:hAnsi="Arial"/>
                <w:sz w:val="22"/>
                <w:szCs w:val="22"/>
                <w:color w:val="auto"/>
              </w:rPr>
              <w:t>/s/ Oliver Schmid</w:t>
            </w: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Oliver Schmid</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GESCHÄFTSFÜHRER</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415" w:right="419" w:bottom="1440" w:gutter="0" w:footer="0" w:header="0"/>
        </w:sectPr>
      </w:pPr>
    </w:p>
    <w:bookmarkStart w:id="121" w:name="page122"/>
    <w:bookmarkEnd w:id="121"/>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SPG GERMANY SERVICE MANAGEMENT GMBH</w:t>
      </w:r>
    </w:p>
    <w:p>
      <w:pPr>
        <w:spacing w:after="0" w:line="200" w:lineRule="exact"/>
        <w:rPr>
          <w:sz w:val="20"/>
          <w:szCs w:val="20"/>
          <w:color w:val="auto"/>
        </w:rPr>
      </w:pP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5"/>
              </w:rPr>
              <w:t>/s/ Nils Stenger</w:t>
            </w:r>
          </w:p>
        </w:tc>
        <w:tc>
          <w:tcPr>
            <w:tcW w:w="3580" w:type="dxa"/>
            <w:vAlign w:val="bottom"/>
            <w:tcBorders>
              <w:bottom w:val="single" w:sz="8" w:color="auto"/>
            </w:tcBorders>
          </w:tcPr>
          <w:p>
            <w:pPr>
              <w:spacing w:after="0"/>
              <w:rPr>
                <w:sz w:val="23"/>
                <w:szCs w:val="23"/>
                <w:color w:val="auto"/>
              </w:rPr>
            </w:pPr>
          </w:p>
        </w:tc>
      </w:tr>
      <w:tr>
        <w:trPr>
          <w:trHeight w:val="229"/>
        </w:trPr>
        <w:tc>
          <w:tcPr>
            <w:tcW w:w="500" w:type="dxa"/>
            <w:vAlign w:val="bottom"/>
          </w:tcPr>
          <w:p>
            <w:pPr>
              <w:spacing w:after="0"/>
              <w:rPr>
                <w:sz w:val="19"/>
                <w:szCs w:val="19"/>
                <w:color w:val="auto"/>
              </w:rPr>
            </w:pPr>
          </w:p>
        </w:tc>
        <w:tc>
          <w:tcPr>
            <w:tcW w:w="1440" w:type="dxa"/>
            <w:vAlign w:val="bottom"/>
            <w:gridSpan w:val="2"/>
          </w:tcPr>
          <w:p>
            <w:pPr>
              <w:spacing w:after="0" w:line="228" w:lineRule="exact"/>
              <w:rPr>
                <w:sz w:val="20"/>
                <w:szCs w:val="20"/>
                <w:color w:val="auto"/>
              </w:rPr>
            </w:pPr>
            <w:r>
              <w:rPr>
                <w:rFonts w:ascii="Arial" w:cs="Arial" w:eastAsia="Arial" w:hAnsi="Arial"/>
                <w:sz w:val="22"/>
                <w:szCs w:val="22"/>
                <w:color w:val="auto"/>
              </w:rPr>
              <w:t>Name:</w:t>
            </w:r>
          </w:p>
        </w:tc>
        <w:tc>
          <w:tcPr>
            <w:tcW w:w="3580" w:type="dxa"/>
            <w:vAlign w:val="bottom"/>
          </w:tcPr>
          <w:p>
            <w:pPr>
              <w:ind w:left="4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5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GESCHÄFTSFÜHRER</w:t>
            </w:r>
          </w:p>
        </w:tc>
      </w:tr>
      <w:tr>
        <w:trPr>
          <w:trHeight w:val="675"/>
        </w:trPr>
        <w:tc>
          <w:tcPr>
            <w:tcW w:w="5520" w:type="dxa"/>
            <w:vAlign w:val="bottom"/>
            <w:gridSpan w:val="4"/>
          </w:tcPr>
          <w:p>
            <w:pPr>
              <w:spacing w:after="0"/>
              <w:rPr>
                <w:sz w:val="20"/>
                <w:szCs w:val="20"/>
                <w:color w:val="auto"/>
              </w:rPr>
            </w:pPr>
            <w:r>
              <w:rPr>
                <w:rFonts w:ascii="Arial" w:cs="Arial" w:eastAsia="Arial" w:hAnsi="Arial"/>
                <w:sz w:val="22"/>
                <w:szCs w:val="22"/>
                <w:color w:val="auto"/>
              </w:rPr>
              <w:t>SIGNODE INDUSTRIAL GROUP GMBH</w:t>
            </w:r>
          </w:p>
        </w:tc>
      </w:tr>
      <w:tr>
        <w:trPr>
          <w:trHeight w:val="6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440" w:type="dxa"/>
            <w:vAlign w:val="bottom"/>
            <w:gridSpan w:val="2"/>
          </w:tcPr>
          <w:p>
            <w:pPr>
              <w:spacing w:after="0"/>
              <w:rPr>
                <w:sz w:val="20"/>
                <w:szCs w:val="20"/>
                <w:color w:val="auto"/>
              </w:rPr>
            </w:pPr>
            <w:r>
              <w:rPr>
                <w:rFonts w:ascii="Arial" w:cs="Arial" w:eastAsia="Arial" w:hAnsi="Arial"/>
                <w:sz w:val="22"/>
                <w:szCs w:val="22"/>
                <w:color w:val="auto"/>
                <w:w w:val="87"/>
              </w:rPr>
              <w:t>/s/ John Paulsen</w:t>
            </w:r>
          </w:p>
        </w:tc>
        <w:tc>
          <w:tcPr>
            <w:tcW w:w="3580" w:type="dxa"/>
            <w:vAlign w:val="bottom"/>
          </w:tcPr>
          <w:p>
            <w:pPr>
              <w:spacing w:after="0"/>
              <w:rPr>
                <w:sz w:val="24"/>
                <w:szCs w:val="24"/>
                <w:color w:val="auto"/>
              </w:rPr>
            </w:pPr>
          </w:p>
        </w:tc>
      </w:tr>
      <w:tr>
        <w:trPr>
          <w:trHeight w:val="229"/>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580" w:type="dxa"/>
            <w:vAlign w:val="bottom"/>
            <w:tcBorders>
              <w:top w:val="single" w:sz="8" w:color="auto"/>
            </w:tcBorders>
          </w:tcPr>
          <w:p>
            <w:pPr>
              <w:ind w:left="40"/>
              <w:spacing w:after="0" w:line="228" w:lineRule="exact"/>
              <w:rPr>
                <w:sz w:val="20"/>
                <w:szCs w:val="20"/>
                <w:color w:val="auto"/>
              </w:rPr>
            </w:pPr>
            <w:r>
              <w:rPr>
                <w:rFonts w:ascii="Arial" w:cs="Arial" w:eastAsia="Arial" w:hAnsi="Arial"/>
                <w:sz w:val="22"/>
                <w:szCs w:val="22"/>
                <w:color w:val="auto"/>
              </w:rPr>
              <w:t>John Paulsen</w:t>
            </w:r>
          </w:p>
        </w:tc>
      </w:tr>
      <w:tr>
        <w:trPr>
          <w:trHeight w:val="275"/>
        </w:trPr>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GESCHÄFTSFÜHRER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SIGNODE SYSTEM PACKAGING GMBH &amp; CO KG</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Oliver Schmid</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Oliver Schmid</w:t>
            </w:r>
          </w:p>
        </w:tc>
      </w:tr>
      <w:tr>
        <w:trPr>
          <w:trHeight w:val="261"/>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GESCHÄFTSFÜHRER of the</w:t>
            </w:r>
          </w:p>
        </w:tc>
      </w:tr>
    </w:tbl>
    <w:p>
      <w:pPr>
        <w:ind w:left="5140"/>
        <w:spacing w:after="0"/>
        <w:rPr>
          <w:sz w:val="20"/>
          <w:szCs w:val="20"/>
          <w:color w:val="auto"/>
        </w:rPr>
      </w:pPr>
      <w:r>
        <w:rPr>
          <w:rFonts w:ascii="Arial" w:cs="Arial" w:eastAsia="Arial" w:hAnsi="Arial"/>
          <w:sz w:val="22"/>
          <w:szCs w:val="22"/>
          <w:color w:val="auto"/>
        </w:rPr>
        <w:t>General Partner, SIGNODE SYSTEM GMBH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SMB SCHWEDE MASCHINENBAU GMBH</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Ellen Fleischmann</w:t>
      </w:r>
    </w:p>
    <w:p>
      <w:pPr>
        <w:spacing w:after="0" w:line="12"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10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4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Ellen Fleischmann</w:t>
            </w:r>
          </w:p>
        </w:tc>
      </w:tr>
      <w:tr>
        <w:trPr>
          <w:trHeight w:val="275"/>
        </w:trPr>
        <w:tc>
          <w:tcPr>
            <w:tcW w:w="1060" w:type="dxa"/>
            <w:vAlign w:val="bottom"/>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400"/>
              <w:spacing w:after="0"/>
              <w:rPr>
                <w:sz w:val="20"/>
                <w:szCs w:val="20"/>
                <w:color w:val="auto"/>
              </w:rPr>
            </w:pPr>
            <w:r>
              <w:rPr>
                <w:rFonts w:ascii="Arial" w:cs="Arial" w:eastAsia="Arial" w:hAnsi="Arial"/>
                <w:sz w:val="22"/>
                <w:szCs w:val="22"/>
                <w:color w:val="auto"/>
              </w:rPr>
              <w:t>Business Unit Manager</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SMP SCHWEDE MASCHINENBAU WEISCHLITZ</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GMBH</w:t>
      </w:r>
    </w:p>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Ellen Fleischmann</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1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00" w:type="dxa"/>
            <w:vAlign w:val="bottom"/>
            <w:tcBorders>
              <w:top w:val="single" w:sz="8" w:color="auto"/>
            </w:tcBorders>
          </w:tcPr>
          <w:p>
            <w:pPr>
              <w:ind w:left="360"/>
              <w:spacing w:after="0" w:line="228" w:lineRule="exact"/>
              <w:rPr>
                <w:sz w:val="20"/>
                <w:szCs w:val="20"/>
                <w:color w:val="auto"/>
              </w:rPr>
            </w:pPr>
            <w:r>
              <w:rPr>
                <w:rFonts w:ascii="Arial" w:cs="Arial" w:eastAsia="Arial" w:hAnsi="Arial"/>
                <w:sz w:val="22"/>
                <w:szCs w:val="22"/>
                <w:color w:val="auto"/>
              </w:rPr>
              <w:t>Ellen Fleischmann</w:t>
            </w:r>
          </w:p>
        </w:tc>
      </w:tr>
      <w:tr>
        <w:trPr>
          <w:trHeight w:val="275"/>
        </w:trPr>
        <w:tc>
          <w:tcPr>
            <w:tcW w:w="1800" w:type="dxa"/>
            <w:vAlign w:val="bottom"/>
          </w:tcPr>
          <w:p>
            <w:pPr>
              <w:spacing w:after="0"/>
              <w:rPr>
                <w:sz w:val="23"/>
                <w:szCs w:val="23"/>
                <w:color w:val="auto"/>
              </w:rPr>
            </w:pPr>
          </w:p>
        </w:tc>
        <w:tc>
          <w:tcPr>
            <w:tcW w:w="1100" w:type="dxa"/>
            <w:vAlign w:val="bottom"/>
          </w:tcPr>
          <w:p>
            <w:pPr>
              <w:ind w:left="100"/>
              <w:spacing w:after="0"/>
              <w:rPr>
                <w:sz w:val="20"/>
                <w:szCs w:val="20"/>
                <w:color w:val="auto"/>
              </w:rPr>
            </w:pPr>
            <w:r>
              <w:rPr>
                <w:rFonts w:ascii="Arial" w:cs="Arial" w:eastAsia="Arial" w:hAnsi="Arial"/>
                <w:sz w:val="22"/>
                <w:szCs w:val="22"/>
                <w:color w:val="auto"/>
              </w:rPr>
              <w:t>Title:</w:t>
            </w:r>
          </w:p>
        </w:tc>
        <w:tc>
          <w:tcPr>
            <w:tcW w:w="3900" w:type="dxa"/>
            <w:vAlign w:val="bottom"/>
          </w:tcPr>
          <w:p>
            <w:pPr>
              <w:ind w:left="360"/>
              <w:spacing w:after="0"/>
              <w:rPr>
                <w:sz w:val="20"/>
                <w:szCs w:val="20"/>
                <w:color w:val="auto"/>
              </w:rPr>
            </w:pPr>
            <w:r>
              <w:rPr>
                <w:rFonts w:ascii="Arial" w:cs="Arial" w:eastAsia="Arial" w:hAnsi="Arial"/>
                <w:sz w:val="22"/>
                <w:szCs w:val="22"/>
                <w:color w:val="auto"/>
              </w:rPr>
              <w:t>Business Unit Manager</w:t>
            </w:r>
          </w:p>
        </w:tc>
      </w:tr>
      <w:tr>
        <w:trPr>
          <w:trHeight w:val="392"/>
        </w:trPr>
        <w:tc>
          <w:tcPr>
            <w:tcW w:w="29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900" w:type="dxa"/>
            <w:vAlign w:val="bottom"/>
          </w:tcPr>
          <w:p>
            <w:pPr>
              <w:spacing w:after="0"/>
              <w:rPr>
                <w:sz w:val="24"/>
                <w:szCs w:val="24"/>
                <w:color w:val="auto"/>
              </w:rPr>
            </w:pPr>
          </w:p>
        </w:tc>
      </w:tr>
    </w:tbl>
    <w:p>
      <w:pPr>
        <w:sectPr>
          <w:pgSz w:w="11900" w:h="16838" w:orient="portrait"/>
          <w:cols w:equalWidth="0" w:num="1">
            <w:col w:w="10040"/>
          </w:cols>
          <w:pgMar w:left="1440" w:top="415" w:right="419" w:bottom="1440" w:gutter="0" w:footer="0" w:header="0"/>
        </w:sectPr>
      </w:pPr>
    </w:p>
    <w:bookmarkStart w:id="122" w:name="page123"/>
    <w:bookmarkEnd w:id="122"/>
    <w:p>
      <w:pPr>
        <w:ind w:left="4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w:t>
      </w: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CROWN PACKAGING LUX III, S.À.R.L.</w:t>
      </w:r>
    </w:p>
    <w:p>
      <w:pPr>
        <w:spacing w:after="0" w:line="200" w:lineRule="exact"/>
        <w:rPr>
          <w:sz w:val="20"/>
          <w:szCs w:val="20"/>
          <w:color w:val="auto"/>
        </w:rPr>
      </w:pP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740" w:type="dxa"/>
            <w:vAlign w:val="bottom"/>
            <w:gridSpan w:val="2"/>
          </w:tcPr>
          <w:p>
            <w:pPr>
              <w:ind w:left="100"/>
              <w:spacing w:after="0"/>
              <w:rPr>
                <w:sz w:val="20"/>
                <w:szCs w:val="20"/>
                <w:color w:val="auto"/>
              </w:rPr>
            </w:pPr>
            <w:r>
              <w:rPr>
                <w:rFonts w:ascii="Arial" w:cs="Arial" w:eastAsia="Arial" w:hAnsi="Arial"/>
                <w:sz w:val="22"/>
                <w:szCs w:val="22"/>
                <w:color w:val="auto"/>
              </w:rPr>
              <w:t>/s/ Paul Browett</w:t>
            </w:r>
          </w:p>
        </w:tc>
        <w:tc>
          <w:tcPr>
            <w:tcW w:w="3380" w:type="dxa"/>
            <w:vAlign w:val="bottom"/>
          </w:tcPr>
          <w:p>
            <w:pPr>
              <w:spacing w:after="0"/>
              <w:rPr>
                <w:sz w:val="23"/>
                <w:szCs w:val="23"/>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60"/>
              <w:spacing w:after="0" w:line="228" w:lineRule="exact"/>
              <w:rPr>
                <w:sz w:val="20"/>
                <w:szCs w:val="20"/>
                <w:color w:val="auto"/>
              </w:rPr>
            </w:pPr>
            <w:r>
              <w:rPr>
                <w:rFonts w:ascii="Arial" w:cs="Arial" w:eastAsia="Arial" w:hAnsi="Arial"/>
                <w:sz w:val="22"/>
                <w:szCs w:val="22"/>
                <w:color w:val="auto"/>
              </w:rPr>
              <w:t>Paul Browett</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60"/>
              <w:spacing w:after="0"/>
              <w:rPr>
                <w:sz w:val="20"/>
                <w:szCs w:val="20"/>
                <w:color w:val="auto"/>
              </w:rPr>
            </w:pPr>
            <w:r>
              <w:rPr>
                <w:rFonts w:ascii="Arial" w:cs="Arial" w:eastAsia="Arial" w:hAnsi="Arial"/>
                <w:sz w:val="22"/>
                <w:szCs w:val="22"/>
                <w:color w:val="auto"/>
              </w:rPr>
              <w:t>Manager A</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740" w:type="dxa"/>
            <w:vAlign w:val="bottom"/>
            <w:gridSpan w:val="2"/>
          </w:tcPr>
          <w:p>
            <w:pPr>
              <w:ind w:left="100"/>
              <w:spacing w:after="0"/>
              <w:rPr>
                <w:sz w:val="20"/>
                <w:szCs w:val="20"/>
                <w:color w:val="auto"/>
              </w:rPr>
            </w:pPr>
            <w:r>
              <w:rPr>
                <w:rFonts w:ascii="Arial" w:cs="Arial" w:eastAsia="Arial" w:hAnsi="Arial"/>
                <w:sz w:val="22"/>
                <w:szCs w:val="22"/>
                <w:color w:val="auto"/>
                <w:w w:val="90"/>
              </w:rPr>
              <w:t>/s/ Laurent Gérard</w:t>
            </w:r>
          </w:p>
        </w:tc>
        <w:tc>
          <w:tcPr>
            <w:tcW w:w="338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60"/>
              <w:spacing w:after="0" w:line="228" w:lineRule="exact"/>
              <w:rPr>
                <w:sz w:val="20"/>
                <w:szCs w:val="20"/>
                <w:color w:val="auto"/>
              </w:rPr>
            </w:pPr>
            <w:r>
              <w:rPr>
                <w:rFonts w:ascii="Arial" w:cs="Arial" w:eastAsia="Arial" w:hAnsi="Arial"/>
                <w:sz w:val="22"/>
                <w:szCs w:val="22"/>
                <w:color w:val="auto"/>
              </w:rPr>
              <w:t>Laurent Gérard</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60"/>
              <w:spacing w:after="0"/>
              <w:rPr>
                <w:sz w:val="20"/>
                <w:szCs w:val="20"/>
                <w:color w:val="auto"/>
              </w:rPr>
            </w:pPr>
            <w:r>
              <w:rPr>
                <w:rFonts w:ascii="Arial" w:cs="Arial" w:eastAsia="Arial" w:hAnsi="Arial"/>
                <w:sz w:val="22"/>
                <w:szCs w:val="22"/>
                <w:color w:val="auto"/>
              </w:rPr>
              <w:t>Manager B</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415" w:right="419" w:bottom="1440" w:gutter="0" w:footer="0" w:header="0"/>
        </w:sectPr>
      </w:pPr>
    </w:p>
    <w:bookmarkStart w:id="123" w:name="page124"/>
    <w:bookmarkEnd w:id="123"/>
    <w:p>
      <w:pPr>
        <w:ind w:left="45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SIGNODE INDUSTRIAL GROUP HOLDINGS LUX</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S.À.R.L.</w:t>
      </w:r>
    </w:p>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A</w:t>
            </w:r>
          </w:p>
        </w:tc>
      </w:tr>
      <w:tr>
        <w:trPr>
          <w:trHeight w:val="665"/>
        </w:trPr>
        <w:tc>
          <w:tcPr>
            <w:tcW w:w="5520" w:type="dxa"/>
            <w:vAlign w:val="bottom"/>
            <w:gridSpan w:val="3"/>
          </w:tcPr>
          <w:p>
            <w:pPr>
              <w:spacing w:after="0"/>
              <w:rPr>
                <w:sz w:val="20"/>
                <w:szCs w:val="20"/>
                <w:color w:val="auto"/>
              </w:rPr>
            </w:pPr>
            <w:r>
              <w:rPr>
                <w:rFonts w:ascii="Arial" w:cs="Arial" w:eastAsia="Arial" w:hAnsi="Arial"/>
                <w:sz w:val="22"/>
                <w:szCs w:val="22"/>
                <w:color w:val="auto"/>
              </w:rPr>
              <w:t>By: /s/ Jacques Lancelon</w:t>
            </w:r>
          </w:p>
        </w:tc>
      </w:t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Jacques Lancelon</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B</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SIGNODE INDUSTRIAL GROUP LUX S.A.</w:t>
      </w: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A</w:t>
            </w:r>
          </w:p>
        </w:tc>
      </w:tr>
      <w:tr>
        <w:trPr>
          <w:trHeight w:val="665"/>
        </w:trPr>
        <w:tc>
          <w:tcPr>
            <w:tcW w:w="5520" w:type="dxa"/>
            <w:vAlign w:val="bottom"/>
            <w:gridSpan w:val="3"/>
          </w:tcPr>
          <w:p>
            <w:pPr>
              <w:spacing w:after="0"/>
              <w:rPr>
                <w:sz w:val="20"/>
                <w:szCs w:val="20"/>
                <w:color w:val="auto"/>
              </w:rPr>
            </w:pPr>
            <w:r>
              <w:rPr>
                <w:rFonts w:ascii="Arial" w:cs="Arial" w:eastAsia="Arial" w:hAnsi="Arial"/>
                <w:sz w:val="22"/>
                <w:szCs w:val="22"/>
                <w:color w:val="auto"/>
              </w:rPr>
              <w:t>By: /s/ Jacques Lancelon</w:t>
            </w:r>
          </w:p>
        </w:tc>
      </w:t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Jacques Lancelon</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B</w:t>
            </w:r>
          </w:p>
        </w:tc>
      </w:tr>
    </w:tbl>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SPG INDUSTRIAL PACKAGING S.À.R.L.</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Nils Stenger</w:t>
      </w:r>
    </w:p>
    <w:p>
      <w:pPr>
        <w:spacing w:after="0" w:line="12"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A</w:t>
            </w:r>
          </w:p>
        </w:tc>
      </w:tr>
      <w:tr>
        <w:trPr>
          <w:trHeight w:val="665"/>
        </w:trPr>
        <w:tc>
          <w:tcPr>
            <w:tcW w:w="5520" w:type="dxa"/>
            <w:vAlign w:val="bottom"/>
            <w:gridSpan w:val="3"/>
          </w:tcPr>
          <w:p>
            <w:pPr>
              <w:spacing w:after="0"/>
              <w:rPr>
                <w:sz w:val="20"/>
                <w:szCs w:val="20"/>
                <w:color w:val="auto"/>
              </w:rPr>
            </w:pPr>
            <w:r>
              <w:rPr>
                <w:rFonts w:ascii="Arial" w:cs="Arial" w:eastAsia="Arial" w:hAnsi="Arial"/>
                <w:sz w:val="22"/>
                <w:szCs w:val="22"/>
                <w:color w:val="auto"/>
              </w:rPr>
              <w:t>By: /s/ Jacques Lancelon</w:t>
            </w:r>
          </w:p>
        </w:tc>
      </w:tr>
      <w:tr>
        <w:trPr>
          <w:trHeight w:val="229"/>
        </w:trPr>
        <w:tc>
          <w:tcPr>
            <w:tcW w:w="380" w:type="dxa"/>
            <w:vAlign w:val="bottom"/>
          </w:tcPr>
          <w:p>
            <w:pPr>
              <w:spacing w:after="0"/>
              <w:rPr>
                <w:sz w:val="19"/>
                <w:szCs w:val="19"/>
                <w:color w:val="auto"/>
              </w:rPr>
            </w:pPr>
          </w:p>
        </w:tc>
        <w:tc>
          <w:tcPr>
            <w:tcW w:w="11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480"/>
              <w:spacing w:after="0" w:line="228" w:lineRule="exact"/>
              <w:rPr>
                <w:sz w:val="20"/>
                <w:szCs w:val="20"/>
                <w:color w:val="auto"/>
              </w:rPr>
            </w:pPr>
            <w:r>
              <w:rPr>
                <w:rFonts w:ascii="Arial" w:cs="Arial" w:eastAsia="Arial" w:hAnsi="Arial"/>
                <w:sz w:val="22"/>
                <w:szCs w:val="22"/>
                <w:color w:val="auto"/>
              </w:rPr>
              <w:t>Jacques Lancelon</w:t>
            </w:r>
          </w:p>
        </w:tc>
      </w:tr>
      <w:tr>
        <w:trPr>
          <w:trHeight w:val="275"/>
        </w:trPr>
        <w:tc>
          <w:tcPr>
            <w:tcW w:w="38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22"/>
                <w:szCs w:val="22"/>
                <w:color w:val="auto"/>
              </w:rPr>
              <w:t>Title:</w:t>
            </w:r>
          </w:p>
        </w:tc>
        <w:tc>
          <w:tcPr>
            <w:tcW w:w="3960" w:type="dxa"/>
            <w:vAlign w:val="bottom"/>
          </w:tcPr>
          <w:p>
            <w:pPr>
              <w:ind w:left="480"/>
              <w:spacing w:after="0"/>
              <w:rPr>
                <w:sz w:val="20"/>
                <w:szCs w:val="20"/>
                <w:color w:val="auto"/>
              </w:rPr>
            </w:pPr>
            <w:r>
              <w:rPr>
                <w:rFonts w:ascii="Arial" w:cs="Arial" w:eastAsia="Arial" w:hAnsi="Arial"/>
                <w:sz w:val="22"/>
                <w:szCs w:val="22"/>
                <w:color w:val="auto"/>
              </w:rPr>
              <w:t>Manager B</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266" w:right="419" w:bottom="1440" w:gutter="0" w:footer="0" w:header="0"/>
        </w:sectPr>
      </w:pPr>
    </w:p>
    <w:bookmarkStart w:id="124" w:name="page125"/>
    <w:bookmarkEnd w:id="124"/>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MIMA FILMS S.À.R.L.</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Laurent Gérard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7620</wp:posOffset>
            </wp:positionV>
            <wp:extent cx="28555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Laurent Gérard</w:t>
      </w:r>
    </w:p>
    <w:p>
      <w:pPr>
        <w:spacing w:after="0" w:line="200" w:lineRule="exact"/>
        <w:rPr>
          <w:sz w:val="20"/>
          <w:szCs w:val="20"/>
          <w:color w:val="auto"/>
        </w:rPr>
      </w:pPr>
    </w:p>
    <w:p>
      <w:pPr>
        <w:spacing w:after="0" w:line="218" w:lineRule="exact"/>
        <w:rPr>
          <w:sz w:val="20"/>
          <w:szCs w:val="20"/>
          <w:color w:val="auto"/>
        </w:rPr>
      </w:pPr>
    </w:p>
    <w:p>
      <w:pPr>
        <w:jc w:val="right"/>
        <w:ind w:right="1699"/>
        <w:spacing w:after="0"/>
        <w:rPr>
          <w:sz w:val="20"/>
          <w:szCs w:val="20"/>
          <w:color w:val="auto"/>
        </w:rPr>
      </w:pPr>
      <w:r>
        <w:rPr>
          <w:rFonts w:ascii="Arial" w:cs="Arial" w:eastAsia="Arial" w:hAnsi="Arial"/>
          <w:sz w:val="22"/>
          <w:szCs w:val="22"/>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7620</wp:posOffset>
            </wp:positionV>
            <wp:extent cx="28555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Jacques Lancelon</w:t>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7620</wp:posOffset>
            </wp:positionV>
            <wp:extent cx="28555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Nils Stenger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019"/>
          </w:cols>
          <w:pgMar w:left="1440" w:top="267" w:right="1440" w:bottom="1440" w:gutter="0" w:footer="0" w:header="0"/>
        </w:sectPr>
      </w:pPr>
    </w:p>
    <w:bookmarkStart w:id="125" w:name="page126"/>
    <w:bookmarkEnd w:id="125"/>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ENVASES MEXICO,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FÁBRICAS MONTERREY,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CIERRES HERMÉTICOS,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FAMOSA,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PROLATAMEX,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SILICES DE VERACRUZ,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GLASS &amp; SILICE,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SILICE DEL ISTMO, S.A. DE C.V.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VICHISA, S.A. DE C.V.</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2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30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20" w:type="dxa"/>
            <w:vAlign w:val="bottom"/>
          </w:tcPr>
          <w:p>
            <w:pPr>
              <w:ind w:left="400"/>
              <w:spacing w:after="0"/>
              <w:rPr>
                <w:sz w:val="20"/>
                <w:szCs w:val="20"/>
                <w:color w:val="auto"/>
              </w:rPr>
            </w:pPr>
            <w:r>
              <w:rPr>
                <w:rFonts w:ascii="Arial" w:cs="Arial" w:eastAsia="Arial" w:hAnsi="Arial"/>
                <w:sz w:val="22"/>
                <w:szCs w:val="22"/>
                <w:color w:val="auto"/>
              </w:rPr>
              <w:t>Vice President &amp; Treasurer</w:t>
            </w:r>
          </w:p>
        </w:tc>
      </w:tr>
      <w:tr>
        <w:trPr>
          <w:trHeight w:val="392"/>
        </w:trPr>
        <w:tc>
          <w:tcPr>
            <w:tcW w:w="338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2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26" w:name="page127"/>
    <w:bookmarkEnd w:id="126"/>
    <w:p>
      <w:pPr>
        <w:ind w:left="506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MEXICAN HOLDINGS, S. DE R.L. DE C.V.</w:t>
      </w:r>
    </w:p>
    <w:p>
      <w:pPr>
        <w:spacing w:after="0" w:line="200" w:lineRule="exact"/>
        <w:rPr>
          <w:sz w:val="20"/>
          <w:szCs w:val="20"/>
          <w:color w:val="auto"/>
        </w:rPr>
      </w:pPr>
    </w:p>
    <w:p>
      <w:pPr>
        <w:spacing w:after="0" w:line="23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Kevin C. Clothier</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0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20" w:type="dxa"/>
            <w:vAlign w:val="bottom"/>
            <w:tcBorders>
              <w:top w:val="single" w:sz="8" w:color="auto"/>
            </w:tcBorders>
          </w:tcPr>
          <w:p>
            <w:pPr>
              <w:ind w:left="400"/>
              <w:spacing w:after="0" w:line="228" w:lineRule="exact"/>
              <w:rPr>
                <w:sz w:val="20"/>
                <w:szCs w:val="20"/>
                <w:color w:val="auto"/>
              </w:rPr>
            </w:pPr>
            <w:r>
              <w:rPr>
                <w:rFonts w:ascii="Arial" w:cs="Arial" w:eastAsia="Arial" w:hAnsi="Arial"/>
                <w:sz w:val="22"/>
                <w:szCs w:val="22"/>
                <w:color w:val="auto"/>
              </w:rPr>
              <w:t>Kevin C. Clothier</w:t>
            </w:r>
          </w:p>
        </w:tc>
      </w:tr>
      <w:tr>
        <w:trPr>
          <w:trHeight w:val="275"/>
        </w:trPr>
        <w:tc>
          <w:tcPr>
            <w:tcW w:w="230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Title:</w:t>
            </w:r>
          </w:p>
        </w:tc>
        <w:tc>
          <w:tcPr>
            <w:tcW w:w="3420" w:type="dxa"/>
            <w:vAlign w:val="bottom"/>
          </w:tcPr>
          <w:p>
            <w:pPr>
              <w:ind w:left="400"/>
              <w:spacing w:after="0"/>
              <w:rPr>
                <w:sz w:val="20"/>
                <w:szCs w:val="20"/>
                <w:color w:val="auto"/>
              </w:rPr>
            </w:pPr>
            <w:r>
              <w:rPr>
                <w:rFonts w:ascii="Arial" w:cs="Arial" w:eastAsia="Arial" w:hAnsi="Arial"/>
                <w:sz w:val="22"/>
                <w:szCs w:val="22"/>
                <w:color w:val="auto"/>
              </w:rPr>
              <w:t>Vice President &amp; Treasurer</w:t>
            </w:r>
          </w:p>
        </w:tc>
      </w:tr>
      <w:tr>
        <w:trPr>
          <w:trHeight w:val="392"/>
        </w:trPr>
        <w:tc>
          <w:tcPr>
            <w:tcW w:w="338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2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27" w:name="page128"/>
    <w:bookmarkEnd w:id="127"/>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VERPAKKING NEDERLAND B.V.</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John Beardsley</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6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2900" w:type="dxa"/>
            <w:vAlign w:val="bottom"/>
            <w:tcBorders>
              <w:top w:val="single" w:sz="8" w:color="auto"/>
            </w:tcBorders>
          </w:tcPr>
          <w:p>
            <w:pPr>
              <w:ind w:left="960"/>
              <w:spacing w:after="0" w:line="228" w:lineRule="exact"/>
              <w:rPr>
                <w:sz w:val="20"/>
                <w:szCs w:val="20"/>
                <w:color w:val="auto"/>
              </w:rPr>
            </w:pPr>
            <w:r>
              <w:rPr>
                <w:rFonts w:ascii="Arial" w:cs="Arial" w:eastAsia="Arial" w:hAnsi="Arial"/>
                <w:sz w:val="22"/>
                <w:szCs w:val="22"/>
                <w:color w:val="auto"/>
              </w:rPr>
              <w:t>John Beardsley</w:t>
            </w:r>
          </w:p>
        </w:tc>
      </w:tr>
      <w:tr>
        <w:trPr>
          <w:trHeight w:val="275"/>
        </w:trPr>
        <w:tc>
          <w:tcPr>
            <w:tcW w:w="2280" w:type="dxa"/>
            <w:vAlign w:val="bottom"/>
          </w:tcPr>
          <w:p>
            <w:pPr>
              <w:spacing w:after="0"/>
              <w:rPr>
                <w:sz w:val="23"/>
                <w:szCs w:val="23"/>
                <w:color w:val="auto"/>
              </w:rPr>
            </w:pPr>
          </w:p>
        </w:tc>
        <w:tc>
          <w:tcPr>
            <w:tcW w:w="1620" w:type="dxa"/>
            <w:vAlign w:val="bottom"/>
          </w:tcPr>
          <w:p>
            <w:pPr>
              <w:ind w:left="100"/>
              <w:spacing w:after="0"/>
              <w:rPr>
                <w:sz w:val="20"/>
                <w:szCs w:val="20"/>
                <w:color w:val="auto"/>
              </w:rPr>
            </w:pPr>
            <w:r>
              <w:rPr>
                <w:rFonts w:ascii="Arial" w:cs="Arial" w:eastAsia="Arial" w:hAnsi="Arial"/>
                <w:sz w:val="22"/>
                <w:szCs w:val="22"/>
                <w:color w:val="auto"/>
              </w:rPr>
              <w:t>Title:</w:t>
            </w:r>
          </w:p>
        </w:tc>
        <w:tc>
          <w:tcPr>
            <w:tcW w:w="2900" w:type="dxa"/>
            <w:vAlign w:val="bottom"/>
          </w:tcPr>
          <w:p>
            <w:pPr>
              <w:ind w:left="960"/>
              <w:spacing w:after="0"/>
              <w:rPr>
                <w:sz w:val="20"/>
                <w:szCs w:val="20"/>
                <w:color w:val="auto"/>
              </w:rPr>
            </w:pPr>
            <w:r>
              <w:rPr>
                <w:rFonts w:ascii="Arial" w:cs="Arial" w:eastAsia="Arial" w:hAnsi="Arial"/>
                <w:sz w:val="22"/>
                <w:szCs w:val="22"/>
                <w:color w:val="auto"/>
              </w:rPr>
              <w:t>President</w:t>
            </w:r>
          </w:p>
        </w:tc>
      </w:tr>
      <w:tr>
        <w:trPr>
          <w:trHeight w:val="392"/>
        </w:trPr>
        <w:tc>
          <w:tcPr>
            <w:tcW w:w="39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29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28" w:name="page129"/>
    <w:bookmarkEnd w:id="128"/>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FAMOSA B.V.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SIVESA B.V.</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SISA MEXICO B.V.</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Paul Browett</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Paul Browett</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President</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29" w:name="page130"/>
    <w:bookmarkEnd w:id="129"/>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FOOD ESPAÑA, S.A.U.</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Jean – Francois Lelouch</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Jean-François Lelouch</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Sole Director</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0" w:name="page131"/>
    <w:bookmarkEnd w:id="130"/>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PACKAGING EUROPEAN</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HOLDINGS GMBH</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Laurent Watteaux</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Laurent Watteaux</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Managing Officer</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6" w:right="419" w:bottom="1440" w:gutter="0" w:footer="0" w:header="0"/>
        </w:sectPr>
      </w:pPr>
    </w:p>
    <w:bookmarkStart w:id="131" w:name="page132"/>
    <w:bookmarkEnd w:id="131"/>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PACKAGING EUROPEAN</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DIVISION GMBH</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John Beardsley</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John Beardsley</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Managing Officer</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2" w:name="page133"/>
    <w:bookmarkEnd w:id="132"/>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SIGNODE INDUSTRIAL GROUP GMBH</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Lennart Bángman</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Lennart Bángman</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Managing Director</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3" w:name="page134"/>
    <w:bookmarkEnd w:id="133"/>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CARNAUDMETALBOX ENGINEERING LIMITED</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CARNAUDMETALBOX GROUP UK LIMITED</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CARNAUDMETALBOX OVERSEAS LIMITED</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AEROSOLS UK LIMITED</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PROMOTIONAL PACKAGING UK</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LIMITED</w:t>
      </w:r>
    </w:p>
    <w:p>
      <w:pPr>
        <w:spacing w:after="0" w:line="4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CROWN PACKAGING MANUFACTURING UK</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LIMITED</w:t>
      </w:r>
    </w:p>
    <w:p>
      <w:pPr>
        <w:spacing w:after="0" w:line="4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SPG PACKAGING UK LTD.</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STRAPEX HOLDINGS LIMITED</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Paul Browett</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12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00" w:type="dxa"/>
            <w:vAlign w:val="bottom"/>
            <w:tcBorders>
              <w:top w:val="single" w:sz="8" w:color="auto"/>
            </w:tcBorders>
          </w:tcPr>
          <w:p>
            <w:pPr>
              <w:ind w:left="520"/>
              <w:spacing w:after="0" w:line="228" w:lineRule="exact"/>
              <w:rPr>
                <w:sz w:val="20"/>
                <w:szCs w:val="20"/>
                <w:color w:val="auto"/>
              </w:rPr>
            </w:pPr>
            <w:r>
              <w:rPr>
                <w:rFonts w:ascii="Arial" w:cs="Arial" w:eastAsia="Arial" w:hAnsi="Arial"/>
                <w:sz w:val="22"/>
                <w:szCs w:val="22"/>
                <w:color w:val="auto"/>
              </w:rPr>
              <w:t>Paul Browett</w:t>
            </w:r>
          </w:p>
        </w:tc>
      </w:tr>
      <w:tr>
        <w:trPr>
          <w:trHeight w:val="275"/>
        </w:trPr>
        <w:tc>
          <w:tcPr>
            <w:tcW w:w="230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22"/>
                <w:szCs w:val="22"/>
                <w:color w:val="auto"/>
              </w:rPr>
              <w:t>Title:</w:t>
            </w:r>
          </w:p>
        </w:tc>
        <w:tc>
          <w:tcPr>
            <w:tcW w:w="3300" w:type="dxa"/>
            <w:vAlign w:val="bottom"/>
          </w:tcPr>
          <w:p>
            <w:pPr>
              <w:ind w:left="520"/>
              <w:spacing w:after="0"/>
              <w:rPr>
                <w:sz w:val="20"/>
                <w:szCs w:val="20"/>
                <w:color w:val="auto"/>
              </w:rPr>
            </w:pPr>
            <w:r>
              <w:rPr>
                <w:rFonts w:ascii="Arial" w:cs="Arial" w:eastAsia="Arial" w:hAnsi="Arial"/>
                <w:sz w:val="22"/>
                <w:szCs w:val="22"/>
                <w:color w:val="auto"/>
              </w:rPr>
              <w:t>Director</w:t>
            </w:r>
          </w:p>
        </w:tc>
      </w:tr>
      <w:tr>
        <w:trPr>
          <w:trHeight w:val="392"/>
        </w:trPr>
        <w:tc>
          <w:tcPr>
            <w:tcW w:w="350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30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4" w:name="page135"/>
    <w:bookmarkEnd w:id="134"/>
    <w:p>
      <w:pPr>
        <w:ind w:left="50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PACKAGING DISTRIBUTION</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UK LIMITED</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/s/ Aidan Ruddock</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110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420" w:type="dxa"/>
            <w:vAlign w:val="bottom"/>
            <w:tcBorders>
              <w:top w:val="single" w:sz="8" w:color="auto"/>
            </w:tcBorders>
          </w:tcPr>
          <w:p>
            <w:pPr>
              <w:ind w:left="440"/>
              <w:spacing w:after="0" w:line="228" w:lineRule="exact"/>
              <w:rPr>
                <w:sz w:val="20"/>
                <w:szCs w:val="20"/>
                <w:color w:val="auto"/>
              </w:rPr>
            </w:pPr>
            <w:r>
              <w:rPr>
                <w:rFonts w:ascii="Arial" w:cs="Arial" w:eastAsia="Arial" w:hAnsi="Arial"/>
                <w:sz w:val="22"/>
                <w:szCs w:val="22"/>
                <w:color w:val="auto"/>
              </w:rPr>
              <w:t>Aidan Ruddock</w:t>
            </w:r>
          </w:p>
        </w:tc>
      </w:tr>
      <w:tr>
        <w:trPr>
          <w:trHeight w:val="275"/>
        </w:trPr>
        <w:tc>
          <w:tcPr>
            <w:tcW w:w="2280" w:type="dxa"/>
            <w:vAlign w:val="bottom"/>
          </w:tcPr>
          <w:p>
            <w:pPr>
              <w:spacing w:after="0"/>
              <w:rPr>
                <w:sz w:val="23"/>
                <w:szCs w:val="23"/>
                <w:color w:val="auto"/>
              </w:rPr>
            </w:pPr>
          </w:p>
        </w:tc>
        <w:tc>
          <w:tcPr>
            <w:tcW w:w="1100" w:type="dxa"/>
            <w:vAlign w:val="bottom"/>
          </w:tcPr>
          <w:p>
            <w:pPr>
              <w:ind w:left="100"/>
              <w:spacing w:after="0"/>
              <w:rPr>
                <w:sz w:val="20"/>
                <w:szCs w:val="20"/>
                <w:color w:val="auto"/>
              </w:rPr>
            </w:pPr>
            <w:r>
              <w:rPr>
                <w:rFonts w:ascii="Arial" w:cs="Arial" w:eastAsia="Arial" w:hAnsi="Arial"/>
                <w:sz w:val="22"/>
                <w:szCs w:val="22"/>
                <w:color w:val="auto"/>
              </w:rPr>
              <w:t>Title:</w:t>
            </w:r>
          </w:p>
        </w:tc>
        <w:tc>
          <w:tcPr>
            <w:tcW w:w="3420" w:type="dxa"/>
            <w:vAlign w:val="bottom"/>
          </w:tcPr>
          <w:p>
            <w:pPr>
              <w:ind w:left="440"/>
              <w:spacing w:after="0"/>
              <w:rPr>
                <w:sz w:val="20"/>
                <w:szCs w:val="20"/>
                <w:color w:val="auto"/>
              </w:rPr>
            </w:pPr>
            <w:r>
              <w:rPr>
                <w:rFonts w:ascii="Arial" w:cs="Arial" w:eastAsia="Arial" w:hAnsi="Arial"/>
                <w:sz w:val="22"/>
                <w:szCs w:val="22"/>
                <w:color w:val="auto"/>
              </w:rPr>
              <w:t>Director</w:t>
            </w:r>
          </w:p>
        </w:tc>
      </w:tr>
      <w:tr>
        <w:trPr>
          <w:trHeight w:val="392"/>
        </w:trPr>
        <w:tc>
          <w:tcPr>
            <w:tcW w:w="338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42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5" w:name="page136"/>
    <w:bookmarkEnd w:id="135"/>
    <w:p>
      <w:pPr>
        <w:ind w:left="45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SPG PACKAGING UK LTD.</w:t>
      </w:r>
    </w:p>
    <w:p>
      <w:pPr>
        <w:spacing w:after="0" w:line="200" w:lineRule="exact"/>
        <w:rPr>
          <w:sz w:val="20"/>
          <w:szCs w:val="20"/>
          <w:color w:val="auto"/>
        </w:rPr>
      </w:pP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440" w:type="dxa"/>
            <w:vAlign w:val="bottom"/>
            <w:gridSpan w:val="2"/>
          </w:tcPr>
          <w:p>
            <w:pPr>
              <w:ind w:left="100"/>
              <w:spacing w:after="0"/>
              <w:rPr>
                <w:sz w:val="20"/>
                <w:szCs w:val="20"/>
                <w:color w:val="auto"/>
              </w:rPr>
            </w:pPr>
            <w:r>
              <w:rPr>
                <w:rFonts w:ascii="Arial" w:cs="Arial" w:eastAsia="Arial" w:hAnsi="Arial"/>
                <w:sz w:val="22"/>
                <w:szCs w:val="22"/>
                <w:color w:val="auto"/>
              </w:rPr>
              <w:t>Nils Stenger</w:t>
            </w:r>
          </w:p>
        </w:tc>
        <w:tc>
          <w:tcPr>
            <w:tcW w:w="3680" w:type="dxa"/>
            <w:vAlign w:val="bottom"/>
          </w:tcPr>
          <w:p>
            <w:pPr>
              <w:spacing w:after="0"/>
              <w:rPr>
                <w:sz w:val="23"/>
                <w:szCs w:val="23"/>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ind w:left="40"/>
              <w:spacing w:after="0" w:line="228" w:lineRule="exact"/>
              <w:rPr>
                <w:sz w:val="20"/>
                <w:szCs w:val="20"/>
                <w:color w:val="auto"/>
              </w:rPr>
            </w:pPr>
            <w:r>
              <w:rPr>
                <w:rFonts w:ascii="Arial" w:cs="Arial" w:eastAsia="Arial" w:hAnsi="Arial"/>
                <w:sz w:val="22"/>
                <w:szCs w:val="22"/>
                <w:color w:val="auto"/>
              </w:rPr>
              <w:t>Name:</w:t>
            </w:r>
          </w:p>
        </w:tc>
        <w:tc>
          <w:tcPr>
            <w:tcW w:w="368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22"/>
                <w:szCs w:val="22"/>
                <w:color w:val="auto"/>
              </w:rPr>
              <w:t>Title:</w:t>
            </w:r>
          </w:p>
        </w:tc>
        <w:tc>
          <w:tcPr>
            <w:tcW w:w="3680" w:type="dxa"/>
            <w:vAlign w:val="bottom"/>
          </w:tcPr>
          <w:p>
            <w:pPr>
              <w:ind w:left="260"/>
              <w:spacing w:after="0"/>
              <w:rPr>
                <w:sz w:val="20"/>
                <w:szCs w:val="20"/>
                <w:color w:val="auto"/>
              </w:rPr>
            </w:pPr>
            <w:r>
              <w:rPr>
                <w:rFonts w:ascii="Arial" w:cs="Arial" w:eastAsia="Arial" w:hAnsi="Arial"/>
                <w:sz w:val="22"/>
                <w:szCs w:val="22"/>
                <w:color w:val="auto"/>
              </w:rPr>
              <w:t>Director</w:t>
            </w:r>
          </w:p>
        </w:tc>
      </w:tr>
      <w:tr>
        <w:trPr>
          <w:trHeight w:val="675"/>
        </w:trPr>
        <w:tc>
          <w:tcPr>
            <w:tcW w:w="5520" w:type="dxa"/>
            <w:vAlign w:val="bottom"/>
            <w:gridSpan w:val="4"/>
          </w:tcPr>
          <w:p>
            <w:pPr>
              <w:spacing w:after="0"/>
              <w:rPr>
                <w:sz w:val="20"/>
                <w:szCs w:val="20"/>
                <w:color w:val="auto"/>
              </w:rPr>
            </w:pPr>
            <w:r>
              <w:rPr>
                <w:rFonts w:ascii="Arial" w:cs="Arial" w:eastAsia="Arial" w:hAnsi="Arial"/>
                <w:sz w:val="22"/>
                <w:szCs w:val="22"/>
                <w:color w:val="auto"/>
              </w:rPr>
              <w:t>STRAPEX HOLDINGS LIMITED</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440" w:type="dxa"/>
            <w:vAlign w:val="bottom"/>
            <w:gridSpan w:val="2"/>
          </w:tcPr>
          <w:p>
            <w:pPr>
              <w:ind w:left="100"/>
              <w:spacing w:after="0"/>
              <w:rPr>
                <w:sz w:val="20"/>
                <w:szCs w:val="20"/>
                <w:color w:val="auto"/>
              </w:rPr>
            </w:pPr>
            <w:r>
              <w:rPr>
                <w:rFonts w:ascii="Arial" w:cs="Arial" w:eastAsia="Arial" w:hAnsi="Arial"/>
                <w:sz w:val="22"/>
                <w:szCs w:val="22"/>
                <w:color w:val="auto"/>
              </w:rPr>
              <w:t>Nils Stenger</w:t>
            </w:r>
          </w:p>
        </w:tc>
        <w:tc>
          <w:tcPr>
            <w:tcW w:w="368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ind w:left="40"/>
              <w:spacing w:after="0" w:line="228" w:lineRule="exact"/>
              <w:rPr>
                <w:sz w:val="20"/>
                <w:szCs w:val="20"/>
                <w:color w:val="auto"/>
              </w:rPr>
            </w:pPr>
            <w:r>
              <w:rPr>
                <w:rFonts w:ascii="Arial" w:cs="Arial" w:eastAsia="Arial" w:hAnsi="Arial"/>
                <w:sz w:val="22"/>
                <w:szCs w:val="22"/>
                <w:color w:val="auto"/>
              </w:rPr>
              <w:t>Name:</w:t>
            </w:r>
          </w:p>
        </w:tc>
        <w:tc>
          <w:tcPr>
            <w:tcW w:w="3680" w:type="dxa"/>
            <w:vAlign w:val="bottom"/>
            <w:tcBorders>
              <w:top w:val="single" w:sz="8" w:color="auto"/>
            </w:tcBorders>
          </w:tcPr>
          <w:p>
            <w:pPr>
              <w:ind w:left="26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22"/>
                <w:szCs w:val="22"/>
                <w:color w:val="auto"/>
              </w:rPr>
              <w:t>Title:</w:t>
            </w:r>
          </w:p>
        </w:tc>
        <w:tc>
          <w:tcPr>
            <w:tcW w:w="3680" w:type="dxa"/>
            <w:vAlign w:val="bottom"/>
          </w:tcPr>
          <w:p>
            <w:pPr>
              <w:ind w:left="260"/>
              <w:spacing w:after="0"/>
              <w:rPr>
                <w:sz w:val="20"/>
                <w:szCs w:val="20"/>
                <w:color w:val="auto"/>
              </w:rPr>
            </w:pPr>
            <w:r>
              <w:rPr>
                <w:rFonts w:ascii="Arial" w:cs="Arial" w:eastAsia="Arial" w:hAnsi="Arial"/>
                <w:sz w:val="22"/>
                <w:szCs w:val="22"/>
                <w:color w:val="auto"/>
              </w:rPr>
              <w:t>Director</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267" w:right="419" w:bottom="1440" w:gutter="0" w:footer="0" w:header="0"/>
        </w:sectPr>
      </w:pPr>
    </w:p>
    <w:bookmarkStart w:id="136" w:name="page137"/>
    <w:bookmarkEnd w:id="136"/>
    <w:p>
      <w:pPr>
        <w:ind w:left="45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UK HOLDINGS LIMITED</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Beardsley</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1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840" w:type="dxa"/>
            <w:vAlign w:val="bottom"/>
            <w:tcBorders>
              <w:top w:val="single" w:sz="8" w:color="auto"/>
            </w:tcBorders>
          </w:tcPr>
          <w:p>
            <w:pPr>
              <w:ind w:left="420"/>
              <w:spacing w:after="0" w:line="228" w:lineRule="exact"/>
              <w:rPr>
                <w:sz w:val="20"/>
                <w:szCs w:val="20"/>
                <w:color w:val="auto"/>
              </w:rPr>
            </w:pPr>
            <w:r>
              <w:rPr>
                <w:rFonts w:ascii="Arial" w:cs="Arial" w:eastAsia="Arial" w:hAnsi="Arial"/>
                <w:sz w:val="22"/>
                <w:szCs w:val="22"/>
                <w:color w:val="auto"/>
              </w:rPr>
              <w:t>John Beardsley</w:t>
            </w:r>
          </w:p>
        </w:tc>
      </w:tr>
      <w:tr>
        <w:trPr>
          <w:trHeight w:val="275"/>
        </w:trPr>
        <w:tc>
          <w:tcPr>
            <w:tcW w:w="1800" w:type="dxa"/>
            <w:vAlign w:val="bottom"/>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Title:</w:t>
            </w:r>
          </w:p>
        </w:tc>
        <w:tc>
          <w:tcPr>
            <w:tcW w:w="3840" w:type="dxa"/>
            <w:vAlign w:val="bottom"/>
          </w:tcPr>
          <w:p>
            <w:pPr>
              <w:ind w:left="420"/>
              <w:spacing w:after="0"/>
              <w:rPr>
                <w:sz w:val="20"/>
                <w:szCs w:val="20"/>
                <w:color w:val="auto"/>
              </w:rPr>
            </w:pPr>
            <w:r>
              <w:rPr>
                <w:rFonts w:ascii="Arial" w:cs="Arial" w:eastAsia="Arial" w:hAnsi="Arial"/>
                <w:sz w:val="22"/>
                <w:szCs w:val="22"/>
                <w:color w:val="auto"/>
              </w:rPr>
              <w:t>Director</w:t>
            </w:r>
          </w:p>
        </w:tc>
      </w:tr>
      <w:tr>
        <w:trPr>
          <w:trHeight w:val="392"/>
        </w:trPr>
        <w:tc>
          <w:tcPr>
            <w:tcW w:w="296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840" w:type="dxa"/>
            <w:vAlign w:val="bottom"/>
          </w:tcPr>
          <w:p>
            <w:pPr>
              <w:spacing w:after="0"/>
              <w:rPr>
                <w:sz w:val="24"/>
                <w:szCs w:val="24"/>
                <w:color w:val="auto"/>
              </w:rPr>
            </w:pPr>
          </w:p>
        </w:tc>
      </w:tr>
    </w:tbl>
    <w:p>
      <w:pPr>
        <w:sectPr>
          <w:pgSz w:w="11900" w:h="16838" w:orient="portrait"/>
          <w:cols w:equalWidth="0" w:num="1">
            <w:col w:w="10040"/>
          </w:cols>
          <w:pgMar w:left="1440" w:top="267" w:right="419" w:bottom="1440" w:gutter="0" w:footer="0" w:header="0"/>
        </w:sectPr>
      </w:pPr>
    </w:p>
    <w:bookmarkStart w:id="137" w:name="page138"/>
    <w:bookmarkEnd w:id="137"/>
    <w:p>
      <w:pPr>
        <w:ind w:left="54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SIGNODE INDUSTRIAL GROUP MEXICO</w:t>
      </w:r>
    </w:p>
    <w:p>
      <w:pPr>
        <w:spacing w:after="0" w:line="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S. DE R.L. DE C.V.</w:t>
      </w:r>
    </w:p>
    <w:p>
      <w:pPr>
        <w:spacing w:after="0" w:line="200" w:lineRule="exact"/>
        <w:rPr>
          <w:sz w:val="20"/>
          <w:szCs w:val="20"/>
          <w:color w:val="auto"/>
        </w:rPr>
      </w:pPr>
    </w:p>
    <w:p>
      <w:pPr>
        <w:spacing w:after="0" w:line="20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 /s/ Maria Evelia Hernandez Rdz.</w:t>
      </w:r>
    </w:p>
    <w:p>
      <w:pPr>
        <w:spacing w:after="0" w:line="12" w:lineRule="exact"/>
        <w:rPr>
          <w:sz w:val="20"/>
          <w:szCs w:val="20"/>
          <w:color w:val="auto"/>
        </w:rPr>
      </w:pPr>
    </w:p>
    <w:tbl>
      <w:tblPr>
        <w:tblLayout w:type="fixed"/>
        <w:tblInd w:w="5840" w:type="dxa"/>
        <w:tblCellMar>
          <w:top w:w="0" w:type="dxa"/>
          <w:left w:w="0" w:type="dxa"/>
          <w:bottom w:w="0" w:type="dxa"/>
          <w:right w:w="0" w:type="dxa"/>
        </w:tblCellMar>
      </w:tblPr>
      <w:tr>
        <w:trPr>
          <w:trHeight w:val="229"/>
        </w:trPr>
        <w:tc>
          <w:tcPr>
            <w:tcW w:w="86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40" w:type="dxa"/>
            <w:vAlign w:val="bottom"/>
            <w:tcBorders>
              <w:top w:val="single" w:sz="8" w:color="auto"/>
            </w:tcBorders>
          </w:tcPr>
          <w:p>
            <w:pPr>
              <w:ind w:left="200"/>
              <w:spacing w:after="0" w:line="228" w:lineRule="exact"/>
              <w:rPr>
                <w:sz w:val="20"/>
                <w:szCs w:val="20"/>
                <w:color w:val="auto"/>
              </w:rPr>
            </w:pPr>
            <w:r>
              <w:rPr>
                <w:rFonts w:ascii="Arial" w:cs="Arial" w:eastAsia="Arial" w:hAnsi="Arial"/>
                <w:sz w:val="22"/>
                <w:szCs w:val="22"/>
                <w:color w:val="auto"/>
              </w:rPr>
              <w:t>Maria Evelia Hernandez Rdz.</w:t>
            </w:r>
          </w:p>
        </w:tc>
      </w:tr>
      <w:tr>
        <w:trPr>
          <w:trHeight w:val="275"/>
        </w:trPr>
        <w:tc>
          <w:tcPr>
            <w:tcW w:w="860" w:type="dxa"/>
            <w:vAlign w:val="bottom"/>
          </w:tcPr>
          <w:p>
            <w:pPr>
              <w:ind w:left="80"/>
              <w:spacing w:after="0"/>
              <w:rPr>
                <w:sz w:val="20"/>
                <w:szCs w:val="20"/>
                <w:color w:val="auto"/>
              </w:rPr>
            </w:pPr>
            <w:r>
              <w:rPr>
                <w:rFonts w:ascii="Arial" w:cs="Arial" w:eastAsia="Arial" w:hAnsi="Arial"/>
                <w:sz w:val="22"/>
                <w:szCs w:val="22"/>
                <w:color w:val="auto"/>
              </w:rPr>
              <w:t>Title:</w:t>
            </w:r>
          </w:p>
        </w:tc>
        <w:tc>
          <w:tcPr>
            <w:tcW w:w="3340" w:type="dxa"/>
            <w:vAlign w:val="bottom"/>
          </w:tcPr>
          <w:p>
            <w:pPr>
              <w:ind w:left="200"/>
              <w:spacing w:after="0"/>
              <w:rPr>
                <w:sz w:val="20"/>
                <w:szCs w:val="20"/>
                <w:color w:val="auto"/>
              </w:rPr>
            </w:pPr>
            <w:r>
              <w:rPr>
                <w:rFonts w:ascii="Arial" w:cs="Arial" w:eastAsia="Arial" w:hAnsi="Arial"/>
                <w:sz w:val="22"/>
                <w:szCs w:val="22"/>
                <w:color w:val="auto"/>
              </w:rPr>
              <w:t>Secretary</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267" w:right="419" w:bottom="1440" w:gutter="0" w:footer="0" w:header="0"/>
        </w:sectPr>
      </w:pPr>
    </w:p>
    <w:bookmarkStart w:id="138" w:name="page139"/>
    <w:bookmarkEnd w:id="138"/>
    <w:p>
      <w:pPr>
        <w:ind w:left="45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Trustee</w:t>
      </w:r>
    </w:p>
    <w:p>
      <w:pPr>
        <w:spacing w:after="0" w:line="314"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Judge</w:t>
      </w:r>
    </w:p>
    <w:p>
      <w:pPr>
        <w:spacing w:after="0" w:line="12"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1240" w:type="dxa"/>
            <w:vAlign w:val="bottom"/>
            <w:tcBorders>
              <w:top w:val="single" w:sz="8" w:color="auto"/>
            </w:tcBorders>
          </w:tcPr>
          <w:p>
            <w:pPr>
              <w:ind w:left="140"/>
              <w:spacing w:after="0" w:line="228" w:lineRule="exact"/>
              <w:rPr>
                <w:sz w:val="20"/>
                <w:szCs w:val="20"/>
                <w:color w:val="auto"/>
              </w:rPr>
            </w:pPr>
            <w:r>
              <w:rPr>
                <w:rFonts w:ascii="Arial" w:cs="Arial" w:eastAsia="Arial" w:hAnsi="Arial"/>
                <w:sz w:val="22"/>
                <w:szCs w:val="22"/>
                <w:color w:val="auto"/>
              </w:rPr>
              <w:t>Name:</w:t>
            </w:r>
          </w:p>
        </w:tc>
        <w:tc>
          <w:tcPr>
            <w:tcW w:w="3760" w:type="dxa"/>
            <w:vAlign w:val="bottom"/>
            <w:tcBorders>
              <w:top w:val="single" w:sz="8" w:color="auto"/>
            </w:tcBorders>
          </w:tcPr>
          <w:p>
            <w:pPr>
              <w:ind w:left="500"/>
              <w:spacing w:after="0" w:line="228" w:lineRule="exact"/>
              <w:rPr>
                <w:sz w:val="20"/>
                <w:szCs w:val="20"/>
                <w:color w:val="auto"/>
              </w:rPr>
            </w:pPr>
            <w:r>
              <w:rPr>
                <w:rFonts w:ascii="Arial" w:cs="Arial" w:eastAsia="Arial" w:hAnsi="Arial"/>
                <w:sz w:val="22"/>
                <w:szCs w:val="22"/>
                <w:color w:val="auto"/>
              </w:rPr>
              <w:t>Michael Judge</w:t>
            </w:r>
          </w:p>
        </w:tc>
      </w:tr>
      <w:tr>
        <w:trPr>
          <w:trHeight w:val="275"/>
        </w:trPr>
        <w:tc>
          <w:tcPr>
            <w:tcW w:w="1800" w:type="dxa"/>
            <w:vAlign w:val="bottom"/>
          </w:tcPr>
          <w:p>
            <w:pPr>
              <w:spacing w:after="0"/>
              <w:rPr>
                <w:sz w:val="23"/>
                <w:szCs w:val="23"/>
                <w:color w:val="auto"/>
              </w:rPr>
            </w:pPr>
          </w:p>
        </w:tc>
        <w:tc>
          <w:tcPr>
            <w:tcW w:w="1240" w:type="dxa"/>
            <w:vAlign w:val="bottom"/>
          </w:tcPr>
          <w:p>
            <w:pPr>
              <w:ind w:left="140"/>
              <w:spacing w:after="0"/>
              <w:rPr>
                <w:sz w:val="20"/>
                <w:szCs w:val="20"/>
                <w:color w:val="auto"/>
              </w:rPr>
            </w:pPr>
            <w:r>
              <w:rPr>
                <w:rFonts w:ascii="Arial" w:cs="Arial" w:eastAsia="Arial" w:hAnsi="Arial"/>
                <w:sz w:val="22"/>
                <w:szCs w:val="22"/>
                <w:color w:val="auto"/>
              </w:rPr>
              <w:t>Title:</w:t>
            </w:r>
          </w:p>
        </w:tc>
        <w:tc>
          <w:tcPr>
            <w:tcW w:w="3760" w:type="dxa"/>
            <w:vAlign w:val="bottom"/>
          </w:tcPr>
          <w:p>
            <w:pPr>
              <w:ind w:left="500"/>
              <w:spacing w:after="0"/>
              <w:rPr>
                <w:sz w:val="20"/>
                <w:szCs w:val="20"/>
                <w:color w:val="auto"/>
              </w:rPr>
            </w:pPr>
            <w:r>
              <w:rPr>
                <w:rFonts w:ascii="Arial" w:cs="Arial" w:eastAsia="Arial" w:hAnsi="Arial"/>
                <w:sz w:val="22"/>
                <w:szCs w:val="22"/>
                <w:color w:val="auto"/>
              </w:rPr>
              <w:t>Vice President</w:t>
            </w:r>
          </w:p>
        </w:tc>
      </w:tr>
      <w:tr>
        <w:trPr>
          <w:trHeight w:val="392"/>
        </w:trPr>
        <w:tc>
          <w:tcPr>
            <w:tcW w:w="3040" w:type="dxa"/>
            <w:vAlign w:val="bottom"/>
            <w:gridSpan w:val="2"/>
          </w:tcPr>
          <w:p>
            <w:pPr>
              <w:spacing w:after="0"/>
              <w:rPr>
                <w:sz w:val="20"/>
                <w:szCs w:val="20"/>
                <w:color w:val="auto"/>
              </w:rPr>
            </w:pPr>
            <w:r>
              <w:rPr>
                <w:rFonts w:ascii="Arial" w:cs="Arial" w:eastAsia="Arial" w:hAnsi="Arial"/>
                <w:sz w:val="22"/>
                <w:szCs w:val="22"/>
                <w:color w:val="auto"/>
              </w:rPr>
              <w:t>[Signature Page to Indenture]</w:t>
            </w:r>
          </w:p>
        </w:tc>
        <w:tc>
          <w:tcPr>
            <w:tcW w:w="3760" w:type="dxa"/>
            <w:vAlign w:val="bottom"/>
          </w:tcPr>
          <w:p>
            <w:pPr>
              <w:spacing w:after="0"/>
              <w:rPr>
                <w:sz w:val="24"/>
                <w:szCs w:val="24"/>
                <w:color w:val="auto"/>
              </w:rPr>
            </w:pPr>
          </w:p>
        </w:tc>
      </w:tr>
    </w:tbl>
    <w:p>
      <w:pPr>
        <w:sectPr>
          <w:pgSz w:w="11900" w:h="16838" w:orient="portrait"/>
          <w:cols w:equalWidth="0" w:num="1">
            <w:col w:w="10040"/>
          </w:cols>
          <w:pgMar w:left="1440" w:top="266" w:right="419" w:bottom="1440" w:gutter="0" w:footer="0" w:header="0"/>
        </w:sectPr>
      </w:pPr>
    </w:p>
    <w:bookmarkStart w:id="139" w:name="page140"/>
    <w:bookmarkEnd w:id="139"/>
    <w:p>
      <w:pPr>
        <w:ind w:left="47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Elavon Financial Services DAC, as Paying Agent</w:t>
      </w:r>
    </w:p>
    <w:p>
      <w:pPr>
        <w:spacing w:after="0" w:line="200" w:lineRule="exact"/>
        <w:rPr>
          <w:sz w:val="20"/>
          <w:szCs w:val="20"/>
          <w:color w:val="auto"/>
        </w:rPr>
      </w:pPr>
    </w:p>
    <w:p>
      <w:pPr>
        <w:spacing w:after="0" w:line="222" w:lineRule="exact"/>
        <w:rPr>
          <w:sz w:val="20"/>
          <w:szCs w:val="20"/>
          <w:color w:val="auto"/>
        </w:rPr>
      </w:pPr>
    </w:p>
    <w:tbl>
      <w:tblPr>
        <w:tblLayout w:type="fixed"/>
        <w:tblInd w:w="474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gridSpan w:val="3"/>
          </w:tcPr>
          <w:p>
            <w:pPr>
              <w:ind w:left="80"/>
              <w:spacing w:after="0"/>
              <w:rPr>
                <w:sz w:val="20"/>
                <w:szCs w:val="20"/>
                <w:color w:val="auto"/>
              </w:rPr>
            </w:pPr>
            <w:r>
              <w:rPr>
                <w:rFonts w:ascii="Arial" w:cs="Arial" w:eastAsia="Arial" w:hAnsi="Arial"/>
                <w:sz w:val="22"/>
                <w:szCs w:val="22"/>
                <w:color w:val="auto"/>
              </w:rPr>
              <w:t>/s/ Michael Leong</w:t>
            </w: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Michael Leong</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520" w:type="dxa"/>
            <w:vAlign w:val="bottom"/>
            <w:gridSpan w:val="2"/>
          </w:tcPr>
          <w:p>
            <w:pPr>
              <w:ind w:left="80"/>
              <w:spacing w:after="0"/>
              <w:rPr>
                <w:sz w:val="20"/>
                <w:szCs w:val="20"/>
                <w:color w:val="auto"/>
              </w:rPr>
            </w:pPr>
            <w:r>
              <w:rPr>
                <w:rFonts w:ascii="Arial" w:cs="Arial" w:eastAsia="Arial" w:hAnsi="Arial"/>
                <w:sz w:val="22"/>
                <w:szCs w:val="22"/>
                <w:color w:val="auto"/>
                <w:w w:val="94"/>
              </w:rPr>
              <w:t>/s/ Chris Hobbs</w:t>
            </w:r>
          </w:p>
        </w:tc>
        <w:tc>
          <w:tcPr>
            <w:tcW w:w="338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Chris Hobbs</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Elavon Financial Services DAC, as Registrar</w:t>
      </w:r>
    </w:p>
    <w:p>
      <w:pPr>
        <w:spacing w:after="0" w:line="200" w:lineRule="exact"/>
        <w:rPr>
          <w:sz w:val="20"/>
          <w:szCs w:val="20"/>
          <w:color w:val="auto"/>
        </w:rPr>
      </w:pPr>
    </w:p>
    <w:p>
      <w:pPr>
        <w:spacing w:after="0" w:line="222" w:lineRule="exact"/>
        <w:rPr>
          <w:sz w:val="20"/>
          <w:szCs w:val="20"/>
          <w:color w:val="auto"/>
        </w:rPr>
      </w:pPr>
    </w:p>
    <w:tbl>
      <w:tblPr>
        <w:tblLayout w:type="fixed"/>
        <w:tblInd w:w="474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gridSpan w:val="3"/>
          </w:tcPr>
          <w:p>
            <w:pPr>
              <w:ind w:left="80"/>
              <w:spacing w:after="0"/>
              <w:rPr>
                <w:sz w:val="20"/>
                <w:szCs w:val="20"/>
                <w:color w:val="auto"/>
              </w:rPr>
            </w:pPr>
            <w:r>
              <w:rPr>
                <w:rFonts w:ascii="Arial" w:cs="Arial" w:eastAsia="Arial" w:hAnsi="Arial"/>
                <w:sz w:val="22"/>
                <w:szCs w:val="22"/>
                <w:color w:val="auto"/>
              </w:rPr>
              <w:t>/s/ Michael Leong</w:t>
            </w: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Michael Leong</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520" w:type="dxa"/>
            <w:vAlign w:val="bottom"/>
            <w:gridSpan w:val="2"/>
          </w:tcPr>
          <w:p>
            <w:pPr>
              <w:ind w:left="80"/>
              <w:spacing w:after="0"/>
              <w:rPr>
                <w:sz w:val="20"/>
                <w:szCs w:val="20"/>
                <w:color w:val="auto"/>
              </w:rPr>
            </w:pPr>
            <w:r>
              <w:rPr>
                <w:rFonts w:ascii="Arial" w:cs="Arial" w:eastAsia="Arial" w:hAnsi="Arial"/>
                <w:sz w:val="22"/>
                <w:szCs w:val="22"/>
                <w:color w:val="auto"/>
                <w:w w:val="94"/>
              </w:rPr>
              <w:t>/s/ Chris Hobbs</w:t>
            </w:r>
          </w:p>
        </w:tc>
        <w:tc>
          <w:tcPr>
            <w:tcW w:w="338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Chris Hobbs</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Elavon Financial Services DAC, as Transfer Agent</w:t>
      </w:r>
    </w:p>
    <w:p>
      <w:pPr>
        <w:spacing w:after="0" w:line="200" w:lineRule="exact"/>
        <w:rPr>
          <w:sz w:val="20"/>
          <w:szCs w:val="20"/>
          <w:color w:val="auto"/>
        </w:rPr>
      </w:pPr>
    </w:p>
    <w:p>
      <w:pPr>
        <w:spacing w:after="0" w:line="222" w:lineRule="exact"/>
        <w:rPr>
          <w:sz w:val="20"/>
          <w:szCs w:val="20"/>
          <w:color w:val="auto"/>
        </w:rPr>
      </w:pPr>
    </w:p>
    <w:tbl>
      <w:tblPr>
        <w:tblLayout w:type="fixed"/>
        <w:tblInd w:w="4740" w:type="dxa"/>
        <w:tblCellMar>
          <w:top w:w="0" w:type="dxa"/>
          <w:left w:w="0" w:type="dxa"/>
          <w:bottom w:w="0" w:type="dxa"/>
          <w:right w:w="0" w:type="dxa"/>
        </w:tblCellMar>
      </w:tblPr>
      <w:tr>
        <w:trPr>
          <w:trHeight w:val="2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gridSpan w:val="3"/>
          </w:tcPr>
          <w:p>
            <w:pPr>
              <w:ind w:left="80"/>
              <w:spacing w:after="0"/>
              <w:rPr>
                <w:sz w:val="20"/>
                <w:szCs w:val="20"/>
                <w:color w:val="auto"/>
              </w:rPr>
            </w:pPr>
            <w:r>
              <w:rPr>
                <w:rFonts w:ascii="Arial" w:cs="Arial" w:eastAsia="Arial" w:hAnsi="Arial"/>
                <w:sz w:val="22"/>
                <w:szCs w:val="22"/>
                <w:color w:val="auto"/>
              </w:rPr>
              <w:t>/s/ Michael Leong</w:t>
            </w: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Michael Leong</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r>
        <w:trPr>
          <w:trHeight w:val="66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1520" w:type="dxa"/>
            <w:vAlign w:val="bottom"/>
            <w:gridSpan w:val="2"/>
          </w:tcPr>
          <w:p>
            <w:pPr>
              <w:ind w:left="80"/>
              <w:spacing w:after="0"/>
              <w:rPr>
                <w:sz w:val="20"/>
                <w:szCs w:val="20"/>
                <w:color w:val="auto"/>
              </w:rPr>
            </w:pPr>
            <w:r>
              <w:rPr>
                <w:rFonts w:ascii="Arial" w:cs="Arial" w:eastAsia="Arial" w:hAnsi="Arial"/>
                <w:sz w:val="22"/>
                <w:szCs w:val="22"/>
                <w:color w:val="auto"/>
                <w:w w:val="94"/>
              </w:rPr>
              <w:t>/s/ Chris Hobbs</w:t>
            </w:r>
          </w:p>
        </w:tc>
        <w:tc>
          <w:tcPr>
            <w:tcW w:w="338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Name:</w:t>
            </w:r>
          </w:p>
        </w:tc>
        <w:tc>
          <w:tcPr>
            <w:tcW w:w="3380" w:type="dxa"/>
            <w:vAlign w:val="bottom"/>
            <w:tcBorders>
              <w:top w:val="single" w:sz="8" w:color="auto"/>
            </w:tcBorders>
          </w:tcPr>
          <w:p>
            <w:pPr>
              <w:ind w:left="100"/>
              <w:spacing w:after="0" w:line="228" w:lineRule="exact"/>
              <w:rPr>
                <w:sz w:val="20"/>
                <w:szCs w:val="20"/>
                <w:color w:val="auto"/>
              </w:rPr>
            </w:pPr>
            <w:r>
              <w:rPr>
                <w:rFonts w:ascii="Arial" w:cs="Arial" w:eastAsia="Arial" w:hAnsi="Arial"/>
                <w:sz w:val="22"/>
                <w:szCs w:val="22"/>
                <w:color w:val="auto"/>
              </w:rPr>
              <w:t>Chris Hobbs</w:t>
            </w:r>
          </w:p>
        </w:tc>
      </w:tr>
      <w:tr>
        <w:trPr>
          <w:trHeight w:val="275"/>
        </w:trPr>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Title:</w:t>
            </w:r>
          </w:p>
        </w:tc>
        <w:tc>
          <w:tcPr>
            <w:tcW w:w="338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bl>
    <w:p>
      <w:pPr>
        <w:spacing w:after="0" w:line="1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40"/>
          </w:cols>
          <w:pgMar w:left="1440" w:top="267" w:right="4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8840" w:type="dxa"/>
            <w:vAlign w:val="bottom"/>
            <w:gridSpan w:val="3"/>
          </w:tcPr>
          <w:p>
            <w:pPr>
              <w:jc w:val="right"/>
              <w:spacing w:after="0"/>
              <w:rPr>
                <w:sz w:val="20"/>
                <w:szCs w:val="20"/>
                <w:color w:val="auto"/>
              </w:rPr>
            </w:pPr>
            <w:r>
              <w:rPr>
                <w:rFonts w:ascii="Arial" w:cs="Arial" w:eastAsia="Arial" w:hAnsi="Arial"/>
                <w:sz w:val="22"/>
                <w:szCs w:val="22"/>
                <w:color w:val="auto"/>
              </w:rPr>
              <w:t>EXHIBIT A-1</w:t>
            </w:r>
          </w:p>
        </w:tc>
      </w:tr>
      <w:tr>
        <w:trPr>
          <w:trHeight w:val="706"/>
        </w:trPr>
        <w:tc>
          <w:tcPr>
            <w:tcW w:w="2180" w:type="dxa"/>
            <w:vAlign w:val="bottom"/>
          </w:tcPr>
          <w:p>
            <w:pPr>
              <w:spacing w:after="0"/>
              <w:rPr>
                <w:sz w:val="24"/>
                <w:szCs w:val="24"/>
                <w:color w:val="auto"/>
              </w:rPr>
            </w:pPr>
          </w:p>
        </w:tc>
        <w:tc>
          <w:tcPr>
            <w:tcW w:w="7600" w:type="dxa"/>
            <w:vAlign w:val="bottom"/>
          </w:tcPr>
          <w:p>
            <w:pPr>
              <w:jc w:val="center"/>
              <w:ind w:right="812"/>
              <w:spacing w:after="0"/>
              <w:rPr>
                <w:sz w:val="20"/>
                <w:szCs w:val="20"/>
                <w:color w:val="auto"/>
              </w:rPr>
            </w:pPr>
            <w:r>
              <w:rPr>
                <w:rFonts w:ascii="Arial" w:cs="Arial" w:eastAsia="Arial" w:hAnsi="Arial"/>
                <w:sz w:val="22"/>
                <w:szCs w:val="22"/>
                <w:color w:val="auto"/>
                <w:w w:val="94"/>
              </w:rPr>
              <w:t>[FORM OF RESTRICTED NOTE]</w:t>
            </w: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459"/>
        </w:trPr>
        <w:tc>
          <w:tcPr>
            <w:tcW w:w="2180" w:type="dxa"/>
            <w:vAlign w:val="bottom"/>
          </w:tcPr>
          <w:p>
            <w:pPr>
              <w:spacing w:after="0"/>
              <w:rPr>
                <w:sz w:val="24"/>
                <w:szCs w:val="24"/>
                <w:color w:val="auto"/>
              </w:rPr>
            </w:pPr>
          </w:p>
        </w:tc>
        <w:tc>
          <w:tcPr>
            <w:tcW w:w="8240" w:type="dxa"/>
            <w:vAlign w:val="bottom"/>
            <w:gridSpan w:val="2"/>
          </w:tcPr>
          <w:p>
            <w:pPr>
              <w:jc w:val="center"/>
              <w:ind w:right="1580"/>
              <w:spacing w:after="0"/>
              <w:rPr>
                <w:sz w:val="20"/>
                <w:szCs w:val="20"/>
                <w:color w:val="auto"/>
              </w:rPr>
            </w:pPr>
            <w:r>
              <w:rPr>
                <w:rFonts w:ascii="Arial" w:cs="Arial" w:eastAsia="Arial" w:hAnsi="Arial"/>
                <w:sz w:val="22"/>
                <w:szCs w:val="22"/>
                <w:b w:val="1"/>
                <w:bCs w:val="1"/>
                <w:color w:val="auto"/>
                <w:w w:val="97"/>
              </w:rPr>
              <w:t>CROWN EUROPEAN HOLDINGS S.A.</w:t>
            </w:r>
          </w:p>
        </w:tc>
        <w:tc>
          <w:tcPr>
            <w:tcW w:w="600" w:type="dxa"/>
            <w:vAlign w:val="bottom"/>
          </w:tcPr>
          <w:p>
            <w:pPr>
              <w:spacing w:after="0"/>
              <w:rPr>
                <w:sz w:val="24"/>
                <w:szCs w:val="24"/>
                <w:color w:val="auto"/>
              </w:rPr>
            </w:pPr>
          </w:p>
        </w:tc>
      </w:tr>
      <w:tr>
        <w:trPr>
          <w:trHeight w:val="459"/>
        </w:trPr>
        <w:tc>
          <w:tcPr>
            <w:tcW w:w="2180" w:type="dxa"/>
            <w:vAlign w:val="bottom"/>
          </w:tcPr>
          <w:p>
            <w:pPr>
              <w:spacing w:after="0"/>
              <w:rPr>
                <w:sz w:val="24"/>
                <w:szCs w:val="24"/>
                <w:color w:val="auto"/>
              </w:rPr>
            </w:pPr>
          </w:p>
        </w:tc>
        <w:tc>
          <w:tcPr>
            <w:tcW w:w="8240" w:type="dxa"/>
            <w:vAlign w:val="bottom"/>
            <w:gridSpan w:val="2"/>
          </w:tcPr>
          <w:p>
            <w:pPr>
              <w:jc w:val="center"/>
              <w:ind w:right="1560"/>
              <w:spacing w:after="0"/>
              <w:rPr>
                <w:sz w:val="20"/>
                <w:szCs w:val="20"/>
                <w:color w:val="auto"/>
              </w:rPr>
            </w:pPr>
            <w:r>
              <w:rPr>
                <w:rFonts w:ascii="Arial" w:cs="Arial" w:eastAsia="Arial" w:hAnsi="Arial"/>
                <w:sz w:val="22"/>
                <w:szCs w:val="22"/>
                <w:color w:val="auto"/>
                <w:w w:val="91"/>
              </w:rPr>
              <w:t>0.750% SENIOR NOTE DUE 2023</w:t>
            </w:r>
          </w:p>
        </w:tc>
        <w:tc>
          <w:tcPr>
            <w:tcW w:w="600" w:type="dxa"/>
            <w:vAlign w:val="bottom"/>
          </w:tcPr>
          <w:p>
            <w:pPr>
              <w:spacing w:after="0"/>
              <w:rPr>
                <w:sz w:val="24"/>
                <w:szCs w:val="24"/>
                <w:color w:val="auto"/>
              </w:rPr>
            </w:pPr>
          </w:p>
        </w:tc>
      </w:tr>
      <w:tr>
        <w:trPr>
          <w:trHeight w:val="459"/>
        </w:trPr>
        <w:tc>
          <w:tcPr>
            <w:tcW w:w="2180" w:type="dxa"/>
            <w:vAlign w:val="bottom"/>
          </w:tcPr>
          <w:p>
            <w:pPr>
              <w:spacing w:after="0"/>
              <w:rPr>
                <w:sz w:val="24"/>
                <w:szCs w:val="24"/>
                <w:color w:val="auto"/>
              </w:rPr>
            </w:pPr>
          </w:p>
        </w:tc>
        <w:tc>
          <w:tcPr>
            <w:tcW w:w="8240" w:type="dxa"/>
            <w:vAlign w:val="bottom"/>
            <w:gridSpan w:val="2"/>
          </w:tcPr>
          <w:p>
            <w:pPr>
              <w:jc w:val="center"/>
              <w:ind w:right="1560"/>
              <w:spacing w:after="0"/>
              <w:rPr>
                <w:sz w:val="20"/>
                <w:szCs w:val="20"/>
                <w:color w:val="auto"/>
              </w:rPr>
            </w:pPr>
            <w:r>
              <w:rPr>
                <w:rFonts w:ascii="Arial" w:cs="Arial" w:eastAsia="Arial" w:hAnsi="Arial"/>
                <w:sz w:val="22"/>
                <w:szCs w:val="22"/>
                <w:b w:val="1"/>
                <w:bCs w:val="1"/>
                <w:color w:val="auto"/>
                <w:w w:val="86"/>
              </w:rPr>
              <w:t>[</w:t>
            </w:r>
            <w:r>
              <w:rPr>
                <w:rFonts w:ascii="Arial" w:cs="Arial" w:eastAsia="Arial" w:hAnsi="Arial"/>
                <w:sz w:val="22"/>
                <w:szCs w:val="22"/>
                <w:b w:val="1"/>
                <w:bCs w:val="1"/>
                <w:i w:val="1"/>
                <w:iCs w:val="1"/>
                <w:color w:val="auto"/>
                <w:w w:val="86"/>
              </w:rPr>
              <w:t>Insert Global Note Legend</w:t>
            </w:r>
            <w:r>
              <w:rPr>
                <w:rFonts w:ascii="Arial" w:cs="Arial" w:eastAsia="Arial" w:hAnsi="Arial"/>
                <w:sz w:val="22"/>
                <w:szCs w:val="22"/>
                <w:b w:val="1"/>
                <w:bCs w:val="1"/>
                <w:color w:val="auto"/>
                <w:w w:val="86"/>
              </w:rPr>
              <w:t xml:space="preserve">, </w:t>
            </w:r>
            <w:r>
              <w:rPr>
                <w:rFonts w:ascii="Arial" w:cs="Arial" w:eastAsia="Arial" w:hAnsi="Arial"/>
                <w:sz w:val="22"/>
                <w:szCs w:val="22"/>
                <w:b w:val="1"/>
                <w:bCs w:val="1"/>
                <w:i w:val="1"/>
                <w:iCs w:val="1"/>
                <w:color w:val="auto"/>
                <w:w w:val="86"/>
              </w:rPr>
              <w:t>if applicable</w:t>
            </w:r>
            <w:r>
              <w:rPr>
                <w:rFonts w:ascii="Arial" w:cs="Arial" w:eastAsia="Arial" w:hAnsi="Arial"/>
                <w:sz w:val="22"/>
                <w:szCs w:val="22"/>
                <w:b w:val="1"/>
                <w:bCs w:val="1"/>
                <w:color w:val="auto"/>
                <w:w w:val="86"/>
              </w:rPr>
              <w:t>]</w:t>
            </w:r>
          </w:p>
        </w:tc>
        <w:tc>
          <w:tcPr>
            <w:tcW w:w="600" w:type="dxa"/>
            <w:vAlign w:val="bottom"/>
          </w:tcPr>
          <w:p>
            <w:pPr>
              <w:spacing w:after="0"/>
              <w:rPr>
                <w:sz w:val="24"/>
                <w:szCs w:val="24"/>
                <w:color w:val="auto"/>
              </w:rPr>
            </w:pPr>
          </w:p>
        </w:tc>
      </w:tr>
      <w:tr>
        <w:trPr>
          <w:trHeight w:val="459"/>
        </w:trPr>
        <w:tc>
          <w:tcPr>
            <w:tcW w:w="2180" w:type="dxa"/>
            <w:vAlign w:val="bottom"/>
          </w:tcPr>
          <w:p>
            <w:pPr>
              <w:spacing w:after="0"/>
              <w:rPr>
                <w:sz w:val="24"/>
                <w:szCs w:val="24"/>
                <w:color w:val="auto"/>
              </w:rPr>
            </w:pPr>
          </w:p>
        </w:tc>
        <w:tc>
          <w:tcPr>
            <w:tcW w:w="8240" w:type="dxa"/>
            <w:vAlign w:val="bottom"/>
            <w:gridSpan w:val="2"/>
          </w:tcPr>
          <w:p>
            <w:pPr>
              <w:jc w:val="center"/>
              <w:ind w:right="1580"/>
              <w:spacing w:after="0"/>
              <w:rPr>
                <w:sz w:val="20"/>
                <w:szCs w:val="20"/>
                <w:color w:val="auto"/>
              </w:rPr>
            </w:pPr>
            <w:r>
              <w:rPr>
                <w:rFonts w:ascii="Arial" w:cs="Arial" w:eastAsia="Arial" w:hAnsi="Arial"/>
                <w:sz w:val="22"/>
                <w:szCs w:val="22"/>
                <w:b w:val="1"/>
                <w:bCs w:val="1"/>
                <w:color w:val="auto"/>
                <w:w w:val="86"/>
              </w:rPr>
              <w:t>[</w:t>
            </w:r>
            <w:r>
              <w:rPr>
                <w:rFonts w:ascii="Arial" w:cs="Arial" w:eastAsia="Arial" w:hAnsi="Arial"/>
                <w:sz w:val="22"/>
                <w:szCs w:val="22"/>
                <w:b w:val="1"/>
                <w:bCs w:val="1"/>
                <w:i w:val="1"/>
                <w:iCs w:val="1"/>
                <w:color w:val="auto"/>
                <w:w w:val="86"/>
              </w:rPr>
              <w:t>Insert Private Placement Legend</w:t>
            </w:r>
            <w:r>
              <w:rPr>
                <w:rFonts w:ascii="Arial" w:cs="Arial" w:eastAsia="Arial" w:hAnsi="Arial"/>
                <w:sz w:val="22"/>
                <w:szCs w:val="22"/>
                <w:b w:val="1"/>
                <w:bCs w:val="1"/>
                <w:color w:val="auto"/>
                <w:w w:val="86"/>
              </w:rPr>
              <w:t>]</w:t>
            </w:r>
          </w:p>
        </w:tc>
        <w:tc>
          <w:tcPr>
            <w:tcW w:w="600" w:type="dxa"/>
            <w:vAlign w:val="bottom"/>
          </w:tcPr>
          <w:p>
            <w:pPr>
              <w:spacing w:after="0"/>
              <w:rPr>
                <w:sz w:val="24"/>
                <w:szCs w:val="24"/>
                <w:color w:val="auto"/>
              </w:rPr>
            </w:pPr>
          </w:p>
        </w:tc>
      </w:tr>
      <w:tr>
        <w:trPr>
          <w:trHeight w:val="455"/>
        </w:trPr>
        <w:tc>
          <w:tcPr>
            <w:tcW w:w="2180" w:type="dxa"/>
            <w:vAlign w:val="bottom"/>
          </w:tcPr>
          <w:p>
            <w:pPr>
              <w:spacing w:after="0"/>
              <w:rPr>
                <w:sz w:val="20"/>
                <w:szCs w:val="20"/>
                <w:color w:val="auto"/>
              </w:rPr>
            </w:pPr>
            <w:r>
              <w:rPr>
                <w:rFonts w:ascii="Arial" w:cs="Arial" w:eastAsia="Arial" w:hAnsi="Arial"/>
                <w:sz w:val="22"/>
                <w:szCs w:val="22"/>
                <w:color w:val="auto"/>
              </w:rPr>
              <w:t>No. [  ]</w:t>
            </w:r>
          </w:p>
        </w:tc>
        <w:tc>
          <w:tcPr>
            <w:tcW w:w="8240" w:type="dxa"/>
            <w:vAlign w:val="bottom"/>
            <w:gridSpan w:val="2"/>
          </w:tcPr>
          <w:p>
            <w:pPr>
              <w:jc w:val="right"/>
              <w:ind w:right="540"/>
              <w:spacing w:after="0"/>
              <w:rPr>
                <w:sz w:val="20"/>
                <w:szCs w:val="20"/>
                <w:color w:val="auto"/>
              </w:rPr>
            </w:pPr>
            <w:r>
              <w:rPr>
                <w:rFonts w:ascii="Arial" w:cs="Arial" w:eastAsia="Arial" w:hAnsi="Arial"/>
                <w:sz w:val="22"/>
                <w:szCs w:val="22"/>
                <w:color w:val="auto"/>
              </w:rPr>
              <w:t>ISIN No. [</w:t>
            </w:r>
          </w:p>
        </w:tc>
        <w:tc>
          <w:tcPr>
            <w:tcW w:w="6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2180" w:type="dxa"/>
            <w:vAlign w:val="bottom"/>
          </w:tcPr>
          <w:p>
            <w:pPr>
              <w:spacing w:after="0"/>
              <w:rPr>
                <w:sz w:val="21"/>
                <w:szCs w:val="21"/>
                <w:color w:val="auto"/>
              </w:rPr>
            </w:pPr>
          </w:p>
        </w:tc>
        <w:tc>
          <w:tcPr>
            <w:tcW w:w="824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Common Code No. [</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75"/>
        </w:trPr>
        <w:tc>
          <w:tcPr>
            <w:tcW w:w="2180" w:type="dxa"/>
            <w:vAlign w:val="bottom"/>
          </w:tcPr>
          <w:p>
            <w:pPr>
              <w:spacing w:after="0"/>
              <w:rPr>
                <w:sz w:val="23"/>
                <w:szCs w:val="23"/>
                <w:color w:val="auto"/>
              </w:rPr>
            </w:pPr>
          </w:p>
        </w:tc>
        <w:tc>
          <w:tcPr>
            <w:tcW w:w="8240" w:type="dxa"/>
            <w:vAlign w:val="bottom"/>
            <w:gridSpan w:val="2"/>
          </w:tcPr>
          <w:p>
            <w:pPr>
              <w:jc w:val="right"/>
              <w:ind w:right="540"/>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1"/>
          <w:szCs w:val="21"/>
          <w:color w:val="auto"/>
        </w:rPr>
        <w:t xml:space="preserve">CROWN EUROPEAN HOLDINGS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as issuer (the “</w:t>
      </w:r>
      <w:r>
        <w:rPr>
          <w:rFonts w:ascii="Arial" w:cs="Arial" w:eastAsia="Arial" w:hAnsi="Arial"/>
          <w:sz w:val="21"/>
          <w:szCs w:val="21"/>
          <w:u w:val="single" w:color="auto"/>
          <w:color w:val="auto"/>
        </w:rPr>
        <w:t>Issuer</w:t>
      </w:r>
      <w:r>
        <w:rPr>
          <w:rFonts w:ascii="Arial" w:cs="Arial" w:eastAsia="Arial" w:hAnsi="Arial"/>
          <w:sz w:val="21"/>
          <w:szCs w:val="21"/>
          <w:color w:val="auto"/>
        </w:rPr>
        <w:t>”), for value</w:t>
      </w:r>
    </w:p>
    <w:p>
      <w:pPr>
        <w:spacing w:after="0" w:line="20" w:lineRule="exact"/>
        <w:rPr>
          <w:sz w:val="20"/>
          <w:szCs w:val="20"/>
          <w:color w:val="auto"/>
        </w:rPr>
      </w:pPr>
    </w:p>
    <w:p>
      <w:pPr>
        <w:ind w:right="300"/>
        <w:spacing w:after="0" w:line="234" w:lineRule="auto"/>
        <w:rPr>
          <w:sz w:val="20"/>
          <w:szCs w:val="20"/>
          <w:color w:val="auto"/>
        </w:rPr>
      </w:pPr>
      <w:r>
        <w:rPr>
          <w:rFonts w:ascii="Arial" w:cs="Arial" w:eastAsia="Arial" w:hAnsi="Arial"/>
          <w:sz w:val="22"/>
          <w:szCs w:val="22"/>
          <w:color w:val="auto"/>
        </w:rPr>
        <w:t>received, promises to pay to USB Nominees (UK) Limited or registered assigns the principal sum of [ ] (or such other principal amount as shall be set forth in the Schedule of Exchanges of Interests in Global Note attached hereto), on February 15, 2023.</w:t>
      </w:r>
    </w:p>
    <w:p>
      <w:pPr>
        <w:spacing w:after="0" w:line="147" w:lineRule="exact"/>
        <w:rPr>
          <w:sz w:val="20"/>
          <w:szCs w:val="20"/>
          <w:color w:val="auto"/>
        </w:rPr>
      </w:pPr>
    </w:p>
    <w:p>
      <w:pPr>
        <w:ind w:left="60"/>
        <w:spacing w:after="0"/>
        <w:tabs>
          <w:tab w:leader="none" w:pos="2320" w:val="left"/>
        </w:tabs>
        <w:rPr>
          <w:sz w:val="20"/>
          <w:szCs w:val="20"/>
          <w:color w:val="auto"/>
        </w:rPr>
      </w:pPr>
      <w:r>
        <w:rPr>
          <w:rFonts w:ascii="Arial" w:cs="Arial" w:eastAsia="Arial" w:hAnsi="Arial"/>
          <w:sz w:val="22"/>
          <w:szCs w:val="22"/>
          <w:color w:val="auto"/>
        </w:rPr>
        <w:t>Interest Payment Dates:</w:t>
      </w:r>
      <w:r>
        <w:rPr>
          <w:sz w:val="20"/>
          <w:szCs w:val="20"/>
          <w:color w:val="auto"/>
        </w:rPr>
        <w:tab/>
      </w:r>
      <w:r>
        <w:rPr>
          <w:rFonts w:ascii="Arial" w:cs="Arial" w:eastAsia="Arial" w:hAnsi="Arial"/>
          <w:sz w:val="19"/>
          <w:szCs w:val="19"/>
          <w:color w:val="auto"/>
        </w:rPr>
        <w:t>February 15 and August 15 commencing August 15, 2020.</w:t>
      </w:r>
    </w:p>
    <w:p>
      <w:pPr>
        <w:spacing w:after="0" w:line="179"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22"/>
          <w:szCs w:val="22"/>
          <w:color w:val="auto"/>
        </w:rPr>
        <w:t>Record Dates:</w:t>
      </w:r>
      <w:r>
        <w:rPr>
          <w:sz w:val="20"/>
          <w:szCs w:val="20"/>
          <w:color w:val="auto"/>
        </w:rPr>
        <w:tab/>
      </w:r>
      <w:r>
        <w:rPr>
          <w:rFonts w:ascii="Arial" w:cs="Arial" w:eastAsia="Arial" w:hAnsi="Arial"/>
          <w:sz w:val="19"/>
          <w:szCs w:val="19"/>
          <w:color w:val="auto"/>
        </w:rPr>
        <w:t>February 1 and August 1 (whether or not a Business Day).</w:t>
      </w:r>
    </w:p>
    <w:p>
      <w:pPr>
        <w:spacing w:after="0" w:line="166" w:lineRule="exact"/>
        <w:rPr>
          <w:sz w:val="20"/>
          <w:szCs w:val="20"/>
          <w:color w:val="auto"/>
        </w:rPr>
      </w:pPr>
    </w:p>
    <w:p>
      <w:pPr>
        <w:ind w:right="80" w:firstLine="1433"/>
        <w:spacing w:after="0" w:line="251" w:lineRule="auto"/>
        <w:rPr>
          <w:sz w:val="20"/>
          <w:szCs w:val="20"/>
          <w:color w:val="auto"/>
        </w:rPr>
      </w:pPr>
      <w:r>
        <w:rPr>
          <w:rFonts w:ascii="Arial" w:cs="Arial" w:eastAsia="Arial" w:hAnsi="Arial"/>
          <w:sz w:val="22"/>
          <w:szCs w:val="22"/>
          <w:color w:val="auto"/>
        </w:rPr>
        <w:t>Reference is made to the further provisions of this Note contained herein, which will for all purposes have the same effect as if set forth at this place.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020"/>
          </w:cols>
          <w:pgMar w:left="440" w:top="238" w:right="439" w:bottom="1440" w:gutter="0" w:footer="0" w:header="0"/>
        </w:sectPr>
      </w:pPr>
    </w:p>
    <w:bookmarkStart w:id="141" w:name="page142"/>
    <w:bookmarkEnd w:id="141"/>
    <w:p>
      <w:pPr>
        <w:ind w:left="4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by two of its duly authorized officers.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CROWN EUROPEAN HOLDINGS S.A.</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7620</wp:posOffset>
            </wp:positionV>
            <wp:extent cx="25387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Title:</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7620</wp:posOffset>
            </wp:positionV>
            <wp:extent cx="25387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Title:</w:t>
      </w:r>
    </w:p>
    <w:p>
      <w:pPr>
        <w:spacing w:after="0" w:line="12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9900"/>
          </w:cols>
          <w:pgMar w:left="1440" w:top="267" w:right="559" w:bottom="1440" w:gutter="0" w:footer="0" w:header="0"/>
        </w:sectPr>
      </w:pPr>
    </w:p>
    <w:bookmarkStart w:id="142" w:name="page143"/>
    <w:bookmarkEnd w:id="142"/>
    <w:p>
      <w:pPr>
        <w:jc w:val="center"/>
        <w:ind w:right="-4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Authentication</w:t>
      </w: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This is one of the 0.750% Senior Notes due 2023 referred to in the within-mentioned Indenture.</w:t>
      </w:r>
    </w:p>
    <w:p>
      <w:pPr>
        <w:spacing w:after="0" w:line="233"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U.S. BANK NATIONAL ASSOCIATION, as</w:t>
      </w:r>
    </w:p>
    <w:p>
      <w:pPr>
        <w:spacing w:after="0" w:line="4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Trustee</w:t>
      </w:r>
    </w:p>
    <w:p>
      <w:pPr>
        <w:spacing w:after="0" w:line="337"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7620</wp:posOffset>
            </wp:positionV>
            <wp:extent cx="25126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139"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580"/>
          </w:cols>
          <w:pgMar w:left="440" w:top="267" w:right="879" w:bottom="1440" w:gutter="0" w:footer="0" w:header="0"/>
        </w:sectPr>
      </w:pPr>
    </w:p>
    <w:bookmarkStart w:id="143" w:name="page144"/>
    <w:bookmarkEnd w:id="143"/>
    <w:p>
      <w:pPr>
        <w:jc w:val="center"/>
        <w:ind w:right="-15"/>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OF RESTRICTED NOTE]</w:t>
      </w:r>
    </w:p>
    <w:p>
      <w:pPr>
        <w:spacing w:after="0" w:line="200" w:lineRule="exact"/>
        <w:rPr>
          <w:sz w:val="20"/>
          <w:szCs w:val="20"/>
          <w:color w:val="auto"/>
        </w:rPr>
      </w:pPr>
    </w:p>
    <w:p>
      <w:pPr>
        <w:jc w:val="center"/>
        <w:ind w:right="-15"/>
        <w:spacing w:after="0"/>
        <w:rPr>
          <w:sz w:val="20"/>
          <w:szCs w:val="20"/>
          <w:color w:val="auto"/>
        </w:rPr>
      </w:pPr>
      <w:r>
        <w:rPr>
          <w:rFonts w:ascii="Arial" w:cs="Arial" w:eastAsia="Arial" w:hAnsi="Arial"/>
          <w:sz w:val="22"/>
          <w:szCs w:val="22"/>
          <w:b w:val="1"/>
          <w:bCs w:val="1"/>
          <w:color w:val="auto"/>
        </w:rPr>
        <w:t>CROWN EUROPEAN HOLDINGS S.A.</w:t>
      </w:r>
    </w:p>
    <w:p>
      <w:pPr>
        <w:spacing w:after="0" w:line="212"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0.750% SENIOR NOTE DUE 2023</w:t>
      </w:r>
    </w:p>
    <w:p>
      <w:pPr>
        <w:spacing w:after="0" w:line="200" w:lineRule="exact"/>
        <w:rPr>
          <w:sz w:val="20"/>
          <w:szCs w:val="20"/>
          <w:color w:val="auto"/>
        </w:rPr>
      </w:pPr>
    </w:p>
    <w:p>
      <w:pPr>
        <w:spacing w:after="0" w:line="222" w:lineRule="exact"/>
        <w:rPr>
          <w:sz w:val="20"/>
          <w:szCs w:val="20"/>
          <w:color w:val="auto"/>
        </w:rPr>
      </w:pPr>
    </w:p>
    <w:p>
      <w:pPr>
        <w:ind w:left="-4" w:firstLine="1436"/>
        <w:spacing w:after="0" w:line="247" w:lineRule="auto"/>
        <w:tabs>
          <w:tab w:leader="none" w:pos="2023"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CROWN EUROPEAN HOLDINGS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as issuer (the “</w:t>
      </w:r>
      <w:r>
        <w:rPr>
          <w:rFonts w:ascii="Arial" w:cs="Arial" w:eastAsia="Arial" w:hAnsi="Arial"/>
          <w:sz w:val="21"/>
          <w:szCs w:val="21"/>
          <w:u w:val="single" w:color="auto"/>
          <w:color w:val="auto"/>
        </w:rPr>
        <w:t>Issuer</w:t>
      </w:r>
      <w:r>
        <w:rPr>
          <w:rFonts w:ascii="Arial" w:cs="Arial" w:eastAsia="Arial" w:hAnsi="Arial"/>
          <w:sz w:val="21"/>
          <w:szCs w:val="21"/>
          <w:color w:val="auto"/>
        </w:rPr>
        <w:t>”), promises to pay interest on the principal amount set forth on the face hereof at a rate of 0.750% per annum. Interest hereon will accrue from and including the most recent date to which interest has been paid or, if no interest has been paid, from and including October 31, 2019</w:t>
      </w:r>
      <w:r>
        <w:rPr>
          <w:rFonts w:ascii="Arial" w:cs="Arial" w:eastAsia="Arial" w:hAnsi="Arial"/>
          <w:sz w:val="17"/>
          <w:szCs w:val="17"/>
          <w:color w:val="auto"/>
        </w:rPr>
        <w:t>1</w:t>
      </w:r>
      <w:r>
        <w:rPr>
          <w:rFonts w:ascii="Arial" w:cs="Arial" w:eastAsia="Arial" w:hAnsi="Arial"/>
          <w:sz w:val="21"/>
          <w:szCs w:val="21"/>
          <w:color w:val="auto"/>
        </w:rPr>
        <w:t xml:space="preserve"> to but excluding the date on which interest is paid. Interest shall be payable in arrears on each February 15 and August 15, commencing August 15, 2020</w:t>
      </w:r>
      <w:r>
        <w:rPr>
          <w:rFonts w:ascii="Arial" w:cs="Arial" w:eastAsia="Arial" w:hAnsi="Arial"/>
          <w:sz w:val="17"/>
          <w:szCs w:val="17"/>
          <w:color w:val="auto"/>
        </w:rPr>
        <w:t>2</w:t>
      </w:r>
      <w:r>
        <w:rPr>
          <w:rFonts w:ascii="Arial" w:cs="Arial" w:eastAsia="Arial" w:hAnsi="Arial"/>
          <w:sz w:val="21"/>
          <w:szCs w:val="21"/>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78" w:lineRule="exact"/>
        <w:rPr>
          <w:rFonts w:ascii="Arial" w:cs="Arial" w:eastAsia="Arial" w:hAnsi="Arial"/>
          <w:sz w:val="21"/>
          <w:szCs w:val="21"/>
          <w:color w:val="auto"/>
        </w:rPr>
      </w:pPr>
    </w:p>
    <w:p>
      <w:pPr>
        <w:ind w:left="-4" w:right="40" w:firstLine="1436"/>
        <w:spacing w:after="0" w:line="236" w:lineRule="auto"/>
        <w:tabs>
          <w:tab w:leader="none" w:pos="202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87" w:lineRule="exact"/>
        <w:rPr>
          <w:rFonts w:ascii="Arial" w:cs="Arial" w:eastAsia="Arial" w:hAnsi="Arial"/>
          <w:sz w:val="22"/>
          <w:szCs w:val="22"/>
          <w:color w:val="auto"/>
        </w:rPr>
      </w:pPr>
    </w:p>
    <w:p>
      <w:pPr>
        <w:jc w:val="both"/>
        <w:ind w:left="-4" w:right="120" w:firstLine="1436"/>
        <w:spacing w:after="0"/>
        <w:tabs>
          <w:tab w:leader="none" w:pos="202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Paying Agent, Registrar and Transfer Agent</w:t>
      </w:r>
      <w:r>
        <w:rPr>
          <w:rFonts w:ascii="Arial" w:cs="Arial" w:eastAsia="Arial" w:hAnsi="Arial"/>
          <w:sz w:val="22"/>
          <w:szCs w:val="22"/>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86" w:lineRule="exact"/>
        <w:rPr>
          <w:rFonts w:ascii="Arial" w:cs="Arial" w:eastAsia="Arial" w:hAnsi="Arial"/>
          <w:sz w:val="22"/>
          <w:szCs w:val="22"/>
          <w:color w:val="auto"/>
        </w:rPr>
      </w:pPr>
    </w:p>
    <w:p>
      <w:pPr>
        <w:ind w:left="-4" w:right="20" w:firstLine="1436"/>
        <w:spacing w:after="0" w:line="275" w:lineRule="auto"/>
        <w:tabs>
          <w:tab w:leader="none" w:pos="2023"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Issuer issued the 0.750% Senior Notes due 2023 (the “</w:t>
      </w:r>
      <w:r>
        <w:rPr>
          <w:rFonts w:ascii="Arial" w:cs="Arial" w:eastAsia="Arial" w:hAnsi="Arial"/>
          <w:sz w:val="19"/>
          <w:szCs w:val="19"/>
          <w:u w:val="single" w:color="auto"/>
          <w:color w:val="auto"/>
        </w:rPr>
        <w:t>Notes</w:t>
      </w:r>
      <w:r>
        <w:rPr>
          <w:rFonts w:ascii="Arial" w:cs="Arial" w:eastAsia="Arial" w:hAnsi="Arial"/>
          <w:sz w:val="19"/>
          <w:szCs w:val="19"/>
          <w:color w:val="auto"/>
        </w:rPr>
        <w:t>”) under an Indenture dated as of October 31, 2019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Issuer, the Guarantors, U.S.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 Elavon Financial Services DAC, as paying agent (the “</w:t>
      </w:r>
      <w:r>
        <w:rPr>
          <w:rFonts w:ascii="Arial" w:cs="Arial" w:eastAsia="Arial" w:hAnsi="Arial"/>
          <w:sz w:val="19"/>
          <w:szCs w:val="19"/>
          <w:u w:val="single" w:color="auto"/>
          <w:color w:val="auto"/>
        </w:rPr>
        <w:t>Paying Agent</w:t>
      </w:r>
      <w:r>
        <w:rPr>
          <w:rFonts w:ascii="Arial" w:cs="Arial" w:eastAsia="Arial" w:hAnsi="Arial"/>
          <w:sz w:val="19"/>
          <w:szCs w:val="19"/>
          <w:color w:val="auto"/>
        </w:rPr>
        <w:t>”), registrar (the “</w:t>
      </w:r>
      <w:r>
        <w:rPr>
          <w:rFonts w:ascii="Arial" w:cs="Arial" w:eastAsia="Arial" w:hAnsi="Arial"/>
          <w:sz w:val="19"/>
          <w:szCs w:val="19"/>
          <w:u w:val="single" w:color="auto"/>
          <w:color w:val="auto"/>
        </w:rPr>
        <w:t>Registrar</w:t>
      </w:r>
      <w:r>
        <w:rPr>
          <w:rFonts w:ascii="Arial" w:cs="Arial" w:eastAsia="Arial" w:hAnsi="Arial"/>
          <w:sz w:val="19"/>
          <w:szCs w:val="19"/>
          <w:color w:val="auto"/>
        </w:rPr>
        <w:t>”) and transfer agent (the “</w:t>
      </w:r>
      <w:r>
        <w:rPr>
          <w:rFonts w:ascii="Arial" w:cs="Arial" w:eastAsia="Arial" w:hAnsi="Arial"/>
          <w:sz w:val="19"/>
          <w:szCs w:val="19"/>
          <w:u w:val="single" w:color="auto"/>
          <w:color w:val="auto"/>
        </w:rPr>
        <w:t>Transfer Agent</w:t>
      </w:r>
      <w:r>
        <w:rPr>
          <w:rFonts w:ascii="Arial" w:cs="Arial" w:eastAsia="Arial" w:hAnsi="Arial"/>
          <w:sz w:val="19"/>
          <w:szCs w:val="19"/>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18180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6" w:hanging="536"/>
        <w:spacing w:after="0"/>
        <w:tabs>
          <w:tab w:leader="none" w:pos="536" w:val="left"/>
        </w:tabs>
        <w:numPr>
          <w:ilvl w:val="0"/>
          <w:numId w:val="136"/>
        </w:numPr>
        <w:rPr>
          <w:rFonts w:ascii="Arial" w:cs="Arial" w:eastAsia="Arial" w:hAnsi="Arial"/>
          <w:sz w:val="17"/>
          <w:szCs w:val="17"/>
          <w:color w:val="auto"/>
        </w:rPr>
      </w:pPr>
      <w:r>
        <w:rPr>
          <w:rFonts w:ascii="Arial" w:cs="Arial" w:eastAsia="Arial" w:hAnsi="Arial"/>
          <w:sz w:val="20"/>
          <w:szCs w:val="20"/>
          <w:color w:val="auto"/>
        </w:rPr>
        <w:t>In the case of Notes issued on the Issue Date.</w:t>
      </w:r>
    </w:p>
    <w:p>
      <w:pPr>
        <w:spacing w:after="0" w:line="216" w:lineRule="exact"/>
        <w:rPr>
          <w:sz w:val="20"/>
          <w:szCs w:val="20"/>
          <w:color w:val="auto"/>
        </w:rPr>
      </w:pPr>
    </w:p>
    <w:p>
      <w:pPr>
        <w:ind w:left="536" w:hanging="536"/>
        <w:spacing w:after="0"/>
        <w:tabs>
          <w:tab w:leader="none" w:pos="536" w:val="left"/>
        </w:tabs>
        <w:numPr>
          <w:ilvl w:val="0"/>
          <w:numId w:val="137"/>
        </w:numPr>
        <w:rPr>
          <w:rFonts w:ascii="Arial" w:cs="Arial" w:eastAsia="Arial" w:hAnsi="Arial"/>
          <w:sz w:val="17"/>
          <w:szCs w:val="17"/>
          <w:color w:val="auto"/>
        </w:rPr>
      </w:pPr>
      <w:r>
        <w:rPr>
          <w:rFonts w:ascii="Arial" w:cs="Arial" w:eastAsia="Arial" w:hAnsi="Arial"/>
          <w:sz w:val="20"/>
          <w:szCs w:val="20"/>
          <w:color w:val="auto"/>
        </w:rPr>
        <w:t>In the case of Notes issued on the Issue Date.</w:t>
      </w:r>
    </w:p>
    <w:p>
      <w:pPr>
        <w:spacing w:after="0" w:line="144"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0996"/>
          </w:cols>
          <w:pgMar w:left="444" w:top="267" w:right="459" w:bottom="1440" w:gutter="0" w:footer="0" w:header="0"/>
        </w:sectPr>
      </w:pPr>
    </w:p>
    <w:bookmarkStart w:id="144" w:name="page145"/>
    <w:bookmarkEnd w:id="144"/>
    <w:p>
      <w:pPr>
        <w:ind w:left="2040" w:hanging="604"/>
        <w:spacing w:after="0"/>
        <w:tabs>
          <w:tab w:leader="none" w:pos="20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Optional Redemption</w:t>
      </w:r>
      <w:r>
        <w:rPr>
          <w:rFonts w:ascii="Arial" w:cs="Arial" w:eastAsia="Arial" w:hAnsi="Arial"/>
          <w:sz w:val="22"/>
          <w:szCs w:val="22"/>
          <w:color w:val="auto"/>
        </w:rPr>
        <w:t>.</w:t>
      </w:r>
    </w:p>
    <w:p>
      <w:pPr>
        <w:spacing w:after="0" w:line="206" w:lineRule="exact"/>
        <w:rPr>
          <w:sz w:val="20"/>
          <w:szCs w:val="20"/>
          <w:color w:val="auto"/>
        </w:rPr>
      </w:pPr>
    </w:p>
    <w:p>
      <w:pPr>
        <w:ind w:right="40" w:firstLine="1436"/>
        <w:spacing w:after="0" w:line="235" w:lineRule="auto"/>
        <w:tabs>
          <w:tab w:leader="none" w:pos="21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Prior to January 15, 2023, the Issuer may redeem the Notes, at its option, in whole at any time or in part from time to time at a redemption price equal to 100% of the principal amount thereof, plus accrued and unpaid interest, if any, to the Make-Whole Redemption Date, plus the Make-Whole Premium (a “</w:t>
      </w:r>
      <w:r>
        <w:rPr>
          <w:rFonts w:ascii="Arial" w:cs="Arial" w:eastAsia="Arial" w:hAnsi="Arial"/>
          <w:sz w:val="22"/>
          <w:szCs w:val="22"/>
          <w:u w:val="single" w:color="auto"/>
          <w:color w:val="auto"/>
        </w:rPr>
        <w:t>Make-Whole Redemption</w:t>
      </w:r>
      <w:r>
        <w:rPr>
          <w:rFonts w:ascii="Arial" w:cs="Arial" w:eastAsia="Arial" w:hAnsi="Arial"/>
          <w:sz w:val="22"/>
          <w:szCs w:val="22"/>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8" w:lineRule="exact"/>
        <w:rPr>
          <w:rFonts w:ascii="Arial" w:cs="Arial" w:eastAsia="Arial" w:hAnsi="Arial"/>
          <w:sz w:val="22"/>
          <w:szCs w:val="22"/>
          <w:color w:val="auto"/>
        </w:rPr>
      </w:pPr>
    </w:p>
    <w:p>
      <w:pPr>
        <w:ind w:right="260" w:firstLine="1436"/>
        <w:spacing w:after="0"/>
        <w:tabs>
          <w:tab w:leader="none" w:pos="21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At any time on or after January 15, 2023, the Issuer may redeem the Notes, at its option, in whole at any time or in part from time to time at a redemption price equal to 100% of the principal amount thereof, plus accrued and unpaid interest, if any, to, but not including, the applicable redemption date.</w:t>
      </w:r>
    </w:p>
    <w:p>
      <w:pPr>
        <w:spacing w:after="0" w:line="186" w:lineRule="exact"/>
        <w:rPr>
          <w:sz w:val="20"/>
          <w:szCs w:val="20"/>
          <w:color w:val="auto"/>
        </w:rPr>
      </w:pPr>
    </w:p>
    <w:p>
      <w:pPr>
        <w:ind w:right="380" w:firstLine="1433"/>
        <w:spacing w:after="0"/>
        <w:rPr>
          <w:sz w:val="20"/>
          <w:szCs w:val="20"/>
          <w:color w:val="auto"/>
        </w:rPr>
      </w:pPr>
      <w:r>
        <w:rPr>
          <w:rFonts w:ascii="Arial" w:cs="Arial" w:eastAsia="Arial" w:hAnsi="Arial"/>
          <w:sz w:val="22"/>
          <w:szCs w:val="22"/>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86" w:lineRule="exact"/>
        <w:rPr>
          <w:sz w:val="20"/>
          <w:szCs w:val="20"/>
          <w:color w:val="auto"/>
        </w:rPr>
      </w:pPr>
    </w:p>
    <w:p>
      <w:pPr>
        <w:ind w:firstLine="1436"/>
        <w:spacing w:after="0" w:line="269" w:lineRule="auto"/>
        <w:tabs>
          <w:tab w:leader="none" w:pos="2027"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Redemption for Changes in Withholding Tax</w:t>
      </w:r>
      <w:r>
        <w:rPr>
          <w:rFonts w:ascii="Arial" w:cs="Arial" w:eastAsia="Arial" w:hAnsi="Arial"/>
          <w:sz w:val="19"/>
          <w:szCs w:val="19"/>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w:t>
      </w:r>
    </w:p>
    <w:p>
      <w:pPr>
        <w:spacing w:after="0" w:line="5" w:lineRule="exact"/>
        <w:rPr>
          <w:rFonts w:ascii="Arial" w:cs="Arial" w:eastAsia="Arial" w:hAnsi="Arial"/>
          <w:sz w:val="19"/>
          <w:szCs w:val="19"/>
          <w:color w:val="auto"/>
        </w:rPr>
      </w:pPr>
    </w:p>
    <w:p>
      <w:pPr>
        <w:ind w:right="60" w:firstLine="4"/>
        <w:spacing w:after="0" w:line="273" w:lineRule="auto"/>
        <w:tabs>
          <w:tab w:leader="none" w:pos="25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60" w:lineRule="exact"/>
        <w:rPr>
          <w:sz w:val="20"/>
          <w:szCs w:val="20"/>
          <w:color w:val="auto"/>
        </w:rPr>
      </w:pPr>
    </w:p>
    <w:p>
      <w:pPr>
        <w:ind w:right="140" w:firstLine="1433"/>
        <w:spacing w:after="0" w:line="252" w:lineRule="auto"/>
        <w:rPr>
          <w:sz w:val="20"/>
          <w:szCs w:val="20"/>
          <w:color w:val="auto"/>
        </w:rPr>
      </w:pPr>
      <w:r>
        <w:rPr>
          <w:rFonts w:ascii="Arial" w:cs="Arial" w:eastAsia="Arial" w:hAnsi="Arial"/>
          <w:sz w:val="21"/>
          <w:szCs w:val="21"/>
          <w:color w:val="auto"/>
        </w:rPr>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020"/>
          </w:cols>
          <w:pgMar w:left="440" w:top="267" w:right="439" w:bottom="1440" w:gutter="0" w:footer="0" w:header="0"/>
        </w:sectPr>
      </w:pPr>
    </w:p>
    <w:bookmarkStart w:id="145" w:name="page146"/>
    <w:bookmarkEnd w:id="145"/>
    <w:p>
      <w:pPr>
        <w:ind w:right="3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48" w:lineRule="exact"/>
        <w:rPr>
          <w:sz w:val="20"/>
          <w:szCs w:val="20"/>
          <w:color w:val="auto"/>
        </w:rPr>
      </w:pPr>
    </w:p>
    <w:p>
      <w:pPr>
        <w:ind w:firstLine="1436"/>
        <w:spacing w:after="0" w:line="282" w:lineRule="auto"/>
        <w:tabs>
          <w:tab w:leader="none" w:pos="2027"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Notice of Redemption</w:t>
      </w:r>
      <w:r>
        <w:rPr>
          <w:rFonts w:ascii="Arial" w:cs="Arial" w:eastAsia="Arial" w:hAnsi="Arial"/>
          <w:sz w:val="19"/>
          <w:szCs w:val="19"/>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47" w:lineRule="exact"/>
        <w:rPr>
          <w:rFonts w:ascii="Arial" w:cs="Arial" w:eastAsia="Arial" w:hAnsi="Arial"/>
          <w:sz w:val="19"/>
          <w:szCs w:val="19"/>
          <w:color w:val="auto"/>
        </w:rPr>
      </w:pPr>
    </w:p>
    <w:p>
      <w:pPr>
        <w:ind w:right="260" w:firstLine="1436"/>
        <w:spacing w:after="0"/>
        <w:tabs>
          <w:tab w:leader="none" w:pos="2027"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Offers To Purchase</w:t>
      </w:r>
      <w:r>
        <w:rPr>
          <w:rFonts w:ascii="Arial" w:cs="Arial" w:eastAsia="Arial" w:hAnsi="Arial"/>
          <w:sz w:val="22"/>
          <w:szCs w:val="22"/>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86" w:lineRule="exact"/>
        <w:rPr>
          <w:rFonts w:ascii="Arial" w:cs="Arial" w:eastAsia="Arial" w:hAnsi="Arial"/>
          <w:sz w:val="22"/>
          <w:szCs w:val="22"/>
          <w:color w:val="auto"/>
        </w:rPr>
      </w:pPr>
    </w:p>
    <w:p>
      <w:pPr>
        <w:ind w:right="220" w:firstLine="1436"/>
        <w:spacing w:after="0" w:line="277" w:lineRule="auto"/>
        <w:tabs>
          <w:tab w:leader="none" w:pos="2027"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52" w:lineRule="exact"/>
        <w:rPr>
          <w:rFonts w:ascii="Arial" w:cs="Arial" w:eastAsia="Arial" w:hAnsi="Arial"/>
          <w:sz w:val="19"/>
          <w:szCs w:val="19"/>
          <w:color w:val="auto"/>
        </w:rPr>
      </w:pPr>
    </w:p>
    <w:p>
      <w:pPr>
        <w:ind w:left="2140" w:hanging="704"/>
        <w:spacing w:after="0"/>
        <w:tabs>
          <w:tab w:leader="none" w:pos="214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Persons Deemed Owners</w:t>
      </w:r>
      <w:r>
        <w:rPr>
          <w:rFonts w:ascii="Arial" w:cs="Arial" w:eastAsia="Arial" w:hAnsi="Arial"/>
          <w:sz w:val="19"/>
          <w:szCs w:val="19"/>
          <w:color w:val="auto"/>
        </w:rPr>
        <w:t>. The registered Holder of this Note may be treated as the owner of this Note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all purposes.</w:t>
      </w:r>
    </w:p>
    <w:p>
      <w:pPr>
        <w:spacing w:after="0" w:line="188" w:lineRule="exact"/>
        <w:rPr>
          <w:rFonts w:ascii="Arial" w:cs="Arial" w:eastAsia="Arial" w:hAnsi="Arial"/>
          <w:sz w:val="19"/>
          <w:szCs w:val="19"/>
          <w:color w:val="auto"/>
        </w:rPr>
      </w:pPr>
    </w:p>
    <w:p>
      <w:pPr>
        <w:ind w:right="40" w:firstLine="1436"/>
        <w:spacing w:after="0" w:line="238" w:lineRule="auto"/>
        <w:tabs>
          <w:tab w:leader="none" w:pos="2127"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Unclaimed Money</w:t>
      </w:r>
      <w:r>
        <w:rPr>
          <w:rFonts w:ascii="Arial" w:cs="Arial" w:eastAsia="Arial" w:hAnsi="Arial"/>
          <w:sz w:val="22"/>
          <w:szCs w:val="22"/>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85" w:lineRule="exact"/>
        <w:rPr>
          <w:rFonts w:ascii="Arial" w:cs="Arial" w:eastAsia="Arial" w:hAnsi="Arial"/>
          <w:sz w:val="22"/>
          <w:szCs w:val="22"/>
          <w:color w:val="auto"/>
        </w:rPr>
      </w:pPr>
    </w:p>
    <w:p>
      <w:pPr>
        <w:ind w:right="340" w:firstLine="1436"/>
        <w:spacing w:after="0" w:line="287" w:lineRule="auto"/>
        <w:tabs>
          <w:tab w:leader="none" w:pos="2135"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Amendment, Supplement, Waiver, Etc</w:t>
      </w:r>
      <w:r>
        <w:rPr>
          <w:rFonts w:ascii="Arial" w:cs="Arial" w:eastAsia="Arial" w:hAnsi="Arial"/>
          <w:sz w:val="19"/>
          <w:szCs w:val="19"/>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020"/>
          </w:cols>
          <w:pgMar w:left="440" w:top="266" w:right="439" w:bottom="1440" w:gutter="0" w:footer="0" w:header="0"/>
        </w:sectPr>
      </w:pPr>
    </w:p>
    <w:bookmarkStart w:id="146" w:name="page147"/>
    <w:bookmarkEnd w:id="146"/>
    <w:p>
      <w:pPr>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5" w:lineRule="exact"/>
        <w:rPr>
          <w:sz w:val="20"/>
          <w:szCs w:val="20"/>
          <w:color w:val="auto"/>
        </w:rPr>
      </w:pPr>
    </w:p>
    <w:p>
      <w:pPr>
        <w:ind w:right="120" w:firstLine="1436"/>
        <w:spacing w:after="0" w:line="282" w:lineRule="auto"/>
        <w:tabs>
          <w:tab w:leader="none" w:pos="213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47" w:lineRule="exact"/>
        <w:rPr>
          <w:rFonts w:ascii="Arial" w:cs="Arial" w:eastAsia="Arial" w:hAnsi="Arial"/>
          <w:sz w:val="19"/>
          <w:szCs w:val="19"/>
          <w:color w:val="auto"/>
        </w:rPr>
      </w:pPr>
    </w:p>
    <w:p>
      <w:pPr>
        <w:ind w:right="60" w:firstLine="1436"/>
        <w:spacing w:after="0" w:line="258" w:lineRule="auto"/>
        <w:tabs>
          <w:tab w:leader="none" w:pos="2135"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Successor Corporation</w:t>
      </w:r>
      <w:r>
        <w:rPr>
          <w:rFonts w:ascii="Arial" w:cs="Arial" w:eastAsia="Arial" w:hAnsi="Arial"/>
          <w:sz w:val="21"/>
          <w:szCs w:val="21"/>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66" w:lineRule="exact"/>
        <w:rPr>
          <w:rFonts w:ascii="Arial" w:cs="Arial" w:eastAsia="Arial" w:hAnsi="Arial"/>
          <w:sz w:val="21"/>
          <w:szCs w:val="21"/>
          <w:color w:val="auto"/>
        </w:rPr>
      </w:pPr>
    </w:p>
    <w:p>
      <w:pPr>
        <w:ind w:right="120" w:firstLine="1436"/>
        <w:spacing w:after="0" w:line="274" w:lineRule="auto"/>
        <w:tabs>
          <w:tab w:leader="none" w:pos="213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Defaults and Remedies</w:t>
      </w:r>
      <w:r>
        <w:rPr>
          <w:rFonts w:ascii="Arial" w:cs="Arial" w:eastAsia="Arial" w:hAnsi="Arial"/>
          <w:sz w:val="19"/>
          <w:szCs w:val="19"/>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59" w:lineRule="exact"/>
        <w:rPr>
          <w:sz w:val="20"/>
          <w:szCs w:val="20"/>
          <w:color w:val="auto"/>
        </w:rPr>
      </w:pPr>
    </w:p>
    <w:p>
      <w:pPr>
        <w:ind w:right="500" w:firstLine="1433"/>
        <w:spacing w:after="0"/>
        <w:rPr>
          <w:sz w:val="20"/>
          <w:szCs w:val="20"/>
          <w:color w:val="auto"/>
        </w:rPr>
      </w:pPr>
      <w:r>
        <w:rPr>
          <w:rFonts w:ascii="Arial" w:cs="Arial" w:eastAsia="Arial" w:hAnsi="Arial"/>
          <w:sz w:val="22"/>
          <w:szCs w:val="22"/>
          <w:color w:val="auto"/>
        </w:rPr>
        <w:t>Notwithstanding the foregoing, if after such acceleration but before a judgment or decree based on such acceleration is obtained by the Trustee, the Holders of a majority in aggregate principal amount of outstanding Notes may rescind and annul such acceleration if:</w:t>
      </w:r>
    </w:p>
    <w:p>
      <w:pPr>
        <w:spacing w:after="0" w:line="186" w:lineRule="exact"/>
        <w:rPr>
          <w:sz w:val="20"/>
          <w:szCs w:val="20"/>
          <w:color w:val="auto"/>
        </w:rPr>
      </w:pPr>
    </w:p>
    <w:p>
      <w:pPr>
        <w:ind w:left="780" w:right="720" w:firstLine="712"/>
        <w:spacing w:after="0" w:line="251" w:lineRule="auto"/>
        <w:tabs>
          <w:tab w:leader="none" w:pos="218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all Events of Default, other than nonpayment of principal, premium, if any, or interest that has become due solely because of the acceleration, have been cured or waived;</w:t>
      </w:r>
    </w:p>
    <w:p>
      <w:pPr>
        <w:spacing w:after="0" w:line="173" w:lineRule="exact"/>
        <w:rPr>
          <w:rFonts w:ascii="Arial" w:cs="Arial" w:eastAsia="Arial" w:hAnsi="Arial"/>
          <w:sz w:val="22"/>
          <w:szCs w:val="22"/>
          <w:color w:val="auto"/>
        </w:rPr>
      </w:pPr>
    </w:p>
    <w:p>
      <w:pPr>
        <w:ind w:left="780" w:right="320" w:firstLine="712"/>
        <w:spacing w:after="0" w:line="328" w:lineRule="auto"/>
        <w:tabs>
          <w:tab w:leader="none" w:pos="218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the extent the payment of such interest is lawful, interest on overdue installments of interest and overdue principal, which has become due otherwise than by such declaration of acceleration, has been paid;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020"/>
          </w:cols>
          <w:pgMar w:left="440" w:top="266" w:right="439" w:bottom="1440" w:gutter="0" w:footer="0" w:header="0"/>
        </w:sectPr>
      </w:pPr>
    </w:p>
    <w:bookmarkStart w:id="147" w:name="page148"/>
    <w:bookmarkEnd w:id="147"/>
    <w:p>
      <w:pPr>
        <w:ind w:left="780" w:right="720" w:firstLine="712"/>
        <w:spacing w:after="0" w:line="251" w:lineRule="auto"/>
        <w:tabs>
          <w:tab w:leader="none" w:pos="2181" w:val="left"/>
        </w:tabs>
        <w:numPr>
          <w:ilvl w:val="0"/>
          <w:numId w:val="14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paid the Trustee its reasonable compensation and reimbursed the Trustee for its expenses, disbursements and advances; and</w:t>
      </w:r>
    </w:p>
    <w:p>
      <w:pPr>
        <w:spacing w:after="0" w:line="173" w:lineRule="exact"/>
        <w:rPr>
          <w:rFonts w:ascii="Arial" w:cs="Arial" w:eastAsia="Arial" w:hAnsi="Arial"/>
          <w:sz w:val="22"/>
          <w:szCs w:val="22"/>
          <w:color w:val="auto"/>
        </w:rPr>
      </w:pPr>
    </w:p>
    <w:p>
      <w:pPr>
        <w:ind w:left="780" w:right="100" w:firstLine="712"/>
        <w:spacing w:after="0"/>
        <w:tabs>
          <w:tab w:leader="none" w:pos="218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 such rescission shall affect any subsequent Default or impair any right consequent thereto.</w:t>
      </w:r>
    </w:p>
    <w:p>
      <w:pPr>
        <w:spacing w:after="0" w:line="206" w:lineRule="exact"/>
        <w:rPr>
          <w:sz w:val="20"/>
          <w:szCs w:val="20"/>
          <w:color w:val="auto"/>
        </w:rPr>
      </w:pPr>
    </w:p>
    <w:p>
      <w:pPr>
        <w:ind w:firstLine="1433"/>
        <w:spacing w:after="0" w:line="282" w:lineRule="auto"/>
        <w:rPr>
          <w:sz w:val="20"/>
          <w:szCs w:val="20"/>
          <w:color w:val="auto"/>
        </w:rPr>
      </w:pPr>
      <w:r>
        <w:rPr>
          <w:rFonts w:ascii="Arial" w:cs="Arial" w:eastAsia="Arial" w:hAnsi="Arial"/>
          <w:sz w:val="19"/>
          <w:szCs w:val="19"/>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48" w:lineRule="exact"/>
        <w:rPr>
          <w:sz w:val="20"/>
          <w:szCs w:val="20"/>
          <w:color w:val="auto"/>
        </w:rPr>
      </w:pPr>
    </w:p>
    <w:p>
      <w:pPr>
        <w:ind w:right="60" w:firstLine="1436"/>
        <w:spacing w:after="0"/>
        <w:tabs>
          <w:tab w:leader="none" w:pos="213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Trustee Dealings with the Issuer</w:t>
      </w:r>
      <w:r>
        <w:rPr>
          <w:rFonts w:ascii="Arial" w:cs="Arial" w:eastAsia="Arial" w:hAnsi="Arial"/>
          <w:sz w:val="22"/>
          <w:szCs w:val="22"/>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86" w:lineRule="exact"/>
        <w:rPr>
          <w:rFonts w:ascii="Arial" w:cs="Arial" w:eastAsia="Arial" w:hAnsi="Arial"/>
          <w:sz w:val="22"/>
          <w:szCs w:val="22"/>
          <w:color w:val="auto"/>
        </w:rPr>
      </w:pPr>
    </w:p>
    <w:p>
      <w:pPr>
        <w:ind w:right="80" w:firstLine="1436"/>
        <w:spacing w:after="0" w:line="287" w:lineRule="auto"/>
        <w:tabs>
          <w:tab w:leader="none" w:pos="213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43" w:lineRule="exact"/>
        <w:rPr>
          <w:rFonts w:ascii="Arial" w:cs="Arial" w:eastAsia="Arial" w:hAnsi="Arial"/>
          <w:sz w:val="19"/>
          <w:szCs w:val="19"/>
          <w:color w:val="auto"/>
        </w:rPr>
      </w:pPr>
    </w:p>
    <w:p>
      <w:pPr>
        <w:ind w:firstLine="1436"/>
        <w:spacing w:after="0" w:line="236" w:lineRule="auto"/>
        <w:tabs>
          <w:tab w:leader="none" w:pos="213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Discharge</w:t>
      </w:r>
      <w:r>
        <w:rPr>
          <w:rFonts w:ascii="Arial" w:cs="Arial" w:eastAsia="Arial" w:hAnsi="Arial"/>
          <w:sz w:val="22"/>
          <w:szCs w:val="22"/>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87" w:lineRule="exact"/>
        <w:rPr>
          <w:rFonts w:ascii="Arial" w:cs="Arial" w:eastAsia="Arial" w:hAnsi="Arial"/>
          <w:sz w:val="22"/>
          <w:szCs w:val="22"/>
          <w:color w:val="auto"/>
        </w:rPr>
      </w:pPr>
    </w:p>
    <w:p>
      <w:pPr>
        <w:jc w:val="both"/>
        <w:ind w:right="260" w:firstLine="1436"/>
        <w:spacing w:after="0" w:line="297" w:lineRule="auto"/>
        <w:tabs>
          <w:tab w:leader="none" w:pos="213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Guarantees</w:t>
      </w:r>
      <w:r>
        <w:rPr>
          <w:rFonts w:ascii="Arial" w:cs="Arial" w:eastAsia="Arial" w:hAnsi="Arial"/>
          <w:sz w:val="19"/>
          <w:szCs w:val="19"/>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34" w:lineRule="exact"/>
        <w:rPr>
          <w:rFonts w:ascii="Arial" w:cs="Arial" w:eastAsia="Arial" w:hAnsi="Arial"/>
          <w:sz w:val="19"/>
          <w:szCs w:val="19"/>
          <w:color w:val="auto"/>
        </w:rPr>
      </w:pPr>
    </w:p>
    <w:p>
      <w:pPr>
        <w:ind w:right="60" w:firstLine="1436"/>
        <w:spacing w:after="0" w:line="251" w:lineRule="auto"/>
        <w:tabs>
          <w:tab w:leader="none" w:pos="213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signs the certificate of authentication on the other side of this Note.</w:t>
      </w:r>
    </w:p>
    <w:p>
      <w:pPr>
        <w:spacing w:after="0" w:line="173" w:lineRule="exact"/>
        <w:rPr>
          <w:rFonts w:ascii="Arial" w:cs="Arial" w:eastAsia="Arial" w:hAnsi="Arial"/>
          <w:sz w:val="22"/>
          <w:szCs w:val="22"/>
          <w:color w:val="auto"/>
        </w:rPr>
      </w:pPr>
    </w:p>
    <w:p>
      <w:pPr>
        <w:ind w:right="1100" w:firstLine="1436"/>
        <w:spacing w:after="0"/>
        <w:tabs>
          <w:tab w:leader="none" w:pos="213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NOTE SHALL BE GOVERNED BY AND CONSTRUED IN ACCORDANCE WITH THE LAWS OF THE STATE OF NEW YORK, BUT WITHOUT GIVING EFFECT TO APPLICABLE PRINCIPLES OF CONFLICTS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0960"/>
          </w:cols>
          <w:pgMar w:left="440" w:top="266" w:right="499" w:bottom="1440" w:gutter="0" w:footer="0" w:header="0"/>
        </w:sectPr>
      </w:pPr>
    </w:p>
    <w:bookmarkStart w:id="148" w:name="page149"/>
    <w:bookmarkEnd w:id="148"/>
    <w:p>
      <w:pPr>
        <w:ind w:right="7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TO THE EXTENT THAT THE APPLICATION OF THE LAW OF ANOTHER JURISDICTION WOULD BE REQUIRED THEREBY.</w:t>
      </w:r>
    </w:p>
    <w:p>
      <w:pPr>
        <w:spacing w:after="0" w:line="173" w:lineRule="exact"/>
        <w:rPr>
          <w:sz w:val="20"/>
          <w:szCs w:val="20"/>
          <w:color w:val="auto"/>
        </w:rPr>
      </w:pPr>
    </w:p>
    <w:p>
      <w:pPr>
        <w:ind w:firstLine="1436"/>
        <w:spacing w:after="0" w:line="258" w:lineRule="auto"/>
        <w:tabs>
          <w:tab w:leader="none" w:pos="212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The Issuer will furnish to any Holder upon written request and without charge a copy of the Indenture.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Requests may be made to:</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Crown European Holdings S.A.</w:t>
      </w:r>
    </w:p>
    <w:p>
      <w:pPr>
        <w:ind w:left="1440"/>
        <w:spacing w:after="0" w:line="238" w:lineRule="auto"/>
        <w:rPr>
          <w:sz w:val="20"/>
          <w:szCs w:val="20"/>
          <w:color w:val="auto"/>
        </w:rPr>
      </w:pPr>
      <w:r>
        <w:rPr>
          <w:rFonts w:ascii="Arial" w:cs="Arial" w:eastAsia="Arial" w:hAnsi="Arial"/>
          <w:sz w:val="22"/>
          <w:szCs w:val="22"/>
          <w:color w:val="auto"/>
        </w:rPr>
        <w:t>7 Rue Emmy Noether</w:t>
      </w:r>
    </w:p>
    <w:p>
      <w:pPr>
        <w:ind w:left="1440"/>
        <w:spacing w:after="0" w:line="230" w:lineRule="auto"/>
        <w:rPr>
          <w:sz w:val="20"/>
          <w:szCs w:val="20"/>
          <w:color w:val="auto"/>
        </w:rPr>
      </w:pPr>
      <w:r>
        <w:rPr>
          <w:rFonts w:ascii="Arial" w:cs="Arial" w:eastAsia="Arial" w:hAnsi="Arial"/>
          <w:sz w:val="22"/>
          <w:szCs w:val="22"/>
          <w:color w:val="auto"/>
        </w:rPr>
        <w:t>93400 Saint-Ouen, France</w:t>
      </w:r>
    </w:p>
    <w:p>
      <w:pPr>
        <w:ind w:left="1440"/>
        <w:spacing w:after="0" w:line="231" w:lineRule="auto"/>
        <w:rPr>
          <w:sz w:val="20"/>
          <w:szCs w:val="20"/>
          <w:color w:val="auto"/>
        </w:rPr>
      </w:pPr>
      <w:r>
        <w:rPr>
          <w:rFonts w:ascii="Arial" w:cs="Arial" w:eastAsia="Arial" w:hAnsi="Arial"/>
          <w:sz w:val="22"/>
          <w:szCs w:val="22"/>
          <w:color w:val="auto"/>
        </w:rPr>
        <w:t>Attn: Timothy Donahue</w:t>
      </w:r>
    </w:p>
    <w:p>
      <w:pPr>
        <w:ind w:left="1440"/>
        <w:spacing w:after="0" w:line="231" w:lineRule="auto"/>
        <w:rPr>
          <w:sz w:val="20"/>
          <w:szCs w:val="20"/>
          <w:color w:val="auto"/>
        </w:rPr>
      </w:pPr>
      <w:r>
        <w:rPr>
          <w:rFonts w:ascii="Arial" w:cs="Arial" w:eastAsia="Arial" w:hAnsi="Arial"/>
          <w:sz w:val="22"/>
          <w:szCs w:val="22"/>
          <w:color w:val="auto"/>
        </w:rPr>
        <w:t>Telephone: 33 1 4918 4000</w:t>
      </w:r>
    </w:p>
    <w:p>
      <w:pPr>
        <w:ind w:left="1440"/>
        <w:spacing w:after="0"/>
        <w:rPr>
          <w:sz w:val="20"/>
          <w:szCs w:val="20"/>
          <w:color w:val="auto"/>
        </w:rPr>
      </w:pPr>
      <w:r>
        <w:rPr>
          <w:rFonts w:ascii="Arial" w:cs="Arial" w:eastAsia="Arial" w:hAnsi="Arial"/>
          <w:sz w:val="22"/>
          <w:szCs w:val="22"/>
          <w:color w:val="auto"/>
        </w:rPr>
        <w:t>Facsimile: 33 1 4918 4001</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0940"/>
          </w:cols>
          <w:pgMar w:left="440" w:top="267" w:right="519" w:bottom="1440" w:gutter="0" w:footer="0" w:header="0"/>
        </w:sectPr>
      </w:pPr>
    </w:p>
    <w:bookmarkStart w:id="149" w:name="page150"/>
    <w:bookmarkEnd w:id="149"/>
    <w:p>
      <w:pPr>
        <w:ind w:left="48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(Print or type name, address and zip code of assignee)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7620</wp:posOffset>
            </wp:positionV>
            <wp:extent cx="55225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Agent to transfer this Note on the books of the Issuer. The Agent may substitute another to act for him.</w:t>
      </w:r>
    </w:p>
    <w:p>
      <w:pPr>
        <w:spacing w:after="0" w:line="206" w:lineRule="exact"/>
        <w:rPr>
          <w:sz w:val="20"/>
          <w:szCs w:val="20"/>
          <w:color w:val="auto"/>
        </w:rPr>
      </w:pPr>
    </w:p>
    <w:p>
      <w:pPr>
        <w:spacing w:after="0"/>
        <w:tabs>
          <w:tab w:leader="none" w:pos="36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7620</wp:posOffset>
            </wp:positionV>
            <wp:extent cx="37217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-17780</wp:posOffset>
            </wp:positionV>
            <wp:extent cx="14065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(Sign exactly as your name appears on the other side of this Note)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-17780</wp:posOffset>
            </wp:positionV>
            <wp:extent cx="28130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GUARANTEE</w:t>
      </w:r>
    </w:p>
    <w:p>
      <w:pPr>
        <w:spacing w:after="0" w:line="20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020"/>
          </w:cols>
          <w:pgMar w:left="440" w:top="267" w:right="4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If you want to elect to have all or any part of this Note purchased by the Issuer pursuant to Section 4.08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check the appropriate box:</w:t>
      </w:r>
    </w:p>
    <w:p>
      <w:pPr>
        <w:spacing w:after="0" w:line="190" w:lineRule="exact"/>
        <w:rPr>
          <w:sz w:val="20"/>
          <w:szCs w:val="20"/>
          <w:color w:val="auto"/>
        </w:rPr>
      </w:pPr>
    </w:p>
    <w:p>
      <w:pPr>
        <w:ind w:left="1460"/>
        <w:spacing w:after="0"/>
        <w:rPr>
          <w:sz w:val="20"/>
          <w:szCs w:val="20"/>
          <w:color w:val="auto"/>
        </w:rPr>
      </w:pPr>
      <w:r>
        <w:rPr>
          <w:sz w:val="1"/>
          <w:szCs w:val="1"/>
          <w:color w:val="auto"/>
        </w:rPr>
        <w:drawing>
          <wp:inline distT="0" distB="0" distL="0" distR="0">
            <wp:extent cx="565785" cy="1714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 cy="171450"/>
                    </a:xfrm>
                    <a:prstGeom prst="rect">
                      <a:avLst/>
                    </a:prstGeom>
                    <a:noFill/>
                    <a:ln>
                      <a:noFill/>
                    </a:ln>
                  </pic:spPr>
                </pic:pic>
              </a:graphicData>
            </a:graphic>
          </wp:inline>
        </w:drawing>
        <w:drawing>
          <wp:inline distT="0" distB="0" distL="0" distR="0">
            <wp:extent cx="8890" cy="1714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22"/>
          <w:szCs w:val="22"/>
          <w:color w:val="auto"/>
        </w:rPr>
        <w:t xml:space="preserve"> 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-8255</wp:posOffset>
            </wp:positionV>
            <wp:extent cx="5657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75" w:lineRule="exact"/>
        <w:rPr>
          <w:sz w:val="20"/>
          <w:szCs w:val="20"/>
          <w:color w:val="auto"/>
        </w:rPr>
      </w:pPr>
    </w:p>
    <w:p>
      <w:pPr>
        <w:ind w:right="320" w:firstLine="1433"/>
        <w:spacing w:after="0" w:line="251" w:lineRule="auto"/>
        <w:rPr>
          <w:sz w:val="20"/>
          <w:szCs w:val="20"/>
          <w:color w:val="auto"/>
        </w:rPr>
      </w:pPr>
      <w:r>
        <w:rPr>
          <w:rFonts w:ascii="Arial" w:cs="Arial" w:eastAsia="Arial" w:hAnsi="Arial"/>
          <w:sz w:val="22"/>
          <w:szCs w:val="22"/>
          <w:color w:val="auto"/>
        </w:rPr>
        <w:t>If you want to have only part of the Note purchased by the Issuer pursuant to Section 4.08 of the Indenture, state the amount you elect to have purchased: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-17780</wp:posOffset>
            </wp:positionV>
            <wp:extent cx="2160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860"/>
        <w:spacing w:after="0" w:line="238" w:lineRule="auto"/>
        <w:rPr>
          <w:sz w:val="20"/>
          <w:szCs w:val="20"/>
          <w:color w:val="auto"/>
        </w:rPr>
      </w:pPr>
      <w:r>
        <w:rPr>
          <w:rFonts w:ascii="Arial" w:cs="Arial" w:eastAsia="Arial" w:hAnsi="Arial"/>
          <w:sz w:val="22"/>
          <w:szCs w:val="22"/>
          <w:color w:val="auto"/>
        </w:rPr>
        <w:t>(€1,000 or any integral multiple</w:t>
      </w:r>
    </w:p>
    <w:p>
      <w:pPr>
        <w:ind w:left="860"/>
        <w:spacing w:after="0" w:line="230" w:lineRule="auto"/>
        <w:rPr>
          <w:sz w:val="20"/>
          <w:szCs w:val="20"/>
          <w:color w:val="auto"/>
        </w:rPr>
      </w:pPr>
      <w:r>
        <w:rPr>
          <w:rFonts w:ascii="Arial" w:cs="Arial" w:eastAsia="Arial" w:hAnsi="Arial"/>
          <w:sz w:val="22"/>
          <w:szCs w:val="22"/>
          <w:color w:val="auto"/>
        </w:rPr>
        <w:t xml:space="preserve">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 not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purchased must be at least €100,000)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-17780</wp:posOffset>
            </wp:positionV>
            <wp:extent cx="19551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6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-8890</wp:posOffset>
            </wp:positionV>
            <wp:extent cx="30016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9"/>
          <w:szCs w:val="19"/>
          <w:color w:val="auto"/>
        </w:rPr>
        <w:t>(Sign exactly as your name appears on the face of this</w:t>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22466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Signature Guaranteed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GUARANTEE</w:t>
      </w:r>
    </w:p>
    <w:p>
      <w:pPr>
        <w:spacing w:after="0" w:line="20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A-1-11</w:t>
      </w:r>
    </w:p>
    <w:p>
      <w:pPr>
        <w:sectPr>
          <w:pgSz w:w="11900" w:h="16838" w:orient="portrait"/>
          <w:cols w:equalWidth="0" w:num="1">
            <w:col w:w="11020"/>
          </w:cols>
          <w:pgMar w:left="440" w:top="267" w:right="439" w:bottom="1440" w:gutter="0" w:footer="0" w:header="0"/>
        </w:sectPr>
      </w:pPr>
    </w:p>
    <w:bookmarkStart w:id="151" w:name="page152"/>
    <w:bookmarkEnd w:id="151"/>
    <w:p>
      <w:pPr>
        <w:jc w:val="center"/>
        <w:ind w:righ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6"/>
          <w:szCs w:val="16"/>
          <w:color w:val="auto"/>
        </w:rPr>
        <w:t>CHEDULE OF</w:t>
      </w:r>
      <w:r>
        <w:rPr>
          <w:rFonts w:ascii="Arial" w:cs="Arial" w:eastAsia="Arial" w:hAnsi="Arial"/>
          <w:sz w:val="20"/>
          <w:szCs w:val="20"/>
          <w:color w:val="auto"/>
        </w:rPr>
        <w:t xml:space="preserve"> E</w:t>
      </w:r>
      <w:r>
        <w:rPr>
          <w:rFonts w:ascii="Arial" w:cs="Arial" w:eastAsia="Arial" w:hAnsi="Arial"/>
          <w:sz w:val="16"/>
          <w:szCs w:val="16"/>
          <w:color w:val="auto"/>
        </w:rPr>
        <w:t>XCHANGES OF</w:t>
      </w:r>
      <w:r>
        <w:rPr>
          <w:rFonts w:ascii="Arial" w:cs="Arial" w:eastAsia="Arial" w:hAnsi="Arial"/>
          <w:sz w:val="20"/>
          <w:szCs w:val="20"/>
          <w:color w:val="auto"/>
        </w:rPr>
        <w:t xml:space="preserve"> I</w:t>
      </w:r>
      <w:r>
        <w:rPr>
          <w:rFonts w:ascii="Arial" w:cs="Arial" w:eastAsia="Arial" w:hAnsi="Arial"/>
          <w:sz w:val="16"/>
          <w:szCs w:val="16"/>
          <w:color w:val="auto"/>
        </w:rPr>
        <w:t>NTERESTS IN</w:t>
      </w:r>
      <w:r>
        <w:rPr>
          <w:rFonts w:ascii="Arial" w:cs="Arial" w:eastAsia="Arial" w:hAnsi="Arial"/>
          <w:sz w:val="20"/>
          <w:szCs w:val="20"/>
          <w:color w:val="auto"/>
        </w:rPr>
        <w:t xml:space="preserve"> G</w:t>
      </w:r>
      <w:r>
        <w:rPr>
          <w:rFonts w:ascii="Arial" w:cs="Arial" w:eastAsia="Arial" w:hAnsi="Arial"/>
          <w:sz w:val="16"/>
          <w:szCs w:val="16"/>
          <w:color w:val="auto"/>
        </w:rPr>
        <w:t>LOBAL</w:t>
      </w:r>
      <w:r>
        <w:rPr>
          <w:rFonts w:ascii="Arial" w:cs="Arial" w:eastAsia="Arial" w:hAnsi="Arial"/>
          <w:sz w:val="20"/>
          <w:szCs w:val="20"/>
          <w:color w:val="auto"/>
        </w:rPr>
        <w:t xml:space="preserve"> N</w:t>
      </w:r>
      <w:r>
        <w:rPr>
          <w:rFonts w:ascii="Arial" w:cs="Arial" w:eastAsia="Arial" w:hAnsi="Arial"/>
          <w:sz w:val="16"/>
          <w:szCs w:val="16"/>
          <w:color w:val="auto"/>
        </w:rPr>
        <w:t>OTE</w:t>
      </w:r>
      <w:r>
        <w:rPr>
          <w:rFonts w:ascii="Arial" w:cs="Arial" w:eastAsia="Arial" w:hAnsi="Arial"/>
          <w:sz w:val="28"/>
          <w:szCs w:val="28"/>
          <w:color w:val="auto"/>
          <w:vertAlign w:val="superscript"/>
        </w:rPr>
        <w:t>*</w:t>
      </w:r>
    </w:p>
    <w:p>
      <w:pPr>
        <w:spacing w:after="0" w:line="227" w:lineRule="exact"/>
        <w:rPr>
          <w:sz w:val="20"/>
          <w:szCs w:val="20"/>
          <w:color w:val="auto"/>
        </w:rPr>
      </w:pPr>
    </w:p>
    <w:p>
      <w:pPr>
        <w:ind w:right="160" w:firstLine="1433"/>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gridSpan w:val="3"/>
          </w:tcPr>
          <w:p>
            <w:pPr>
              <w:jc w:val="center"/>
              <w:ind w:left="179"/>
              <w:spacing w:after="0"/>
              <w:rPr>
                <w:sz w:val="20"/>
                <w:szCs w:val="20"/>
                <w:color w:val="auto"/>
              </w:rPr>
            </w:pPr>
            <w:r>
              <w:rPr>
                <w:rFonts w:ascii="Arial" w:cs="Arial" w:eastAsia="Arial" w:hAnsi="Arial"/>
                <w:sz w:val="16"/>
                <w:szCs w:val="16"/>
                <w:color w:val="auto"/>
                <w:w w:val="91"/>
              </w:rPr>
              <w:t>Amount of decrease in</w:t>
            </w:r>
          </w:p>
        </w:tc>
        <w:tc>
          <w:tcPr>
            <w:tcW w:w="2140" w:type="dxa"/>
            <w:vAlign w:val="bottom"/>
            <w:gridSpan w:val="3"/>
          </w:tcPr>
          <w:p>
            <w:pPr>
              <w:jc w:val="center"/>
              <w:spacing w:after="0"/>
              <w:rPr>
                <w:sz w:val="20"/>
                <w:szCs w:val="20"/>
                <w:color w:val="auto"/>
              </w:rPr>
            </w:pPr>
            <w:r>
              <w:rPr>
                <w:rFonts w:ascii="Arial" w:cs="Arial" w:eastAsia="Arial" w:hAnsi="Arial"/>
                <w:sz w:val="16"/>
                <w:szCs w:val="16"/>
                <w:color w:val="auto"/>
                <w:w w:val="94"/>
              </w:rPr>
              <w:t>Amount of increase in</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5"/>
              </w:rPr>
              <w:t>Principal Amount</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gridSpan w:val="3"/>
          </w:tcPr>
          <w:p>
            <w:pPr>
              <w:jc w:val="center"/>
              <w:ind w:left="179"/>
              <w:spacing w:after="0"/>
              <w:rPr>
                <w:sz w:val="20"/>
                <w:szCs w:val="20"/>
                <w:color w:val="auto"/>
              </w:rPr>
            </w:pPr>
            <w:r>
              <w:rPr>
                <w:rFonts w:ascii="Arial" w:cs="Arial" w:eastAsia="Arial" w:hAnsi="Arial"/>
                <w:sz w:val="16"/>
                <w:szCs w:val="16"/>
                <w:color w:val="auto"/>
                <w:w w:val="94"/>
              </w:rPr>
              <w:t>Principal Amount</w:t>
            </w:r>
          </w:p>
        </w:tc>
        <w:tc>
          <w:tcPr>
            <w:tcW w:w="2140" w:type="dxa"/>
            <w:vAlign w:val="bottom"/>
            <w:gridSpan w:val="3"/>
          </w:tcPr>
          <w:p>
            <w:pPr>
              <w:jc w:val="center"/>
              <w:spacing w:after="0"/>
              <w:rPr>
                <w:sz w:val="20"/>
                <w:szCs w:val="20"/>
                <w:color w:val="auto"/>
              </w:rPr>
            </w:pPr>
            <w:r>
              <w:rPr>
                <w:rFonts w:ascii="Arial" w:cs="Arial" w:eastAsia="Arial" w:hAnsi="Arial"/>
                <w:sz w:val="16"/>
                <w:szCs w:val="16"/>
                <w:color w:val="auto"/>
                <w:w w:val="94"/>
              </w:rPr>
              <w:t>Principal Amount</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4"/>
              </w:rPr>
              <w:t>of this Global Note</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6"/>
                <w:szCs w:val="16"/>
                <w:color w:val="auto"/>
              </w:rPr>
              <w:t>of</w:t>
            </w:r>
          </w:p>
        </w:tc>
        <w:tc>
          <w:tcPr>
            <w:tcW w:w="540" w:type="dxa"/>
            <w:vAlign w:val="bottom"/>
          </w:tcPr>
          <w:p>
            <w:pPr>
              <w:spacing w:after="0"/>
              <w:rPr>
                <w:sz w:val="17"/>
                <w:szCs w:val="17"/>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6"/>
                <w:szCs w:val="16"/>
                <w:color w:val="auto"/>
              </w:rPr>
              <w:t>of</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1"/>
              </w:rPr>
              <w:t>following such decrease</w:t>
            </w:r>
          </w:p>
        </w:tc>
        <w:tc>
          <w:tcPr>
            <w:tcW w:w="190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Signature of authorized</w:t>
            </w:r>
          </w:p>
        </w:tc>
      </w:tr>
      <w:tr>
        <w:trPr>
          <w:trHeight w:val="192"/>
        </w:trPr>
        <w:tc>
          <w:tcPr>
            <w:tcW w:w="2260" w:type="dxa"/>
            <w:vAlign w:val="bottom"/>
            <w:gridSpan w:val="3"/>
          </w:tcPr>
          <w:p>
            <w:pPr>
              <w:ind w:left="500"/>
              <w:spacing w:after="0" w:line="152" w:lineRule="exact"/>
              <w:rPr>
                <w:sz w:val="20"/>
                <w:szCs w:val="20"/>
                <w:color w:val="auto"/>
              </w:rPr>
            </w:pPr>
            <w:r>
              <w:rPr>
                <w:rFonts w:ascii="Arial" w:cs="Arial" w:eastAsia="Arial" w:hAnsi="Arial"/>
                <w:sz w:val="16"/>
                <w:szCs w:val="16"/>
                <w:color w:val="auto"/>
              </w:rPr>
              <w:t>Date of Exchange</w:t>
            </w:r>
          </w:p>
        </w:tc>
        <w:tc>
          <w:tcPr>
            <w:tcW w:w="2440" w:type="dxa"/>
            <w:vAlign w:val="bottom"/>
            <w:gridSpan w:val="3"/>
          </w:tcPr>
          <w:p>
            <w:pPr>
              <w:jc w:val="center"/>
              <w:ind w:left="179"/>
              <w:spacing w:after="0" w:line="152" w:lineRule="exact"/>
              <w:rPr>
                <w:sz w:val="20"/>
                <w:szCs w:val="20"/>
                <w:color w:val="auto"/>
              </w:rPr>
            </w:pPr>
            <w:r>
              <w:rPr>
                <w:rFonts w:ascii="Arial" w:cs="Arial" w:eastAsia="Arial" w:hAnsi="Arial"/>
                <w:sz w:val="16"/>
                <w:szCs w:val="16"/>
                <w:color w:val="auto"/>
                <w:w w:val="93"/>
              </w:rPr>
              <w:t>this Global Note</w:t>
            </w:r>
          </w:p>
        </w:tc>
        <w:tc>
          <w:tcPr>
            <w:tcW w:w="2140" w:type="dxa"/>
            <w:vAlign w:val="bottom"/>
            <w:gridSpan w:val="3"/>
          </w:tcPr>
          <w:p>
            <w:pPr>
              <w:jc w:val="center"/>
              <w:spacing w:after="0" w:line="152" w:lineRule="exact"/>
              <w:rPr>
                <w:sz w:val="20"/>
                <w:szCs w:val="20"/>
                <w:color w:val="auto"/>
              </w:rPr>
            </w:pPr>
            <w:r>
              <w:rPr>
                <w:rFonts w:ascii="Arial" w:cs="Arial" w:eastAsia="Arial" w:hAnsi="Arial"/>
                <w:sz w:val="16"/>
                <w:szCs w:val="16"/>
                <w:color w:val="auto"/>
                <w:w w:val="93"/>
              </w:rPr>
              <w:t>this Global Note</w:t>
            </w:r>
          </w:p>
        </w:tc>
        <w:tc>
          <w:tcPr>
            <w:tcW w:w="740" w:type="dxa"/>
            <w:vAlign w:val="bottom"/>
          </w:tcPr>
          <w:p>
            <w:pPr>
              <w:spacing w:after="0"/>
              <w:rPr>
                <w:sz w:val="16"/>
                <w:szCs w:val="16"/>
                <w:color w:val="auto"/>
              </w:rPr>
            </w:pPr>
          </w:p>
        </w:tc>
        <w:tc>
          <w:tcPr>
            <w:tcW w:w="1540" w:type="dxa"/>
            <w:vAlign w:val="bottom"/>
            <w:gridSpan w:val="2"/>
          </w:tcPr>
          <w:p>
            <w:pPr>
              <w:jc w:val="center"/>
              <w:ind w:right="740"/>
              <w:spacing w:after="0" w:line="152" w:lineRule="exact"/>
              <w:rPr>
                <w:sz w:val="20"/>
                <w:szCs w:val="20"/>
                <w:color w:val="auto"/>
              </w:rPr>
            </w:pPr>
            <w:r>
              <w:rPr>
                <w:rFonts w:ascii="Arial" w:cs="Arial" w:eastAsia="Arial" w:hAnsi="Arial"/>
                <w:sz w:val="16"/>
                <w:szCs w:val="16"/>
                <w:color w:val="auto"/>
                <w:w w:val="89"/>
              </w:rPr>
              <w:t>(or increase)</w:t>
            </w:r>
          </w:p>
        </w:tc>
        <w:tc>
          <w:tcPr>
            <w:tcW w:w="1900" w:type="dxa"/>
            <w:vAlign w:val="bottom"/>
            <w:gridSpan w:val="3"/>
          </w:tcPr>
          <w:p>
            <w:pPr>
              <w:jc w:val="center"/>
              <w:ind w:left="259"/>
              <w:spacing w:after="0" w:line="152" w:lineRule="exact"/>
              <w:rPr>
                <w:sz w:val="20"/>
                <w:szCs w:val="20"/>
                <w:color w:val="auto"/>
              </w:rPr>
            </w:pPr>
            <w:r>
              <w:rPr>
                <w:rFonts w:ascii="Arial" w:cs="Arial" w:eastAsia="Arial" w:hAnsi="Arial"/>
                <w:sz w:val="16"/>
                <w:szCs w:val="16"/>
                <w:color w:val="auto"/>
                <w:w w:val="90"/>
              </w:rPr>
              <w:t>signatory of Trustee</w:t>
            </w:r>
          </w:p>
        </w:tc>
      </w:tr>
      <w:tr>
        <w:trPr>
          <w:trHeight w:val="217"/>
        </w:trPr>
        <w:tc>
          <w:tcPr>
            <w:tcW w:w="5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6251575</wp:posOffset>
            </wp:positionV>
            <wp:extent cx="2171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40" w:hanging="736"/>
        <w:spacing w:after="0"/>
        <w:tabs>
          <w:tab w:leader="none" w:pos="7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Insert in Global Securities only.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A-1-12</w:t>
      </w:r>
    </w:p>
    <w:p>
      <w:pPr>
        <w:sectPr>
          <w:pgSz w:w="11900" w:h="16838" w:orient="portrait"/>
          <w:cols w:equalWidth="0" w:num="1">
            <w:col w:w="11040"/>
          </w:cols>
          <w:pgMar w:left="440" w:top="271" w:right="4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8820" w:type="dxa"/>
            <w:vAlign w:val="bottom"/>
            <w:gridSpan w:val="3"/>
          </w:tcPr>
          <w:p>
            <w:pPr>
              <w:jc w:val="right"/>
              <w:spacing w:after="0"/>
              <w:rPr>
                <w:sz w:val="20"/>
                <w:szCs w:val="20"/>
                <w:color w:val="auto"/>
              </w:rPr>
            </w:pPr>
            <w:r>
              <w:rPr>
                <w:rFonts w:ascii="Arial" w:cs="Arial" w:eastAsia="Arial" w:hAnsi="Arial"/>
                <w:sz w:val="22"/>
                <w:szCs w:val="22"/>
                <w:color w:val="auto"/>
              </w:rPr>
              <w:t>EXHIBIT A-2</w:t>
            </w:r>
          </w:p>
        </w:tc>
      </w:tr>
      <w:tr>
        <w:trPr>
          <w:trHeight w:val="706"/>
        </w:trPr>
        <w:tc>
          <w:tcPr>
            <w:tcW w:w="2200" w:type="dxa"/>
            <w:vAlign w:val="bottom"/>
          </w:tcPr>
          <w:p>
            <w:pPr>
              <w:spacing w:after="0"/>
              <w:rPr>
                <w:sz w:val="24"/>
                <w:szCs w:val="24"/>
                <w:color w:val="auto"/>
              </w:rPr>
            </w:pPr>
          </w:p>
        </w:tc>
        <w:tc>
          <w:tcPr>
            <w:tcW w:w="7580" w:type="dxa"/>
            <w:vAlign w:val="bottom"/>
          </w:tcPr>
          <w:p>
            <w:pPr>
              <w:jc w:val="center"/>
              <w:ind w:right="852"/>
              <w:spacing w:after="0"/>
              <w:rPr>
                <w:sz w:val="20"/>
                <w:szCs w:val="20"/>
                <w:color w:val="auto"/>
              </w:rPr>
            </w:pPr>
            <w:r>
              <w:rPr>
                <w:rFonts w:ascii="Arial" w:cs="Arial" w:eastAsia="Arial" w:hAnsi="Arial"/>
                <w:sz w:val="22"/>
                <w:szCs w:val="22"/>
                <w:color w:val="auto"/>
                <w:w w:val="94"/>
              </w:rPr>
              <w:t>[FORM OF UNRESTRICTED NOTE]</w:t>
            </w: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459"/>
        </w:trPr>
        <w:tc>
          <w:tcPr>
            <w:tcW w:w="2200" w:type="dxa"/>
            <w:vAlign w:val="bottom"/>
          </w:tcPr>
          <w:p>
            <w:pPr>
              <w:spacing w:after="0"/>
              <w:rPr>
                <w:sz w:val="24"/>
                <w:szCs w:val="24"/>
                <w:color w:val="auto"/>
              </w:rPr>
            </w:pPr>
          </w:p>
        </w:tc>
        <w:tc>
          <w:tcPr>
            <w:tcW w:w="8220" w:type="dxa"/>
            <w:vAlign w:val="bottom"/>
            <w:gridSpan w:val="2"/>
          </w:tcPr>
          <w:p>
            <w:pPr>
              <w:jc w:val="center"/>
              <w:ind w:right="1600"/>
              <w:spacing w:after="0"/>
              <w:rPr>
                <w:sz w:val="20"/>
                <w:szCs w:val="20"/>
                <w:color w:val="auto"/>
              </w:rPr>
            </w:pPr>
            <w:r>
              <w:rPr>
                <w:rFonts w:ascii="Arial" w:cs="Arial" w:eastAsia="Arial" w:hAnsi="Arial"/>
                <w:sz w:val="22"/>
                <w:szCs w:val="22"/>
                <w:b w:val="1"/>
                <w:bCs w:val="1"/>
                <w:color w:val="auto"/>
                <w:w w:val="97"/>
              </w:rPr>
              <w:t>CROWN EUROPEAN HOLDINGS S.A.</w:t>
            </w:r>
          </w:p>
        </w:tc>
        <w:tc>
          <w:tcPr>
            <w:tcW w:w="600" w:type="dxa"/>
            <w:vAlign w:val="bottom"/>
          </w:tcPr>
          <w:p>
            <w:pPr>
              <w:spacing w:after="0"/>
              <w:rPr>
                <w:sz w:val="24"/>
                <w:szCs w:val="24"/>
                <w:color w:val="auto"/>
              </w:rPr>
            </w:pPr>
          </w:p>
        </w:tc>
      </w:tr>
      <w:tr>
        <w:trPr>
          <w:trHeight w:val="459"/>
        </w:trPr>
        <w:tc>
          <w:tcPr>
            <w:tcW w:w="2200" w:type="dxa"/>
            <w:vAlign w:val="bottom"/>
          </w:tcPr>
          <w:p>
            <w:pPr>
              <w:spacing w:after="0"/>
              <w:rPr>
                <w:sz w:val="24"/>
                <w:szCs w:val="24"/>
                <w:color w:val="auto"/>
              </w:rPr>
            </w:pPr>
          </w:p>
        </w:tc>
        <w:tc>
          <w:tcPr>
            <w:tcW w:w="8220" w:type="dxa"/>
            <w:vAlign w:val="bottom"/>
            <w:gridSpan w:val="2"/>
          </w:tcPr>
          <w:p>
            <w:pPr>
              <w:jc w:val="center"/>
              <w:ind w:right="1580"/>
              <w:spacing w:after="0"/>
              <w:rPr>
                <w:sz w:val="20"/>
                <w:szCs w:val="20"/>
                <w:color w:val="auto"/>
              </w:rPr>
            </w:pPr>
            <w:r>
              <w:rPr>
                <w:rFonts w:ascii="Arial" w:cs="Arial" w:eastAsia="Arial" w:hAnsi="Arial"/>
                <w:sz w:val="22"/>
                <w:szCs w:val="22"/>
                <w:color w:val="auto"/>
                <w:w w:val="91"/>
              </w:rPr>
              <w:t>0.750% SENIOR NOTE DUE 2023</w:t>
            </w:r>
          </w:p>
        </w:tc>
        <w:tc>
          <w:tcPr>
            <w:tcW w:w="600" w:type="dxa"/>
            <w:vAlign w:val="bottom"/>
          </w:tcPr>
          <w:p>
            <w:pPr>
              <w:spacing w:after="0"/>
              <w:rPr>
                <w:sz w:val="24"/>
                <w:szCs w:val="24"/>
                <w:color w:val="auto"/>
              </w:rPr>
            </w:pPr>
          </w:p>
        </w:tc>
      </w:tr>
      <w:tr>
        <w:trPr>
          <w:trHeight w:val="459"/>
        </w:trPr>
        <w:tc>
          <w:tcPr>
            <w:tcW w:w="2200" w:type="dxa"/>
            <w:vAlign w:val="bottom"/>
          </w:tcPr>
          <w:p>
            <w:pPr>
              <w:spacing w:after="0"/>
              <w:rPr>
                <w:sz w:val="24"/>
                <w:szCs w:val="24"/>
                <w:color w:val="auto"/>
              </w:rPr>
            </w:pPr>
          </w:p>
        </w:tc>
        <w:tc>
          <w:tcPr>
            <w:tcW w:w="8220" w:type="dxa"/>
            <w:vAlign w:val="bottom"/>
            <w:gridSpan w:val="2"/>
          </w:tcPr>
          <w:p>
            <w:pPr>
              <w:jc w:val="center"/>
              <w:ind w:right="1580"/>
              <w:spacing w:after="0"/>
              <w:rPr>
                <w:sz w:val="20"/>
                <w:szCs w:val="20"/>
                <w:color w:val="auto"/>
              </w:rPr>
            </w:pPr>
            <w:r>
              <w:rPr>
                <w:rFonts w:ascii="Arial" w:cs="Arial" w:eastAsia="Arial" w:hAnsi="Arial"/>
                <w:sz w:val="22"/>
                <w:szCs w:val="22"/>
                <w:b w:val="1"/>
                <w:bCs w:val="1"/>
                <w:color w:val="auto"/>
                <w:w w:val="86"/>
              </w:rPr>
              <w:t>[</w:t>
            </w:r>
            <w:r>
              <w:rPr>
                <w:rFonts w:ascii="Arial" w:cs="Arial" w:eastAsia="Arial" w:hAnsi="Arial"/>
                <w:sz w:val="22"/>
                <w:szCs w:val="22"/>
                <w:b w:val="1"/>
                <w:bCs w:val="1"/>
                <w:i w:val="1"/>
                <w:iCs w:val="1"/>
                <w:color w:val="auto"/>
                <w:w w:val="86"/>
              </w:rPr>
              <w:t>Insert Global Note Legend</w:t>
            </w:r>
            <w:r>
              <w:rPr>
                <w:rFonts w:ascii="Arial" w:cs="Arial" w:eastAsia="Arial" w:hAnsi="Arial"/>
                <w:sz w:val="22"/>
                <w:szCs w:val="22"/>
                <w:b w:val="1"/>
                <w:bCs w:val="1"/>
                <w:color w:val="auto"/>
                <w:w w:val="86"/>
              </w:rPr>
              <w:t xml:space="preserve">, </w:t>
            </w:r>
            <w:r>
              <w:rPr>
                <w:rFonts w:ascii="Arial" w:cs="Arial" w:eastAsia="Arial" w:hAnsi="Arial"/>
                <w:sz w:val="22"/>
                <w:szCs w:val="22"/>
                <w:b w:val="1"/>
                <w:bCs w:val="1"/>
                <w:i w:val="1"/>
                <w:iCs w:val="1"/>
                <w:color w:val="auto"/>
                <w:w w:val="86"/>
              </w:rPr>
              <w:t>if applicable</w:t>
            </w:r>
            <w:r>
              <w:rPr>
                <w:rFonts w:ascii="Arial" w:cs="Arial" w:eastAsia="Arial" w:hAnsi="Arial"/>
                <w:sz w:val="22"/>
                <w:szCs w:val="22"/>
                <w:b w:val="1"/>
                <w:bCs w:val="1"/>
                <w:color w:val="auto"/>
                <w:w w:val="86"/>
              </w:rPr>
              <w:t>]</w:t>
            </w:r>
          </w:p>
        </w:tc>
        <w:tc>
          <w:tcPr>
            <w:tcW w:w="600" w:type="dxa"/>
            <w:vAlign w:val="bottom"/>
          </w:tcPr>
          <w:p>
            <w:pPr>
              <w:spacing w:after="0"/>
              <w:rPr>
                <w:sz w:val="24"/>
                <w:szCs w:val="24"/>
                <w:color w:val="auto"/>
              </w:rPr>
            </w:pPr>
          </w:p>
        </w:tc>
      </w:tr>
      <w:tr>
        <w:trPr>
          <w:trHeight w:val="455"/>
        </w:trPr>
        <w:tc>
          <w:tcPr>
            <w:tcW w:w="2200" w:type="dxa"/>
            <w:vAlign w:val="bottom"/>
          </w:tcPr>
          <w:p>
            <w:pPr>
              <w:spacing w:after="0"/>
              <w:rPr>
                <w:sz w:val="20"/>
                <w:szCs w:val="20"/>
                <w:color w:val="auto"/>
              </w:rPr>
            </w:pPr>
            <w:r>
              <w:rPr>
                <w:rFonts w:ascii="Arial" w:cs="Arial" w:eastAsia="Arial" w:hAnsi="Arial"/>
                <w:sz w:val="22"/>
                <w:szCs w:val="22"/>
                <w:color w:val="auto"/>
              </w:rPr>
              <w:t>No. [   ]</w:t>
            </w:r>
          </w:p>
        </w:tc>
        <w:tc>
          <w:tcPr>
            <w:tcW w:w="8220" w:type="dxa"/>
            <w:vAlign w:val="bottom"/>
            <w:gridSpan w:val="2"/>
          </w:tcPr>
          <w:p>
            <w:pPr>
              <w:jc w:val="right"/>
              <w:ind w:right="540"/>
              <w:spacing w:after="0"/>
              <w:rPr>
                <w:sz w:val="20"/>
                <w:szCs w:val="20"/>
                <w:color w:val="auto"/>
              </w:rPr>
            </w:pPr>
            <w:r>
              <w:rPr>
                <w:rFonts w:ascii="Arial" w:cs="Arial" w:eastAsia="Arial" w:hAnsi="Arial"/>
                <w:sz w:val="22"/>
                <w:szCs w:val="22"/>
                <w:color w:val="auto"/>
              </w:rPr>
              <w:t>ISIN No. [</w:t>
            </w:r>
          </w:p>
        </w:tc>
        <w:tc>
          <w:tcPr>
            <w:tcW w:w="6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2200" w:type="dxa"/>
            <w:vAlign w:val="bottom"/>
          </w:tcPr>
          <w:p>
            <w:pPr>
              <w:spacing w:after="0"/>
              <w:rPr>
                <w:sz w:val="21"/>
                <w:szCs w:val="21"/>
                <w:color w:val="auto"/>
              </w:rPr>
            </w:pPr>
          </w:p>
        </w:tc>
        <w:tc>
          <w:tcPr>
            <w:tcW w:w="822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Common Code No. [</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75"/>
        </w:trPr>
        <w:tc>
          <w:tcPr>
            <w:tcW w:w="2200" w:type="dxa"/>
            <w:vAlign w:val="bottom"/>
          </w:tcPr>
          <w:p>
            <w:pPr>
              <w:spacing w:after="0"/>
              <w:rPr>
                <w:sz w:val="23"/>
                <w:szCs w:val="23"/>
                <w:color w:val="auto"/>
              </w:rPr>
            </w:pPr>
          </w:p>
        </w:tc>
        <w:tc>
          <w:tcPr>
            <w:tcW w:w="8220" w:type="dxa"/>
            <w:vAlign w:val="bottom"/>
            <w:gridSpan w:val="2"/>
          </w:tcPr>
          <w:p>
            <w:pPr>
              <w:jc w:val="right"/>
              <w:ind w:right="540"/>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1"/>
          <w:szCs w:val="21"/>
          <w:color w:val="auto"/>
        </w:rPr>
        <w:t xml:space="preserve">CROWN EUROPEAN HOLDINGS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as issuer (the “</w:t>
      </w:r>
      <w:r>
        <w:rPr>
          <w:rFonts w:ascii="Arial" w:cs="Arial" w:eastAsia="Arial" w:hAnsi="Arial"/>
          <w:sz w:val="21"/>
          <w:szCs w:val="21"/>
          <w:u w:val="single" w:color="auto"/>
          <w:color w:val="auto"/>
        </w:rPr>
        <w:t>Issuer</w:t>
      </w:r>
      <w:r>
        <w:rPr>
          <w:rFonts w:ascii="Arial" w:cs="Arial" w:eastAsia="Arial" w:hAnsi="Arial"/>
          <w:sz w:val="21"/>
          <w:szCs w:val="21"/>
          <w:color w:val="auto"/>
        </w:rPr>
        <w:t>”), for value</w:t>
      </w:r>
    </w:p>
    <w:p>
      <w:pPr>
        <w:spacing w:after="0" w:line="20"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received, promises to pay to USB Nominees (UK) Limited or registered assigns the principal sum of [ ] (or such other principal amount as shall be set forth in the Schedule of Exchanges of Interests in Global Note attached hereto), on February 15, 2023.</w:t>
      </w:r>
    </w:p>
    <w:p>
      <w:pPr>
        <w:spacing w:after="0" w:line="187" w:lineRule="exact"/>
        <w:rPr>
          <w:sz w:val="20"/>
          <w:szCs w:val="20"/>
          <w:color w:val="auto"/>
        </w:rPr>
      </w:pPr>
    </w:p>
    <w:p>
      <w:pPr>
        <w:ind w:left="120"/>
        <w:spacing w:after="0"/>
        <w:tabs>
          <w:tab w:leader="none" w:pos="2380" w:val="left"/>
        </w:tabs>
        <w:rPr>
          <w:sz w:val="20"/>
          <w:szCs w:val="20"/>
          <w:color w:val="auto"/>
        </w:rPr>
      </w:pPr>
      <w:r>
        <w:rPr>
          <w:rFonts w:ascii="Arial" w:cs="Arial" w:eastAsia="Arial" w:hAnsi="Arial"/>
          <w:sz w:val="22"/>
          <w:szCs w:val="22"/>
          <w:color w:val="auto"/>
        </w:rPr>
        <w:t>Interest Payment Dates:</w:t>
      </w:r>
      <w:r>
        <w:rPr>
          <w:sz w:val="20"/>
          <w:szCs w:val="20"/>
          <w:color w:val="auto"/>
        </w:rPr>
        <w:tab/>
      </w:r>
      <w:r>
        <w:rPr>
          <w:rFonts w:ascii="Arial" w:cs="Arial" w:eastAsia="Arial" w:hAnsi="Arial"/>
          <w:sz w:val="19"/>
          <w:szCs w:val="19"/>
          <w:color w:val="auto"/>
        </w:rPr>
        <w:t>February 15 and August 15 commencing August 15, 2020.</w:t>
      </w:r>
    </w:p>
    <w:p>
      <w:pPr>
        <w:spacing w:after="0" w:line="206"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22"/>
          <w:szCs w:val="22"/>
          <w:color w:val="auto"/>
        </w:rPr>
        <w:t>Record Dates:</w:t>
      </w:r>
      <w:r>
        <w:rPr>
          <w:sz w:val="20"/>
          <w:szCs w:val="20"/>
          <w:color w:val="auto"/>
        </w:rPr>
        <w:tab/>
      </w:r>
      <w:r>
        <w:rPr>
          <w:rFonts w:ascii="Arial" w:cs="Arial" w:eastAsia="Arial" w:hAnsi="Arial"/>
          <w:sz w:val="19"/>
          <w:szCs w:val="19"/>
          <w:color w:val="auto"/>
        </w:rPr>
        <w:t>February 1 and August 1 (whether or not a Business Day).</w:t>
      </w:r>
    </w:p>
    <w:p>
      <w:pPr>
        <w:spacing w:after="0" w:line="206" w:lineRule="exact"/>
        <w:rPr>
          <w:sz w:val="20"/>
          <w:szCs w:val="20"/>
          <w:color w:val="auto"/>
        </w:rPr>
      </w:pPr>
    </w:p>
    <w:p>
      <w:pPr>
        <w:ind w:right="80" w:firstLine="1433"/>
        <w:spacing w:after="0" w:line="251" w:lineRule="auto"/>
        <w:rPr>
          <w:sz w:val="20"/>
          <w:szCs w:val="20"/>
          <w:color w:val="auto"/>
        </w:rPr>
      </w:pPr>
      <w:r>
        <w:rPr>
          <w:rFonts w:ascii="Arial" w:cs="Arial" w:eastAsia="Arial" w:hAnsi="Arial"/>
          <w:sz w:val="22"/>
          <w:szCs w:val="22"/>
          <w:color w:val="auto"/>
        </w:rPr>
        <w:t>Reference is made to the further provisions of this Note contained herein, which will for all purposes have the same effect as if set forth at this place.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020"/>
          </w:cols>
          <w:pgMar w:left="440" w:top="238" w:right="439" w:bottom="1440" w:gutter="0" w:footer="0" w:header="0"/>
        </w:sectPr>
      </w:pPr>
    </w:p>
    <w:bookmarkStart w:id="153" w:name="page154"/>
    <w:bookmarkEnd w:id="153"/>
    <w:p>
      <w:pPr>
        <w:ind w:left="4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by two of its duly authorized officers.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CROWN EUROPEAN HOLDINGS S.A.</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7620</wp:posOffset>
            </wp:positionV>
            <wp:extent cx="23755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w:t>
      </w:r>
    </w:p>
    <w:p>
      <w:pPr>
        <w:spacing w:after="0" w:line="29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7620</wp:posOffset>
            </wp:positionV>
            <wp:extent cx="23755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w:t>
      </w:r>
    </w:p>
    <w:p>
      <w:pPr>
        <w:spacing w:after="0" w:line="12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9900"/>
          </w:cols>
          <w:pgMar w:left="1440" w:top="267" w:right="559" w:bottom="1440" w:gutter="0" w:footer="0" w:header="0"/>
        </w:sectPr>
      </w:pPr>
    </w:p>
    <w:bookmarkStart w:id="154" w:name="page155"/>
    <w:bookmarkEnd w:id="154"/>
    <w:p>
      <w:pPr>
        <w:jc w:val="center"/>
        <w:ind w:right="-4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Authentication</w:t>
      </w: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This is one of the 0.750% Senior Notes due 2023 referred to in the within-mentioned Indenture.</w:t>
      </w:r>
    </w:p>
    <w:p>
      <w:pPr>
        <w:spacing w:after="0" w:line="233"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U.S. BANK NATIONAL ASSOCIATION, as</w:t>
      </w:r>
    </w:p>
    <w:p>
      <w:pPr>
        <w:spacing w:after="0" w:line="4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Trustee</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7620</wp:posOffset>
            </wp:positionV>
            <wp:extent cx="25387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139"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580"/>
          </w:cols>
          <w:pgMar w:left="440" w:top="267" w:right="879" w:bottom="1440" w:gutter="0" w:footer="0" w:header="0"/>
        </w:sectPr>
      </w:pPr>
    </w:p>
    <w:bookmarkStart w:id="155" w:name="page156"/>
    <w:bookmarkEnd w:id="155"/>
    <w:p>
      <w:pPr>
        <w:jc w:val="center"/>
        <w:ind w:right="-15"/>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UNRESTRICTED NOTE]</w:t>
      </w:r>
    </w:p>
    <w:p>
      <w:pPr>
        <w:spacing w:after="0" w:line="200" w:lineRule="exact"/>
        <w:rPr>
          <w:sz w:val="20"/>
          <w:szCs w:val="20"/>
          <w:color w:val="auto"/>
        </w:rPr>
      </w:pPr>
    </w:p>
    <w:p>
      <w:pPr>
        <w:jc w:val="center"/>
        <w:ind w:right="-15"/>
        <w:spacing w:after="0"/>
        <w:rPr>
          <w:sz w:val="20"/>
          <w:szCs w:val="20"/>
          <w:color w:val="auto"/>
        </w:rPr>
      </w:pPr>
      <w:r>
        <w:rPr>
          <w:rFonts w:ascii="Arial" w:cs="Arial" w:eastAsia="Arial" w:hAnsi="Arial"/>
          <w:sz w:val="22"/>
          <w:szCs w:val="22"/>
          <w:b w:val="1"/>
          <w:bCs w:val="1"/>
          <w:color w:val="auto"/>
        </w:rPr>
        <w:t>CROWN EUROPEAN HOLDINGS S.A.</w:t>
      </w:r>
    </w:p>
    <w:p>
      <w:pPr>
        <w:spacing w:after="0" w:line="212"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0.750% SENIOR NOTE DUE 2023</w:t>
      </w:r>
    </w:p>
    <w:p>
      <w:pPr>
        <w:spacing w:after="0" w:line="206" w:lineRule="exact"/>
        <w:rPr>
          <w:sz w:val="20"/>
          <w:szCs w:val="20"/>
          <w:color w:val="auto"/>
        </w:rPr>
      </w:pPr>
    </w:p>
    <w:p>
      <w:pPr>
        <w:ind w:left="-4" w:firstLine="1436"/>
        <w:spacing w:after="0" w:line="247" w:lineRule="auto"/>
        <w:tabs>
          <w:tab w:leader="none" w:pos="2023"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CROWN EUROPEAN HOLDINGS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as issuer (the “</w:t>
      </w:r>
      <w:r>
        <w:rPr>
          <w:rFonts w:ascii="Arial" w:cs="Arial" w:eastAsia="Arial" w:hAnsi="Arial"/>
          <w:sz w:val="21"/>
          <w:szCs w:val="21"/>
          <w:u w:val="single" w:color="auto"/>
          <w:color w:val="auto"/>
        </w:rPr>
        <w:t>Issuer</w:t>
      </w:r>
      <w:r>
        <w:rPr>
          <w:rFonts w:ascii="Arial" w:cs="Arial" w:eastAsia="Arial" w:hAnsi="Arial"/>
          <w:sz w:val="21"/>
          <w:szCs w:val="21"/>
          <w:color w:val="auto"/>
        </w:rPr>
        <w:t>”), promises to pay interest on the principal amount set forth on the face hereof at a rate of 0.750% per annum. Interest hereon will accrue from and including the most recent date to which interest has been paid or, if no interest has been paid, from and including October 31, 2019</w:t>
      </w:r>
      <w:r>
        <w:rPr>
          <w:rFonts w:ascii="Arial" w:cs="Arial" w:eastAsia="Arial" w:hAnsi="Arial"/>
          <w:sz w:val="17"/>
          <w:szCs w:val="17"/>
          <w:color w:val="auto"/>
        </w:rPr>
        <w:t>3</w:t>
      </w:r>
      <w:r>
        <w:rPr>
          <w:rFonts w:ascii="Arial" w:cs="Arial" w:eastAsia="Arial" w:hAnsi="Arial"/>
          <w:sz w:val="21"/>
          <w:szCs w:val="21"/>
          <w:color w:val="auto"/>
        </w:rPr>
        <w:t xml:space="preserve"> to but excluding the date on which interest is paid. Interest shall be payable in arrears on each February 15 and August 15 commencing August 15, 2020</w:t>
      </w:r>
      <w:r>
        <w:rPr>
          <w:rFonts w:ascii="Arial" w:cs="Arial" w:eastAsia="Arial" w:hAnsi="Arial"/>
          <w:sz w:val="17"/>
          <w:szCs w:val="17"/>
          <w:color w:val="auto"/>
        </w:rPr>
        <w:t>4</w:t>
      </w:r>
      <w:r>
        <w:rPr>
          <w:rFonts w:ascii="Arial" w:cs="Arial" w:eastAsia="Arial" w:hAnsi="Arial"/>
          <w:sz w:val="21"/>
          <w:szCs w:val="21"/>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78" w:lineRule="exact"/>
        <w:rPr>
          <w:rFonts w:ascii="Arial" w:cs="Arial" w:eastAsia="Arial" w:hAnsi="Arial"/>
          <w:sz w:val="21"/>
          <w:szCs w:val="21"/>
          <w:color w:val="auto"/>
        </w:rPr>
      </w:pPr>
    </w:p>
    <w:p>
      <w:pPr>
        <w:ind w:left="-4" w:right="40" w:firstLine="1436"/>
        <w:spacing w:after="0" w:line="236" w:lineRule="auto"/>
        <w:tabs>
          <w:tab w:leader="none" w:pos="2023"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87" w:lineRule="exact"/>
        <w:rPr>
          <w:rFonts w:ascii="Arial" w:cs="Arial" w:eastAsia="Arial" w:hAnsi="Arial"/>
          <w:sz w:val="22"/>
          <w:szCs w:val="22"/>
          <w:color w:val="auto"/>
        </w:rPr>
      </w:pPr>
    </w:p>
    <w:p>
      <w:pPr>
        <w:jc w:val="both"/>
        <w:ind w:left="-4" w:right="120" w:firstLine="1436"/>
        <w:spacing w:after="0"/>
        <w:tabs>
          <w:tab w:leader="none" w:pos="2023"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Paying Agent, Registrar and Transfer Agent</w:t>
      </w:r>
      <w:r>
        <w:rPr>
          <w:rFonts w:ascii="Arial" w:cs="Arial" w:eastAsia="Arial" w:hAnsi="Arial"/>
          <w:sz w:val="22"/>
          <w:szCs w:val="22"/>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86" w:lineRule="exact"/>
        <w:rPr>
          <w:rFonts w:ascii="Arial" w:cs="Arial" w:eastAsia="Arial" w:hAnsi="Arial"/>
          <w:sz w:val="22"/>
          <w:szCs w:val="22"/>
          <w:color w:val="auto"/>
        </w:rPr>
      </w:pPr>
    </w:p>
    <w:p>
      <w:pPr>
        <w:ind w:left="-4" w:right="20" w:firstLine="1436"/>
        <w:spacing w:after="0" w:line="275" w:lineRule="auto"/>
        <w:tabs>
          <w:tab w:leader="none" w:pos="2023"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Issuer issued 0.750% Senior Notes due 2023 (the “</w:t>
      </w:r>
      <w:r>
        <w:rPr>
          <w:rFonts w:ascii="Arial" w:cs="Arial" w:eastAsia="Arial" w:hAnsi="Arial"/>
          <w:sz w:val="19"/>
          <w:szCs w:val="19"/>
          <w:u w:val="single" w:color="auto"/>
          <w:color w:val="auto"/>
        </w:rPr>
        <w:t>Notes</w:t>
      </w:r>
      <w:r>
        <w:rPr>
          <w:rFonts w:ascii="Arial" w:cs="Arial" w:eastAsia="Arial" w:hAnsi="Arial"/>
          <w:sz w:val="19"/>
          <w:szCs w:val="19"/>
          <w:color w:val="auto"/>
        </w:rPr>
        <w:t>”) under an Indenture dated as of October 31, 2019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Issuer, the Guarantors, U.S. Bank National Association (the “</w:t>
      </w:r>
      <w:r>
        <w:rPr>
          <w:rFonts w:ascii="Arial" w:cs="Arial" w:eastAsia="Arial" w:hAnsi="Arial"/>
          <w:sz w:val="19"/>
          <w:szCs w:val="19"/>
          <w:u w:val="single" w:color="auto"/>
          <w:color w:val="auto"/>
        </w:rPr>
        <w:t>Trustee</w:t>
      </w:r>
      <w:r>
        <w:rPr>
          <w:rFonts w:ascii="Arial" w:cs="Arial" w:eastAsia="Arial" w:hAnsi="Arial"/>
          <w:sz w:val="19"/>
          <w:szCs w:val="19"/>
          <w:color w:val="auto"/>
        </w:rPr>
        <w:t>”), Elavon Financial Services DAC, as paying agent (the “</w:t>
      </w:r>
      <w:r>
        <w:rPr>
          <w:rFonts w:ascii="Arial" w:cs="Arial" w:eastAsia="Arial" w:hAnsi="Arial"/>
          <w:sz w:val="19"/>
          <w:szCs w:val="19"/>
          <w:u w:val="single" w:color="auto"/>
          <w:color w:val="auto"/>
        </w:rPr>
        <w:t>Paying Agent</w:t>
      </w:r>
      <w:r>
        <w:rPr>
          <w:rFonts w:ascii="Arial" w:cs="Arial" w:eastAsia="Arial" w:hAnsi="Arial"/>
          <w:sz w:val="19"/>
          <w:szCs w:val="19"/>
          <w:color w:val="auto"/>
        </w:rPr>
        <w:t>”), registrar (the “</w:t>
      </w:r>
      <w:r>
        <w:rPr>
          <w:rFonts w:ascii="Arial" w:cs="Arial" w:eastAsia="Arial" w:hAnsi="Arial"/>
          <w:sz w:val="19"/>
          <w:szCs w:val="19"/>
          <w:u w:val="single" w:color="auto"/>
          <w:color w:val="auto"/>
        </w:rPr>
        <w:t>Registrar</w:t>
      </w:r>
      <w:r>
        <w:rPr>
          <w:rFonts w:ascii="Arial" w:cs="Arial" w:eastAsia="Arial" w:hAnsi="Arial"/>
          <w:sz w:val="19"/>
          <w:szCs w:val="19"/>
          <w:color w:val="auto"/>
        </w:rPr>
        <w:t>”) and transfer agent (the “</w:t>
      </w:r>
      <w:r>
        <w:rPr>
          <w:rFonts w:ascii="Arial" w:cs="Arial" w:eastAsia="Arial" w:hAnsi="Arial"/>
          <w:sz w:val="19"/>
          <w:szCs w:val="19"/>
          <w:u w:val="single" w:color="auto"/>
          <w:color w:val="auto"/>
        </w:rPr>
        <w:t>Transfer Agent</w:t>
      </w:r>
      <w:r>
        <w:rPr>
          <w:rFonts w:ascii="Arial" w:cs="Arial" w:eastAsia="Arial" w:hAnsi="Arial"/>
          <w:sz w:val="19"/>
          <w:szCs w:val="19"/>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18180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6" w:hanging="536"/>
        <w:spacing w:after="0"/>
        <w:tabs>
          <w:tab w:leader="none" w:pos="536" w:val="left"/>
        </w:tabs>
        <w:numPr>
          <w:ilvl w:val="0"/>
          <w:numId w:val="150"/>
        </w:numPr>
        <w:rPr>
          <w:rFonts w:ascii="Arial" w:cs="Arial" w:eastAsia="Arial" w:hAnsi="Arial"/>
          <w:sz w:val="17"/>
          <w:szCs w:val="17"/>
          <w:color w:val="auto"/>
        </w:rPr>
      </w:pPr>
      <w:r>
        <w:rPr>
          <w:rFonts w:ascii="Arial" w:cs="Arial" w:eastAsia="Arial" w:hAnsi="Arial"/>
          <w:sz w:val="20"/>
          <w:szCs w:val="20"/>
          <w:color w:val="auto"/>
        </w:rPr>
        <w:t>In the case of Notes issued on the Issue Date.</w:t>
      </w:r>
    </w:p>
    <w:p>
      <w:pPr>
        <w:spacing w:after="0" w:line="364" w:lineRule="exact"/>
        <w:rPr>
          <w:sz w:val="20"/>
          <w:szCs w:val="20"/>
          <w:color w:val="auto"/>
        </w:rPr>
      </w:pPr>
    </w:p>
    <w:p>
      <w:pPr>
        <w:ind w:left="536" w:hanging="536"/>
        <w:spacing w:after="0"/>
        <w:tabs>
          <w:tab w:leader="none" w:pos="536" w:val="left"/>
        </w:tabs>
        <w:numPr>
          <w:ilvl w:val="0"/>
          <w:numId w:val="151"/>
        </w:numPr>
        <w:rPr>
          <w:rFonts w:ascii="Arial" w:cs="Arial" w:eastAsia="Arial" w:hAnsi="Arial"/>
          <w:sz w:val="17"/>
          <w:szCs w:val="17"/>
          <w:color w:val="auto"/>
        </w:rPr>
      </w:pPr>
      <w:r>
        <w:rPr>
          <w:rFonts w:ascii="Arial" w:cs="Arial" w:eastAsia="Arial" w:hAnsi="Arial"/>
          <w:sz w:val="20"/>
          <w:szCs w:val="20"/>
          <w:color w:val="auto"/>
        </w:rPr>
        <w:t>In the case of Notes issued on the Issue Date.</w:t>
      </w:r>
    </w:p>
    <w:p>
      <w:pPr>
        <w:spacing w:after="0" w:line="144"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0996"/>
          </w:cols>
          <w:pgMar w:left="444" w:top="267" w:right="459" w:bottom="1440" w:gutter="0" w:footer="0" w:header="0"/>
        </w:sectPr>
      </w:pPr>
    </w:p>
    <w:bookmarkStart w:id="156" w:name="page157"/>
    <w:bookmarkEnd w:id="156"/>
    <w:p>
      <w:pPr>
        <w:ind w:left="2040" w:hanging="604"/>
        <w:spacing w:after="0"/>
        <w:tabs>
          <w:tab w:leader="none" w:pos="204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Optional Redemption</w:t>
      </w:r>
      <w:r>
        <w:rPr>
          <w:rFonts w:ascii="Arial" w:cs="Arial" w:eastAsia="Arial" w:hAnsi="Arial"/>
          <w:sz w:val="22"/>
          <w:szCs w:val="22"/>
          <w:color w:val="auto"/>
        </w:rPr>
        <w:t>.</w:t>
      </w:r>
    </w:p>
    <w:p>
      <w:pPr>
        <w:spacing w:after="0" w:line="206" w:lineRule="exact"/>
        <w:rPr>
          <w:sz w:val="20"/>
          <w:szCs w:val="20"/>
          <w:color w:val="auto"/>
        </w:rPr>
      </w:pPr>
    </w:p>
    <w:p>
      <w:pPr>
        <w:ind w:right="40" w:firstLine="1436"/>
        <w:spacing w:after="0" w:line="235" w:lineRule="auto"/>
        <w:tabs>
          <w:tab w:leader="none" w:pos="210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Prior to January 15, 2023, the Issuer may redeem the Notes, at its option, in whole at any time or in part from time to time at a redemption price equal to 100% of the principal amount thereof, plus accrued and unpaid interest, if any, to the Make-Whole Redemption Date, plus the Make-Whole Premium (a “</w:t>
      </w:r>
      <w:r>
        <w:rPr>
          <w:rFonts w:ascii="Arial" w:cs="Arial" w:eastAsia="Arial" w:hAnsi="Arial"/>
          <w:sz w:val="22"/>
          <w:szCs w:val="22"/>
          <w:u w:val="single" w:color="auto"/>
          <w:color w:val="auto"/>
        </w:rPr>
        <w:t>Make-Whole Redemption</w:t>
      </w:r>
      <w:r>
        <w:rPr>
          <w:rFonts w:ascii="Arial" w:cs="Arial" w:eastAsia="Arial" w:hAnsi="Arial"/>
          <w:sz w:val="22"/>
          <w:szCs w:val="22"/>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8" w:lineRule="exact"/>
        <w:rPr>
          <w:rFonts w:ascii="Arial" w:cs="Arial" w:eastAsia="Arial" w:hAnsi="Arial"/>
          <w:sz w:val="22"/>
          <w:szCs w:val="22"/>
          <w:color w:val="auto"/>
        </w:rPr>
      </w:pPr>
    </w:p>
    <w:p>
      <w:pPr>
        <w:ind w:right="260" w:firstLine="1436"/>
        <w:spacing w:after="0"/>
        <w:tabs>
          <w:tab w:leader="none" w:pos="210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At any time on or after January 15, 2023, the Issuer may redeem the Notes, at its option, in whole at any time or in part from time to time at a redemption price equal to 100% of the principal amount thereof, plus accrued and unpaid interest, if any, to, but not including, the applicable redemption date.</w:t>
      </w:r>
    </w:p>
    <w:p>
      <w:pPr>
        <w:spacing w:after="0" w:line="186" w:lineRule="exact"/>
        <w:rPr>
          <w:sz w:val="20"/>
          <w:szCs w:val="20"/>
          <w:color w:val="auto"/>
        </w:rPr>
      </w:pPr>
    </w:p>
    <w:p>
      <w:pPr>
        <w:ind w:right="380" w:firstLine="1433"/>
        <w:spacing w:after="0"/>
        <w:rPr>
          <w:sz w:val="20"/>
          <w:szCs w:val="20"/>
          <w:color w:val="auto"/>
        </w:rPr>
      </w:pPr>
      <w:r>
        <w:rPr>
          <w:rFonts w:ascii="Arial" w:cs="Arial" w:eastAsia="Arial" w:hAnsi="Arial"/>
          <w:sz w:val="22"/>
          <w:szCs w:val="22"/>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this Indenture.</w:t>
      </w:r>
    </w:p>
    <w:p>
      <w:pPr>
        <w:spacing w:after="0" w:line="186" w:lineRule="exact"/>
        <w:rPr>
          <w:sz w:val="20"/>
          <w:szCs w:val="20"/>
          <w:color w:val="auto"/>
        </w:rPr>
      </w:pPr>
    </w:p>
    <w:p>
      <w:pPr>
        <w:ind w:firstLine="1436"/>
        <w:spacing w:after="0" w:line="269" w:lineRule="auto"/>
        <w:tabs>
          <w:tab w:leader="none" w:pos="2027"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Redemption for Changes in Withholding Tax</w:t>
      </w:r>
      <w:r>
        <w:rPr>
          <w:rFonts w:ascii="Arial" w:cs="Arial" w:eastAsia="Arial" w:hAnsi="Arial"/>
          <w:sz w:val="19"/>
          <w:szCs w:val="19"/>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w:t>
      </w:r>
    </w:p>
    <w:p>
      <w:pPr>
        <w:spacing w:after="0" w:line="5" w:lineRule="exact"/>
        <w:rPr>
          <w:rFonts w:ascii="Arial" w:cs="Arial" w:eastAsia="Arial" w:hAnsi="Arial"/>
          <w:sz w:val="19"/>
          <w:szCs w:val="19"/>
          <w:color w:val="auto"/>
        </w:rPr>
      </w:pPr>
    </w:p>
    <w:p>
      <w:pPr>
        <w:ind w:right="60" w:firstLine="4"/>
        <w:spacing w:after="0" w:line="273" w:lineRule="auto"/>
        <w:tabs>
          <w:tab w:leader="none" w:pos="25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60" w:lineRule="exact"/>
        <w:rPr>
          <w:sz w:val="20"/>
          <w:szCs w:val="20"/>
          <w:color w:val="auto"/>
        </w:rPr>
      </w:pPr>
    </w:p>
    <w:p>
      <w:pPr>
        <w:ind w:right="140" w:firstLine="1433"/>
        <w:spacing w:after="0" w:line="252" w:lineRule="auto"/>
        <w:rPr>
          <w:sz w:val="20"/>
          <w:szCs w:val="20"/>
          <w:color w:val="auto"/>
        </w:rPr>
      </w:pPr>
      <w:r>
        <w:rPr>
          <w:rFonts w:ascii="Arial" w:cs="Arial" w:eastAsia="Arial" w:hAnsi="Arial"/>
          <w:sz w:val="21"/>
          <w:szCs w:val="21"/>
          <w:color w:val="auto"/>
        </w:rPr>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020"/>
          </w:cols>
          <w:pgMar w:left="440" w:top="267" w:right="439" w:bottom="1440" w:gutter="0" w:footer="0" w:header="0"/>
        </w:sectPr>
      </w:pPr>
    </w:p>
    <w:bookmarkStart w:id="157" w:name="page158"/>
    <w:bookmarkEnd w:id="157"/>
    <w:p>
      <w:pPr>
        <w:ind w:right="3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48" w:lineRule="exact"/>
        <w:rPr>
          <w:sz w:val="20"/>
          <w:szCs w:val="20"/>
          <w:color w:val="auto"/>
        </w:rPr>
      </w:pPr>
    </w:p>
    <w:p>
      <w:pPr>
        <w:ind w:firstLine="1436"/>
        <w:spacing w:after="0" w:line="282" w:lineRule="auto"/>
        <w:tabs>
          <w:tab w:leader="none" w:pos="202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Notice of Redemption</w:t>
      </w:r>
      <w:r>
        <w:rPr>
          <w:rFonts w:ascii="Arial" w:cs="Arial" w:eastAsia="Arial" w:hAnsi="Arial"/>
          <w:sz w:val="19"/>
          <w:szCs w:val="19"/>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47" w:lineRule="exact"/>
        <w:rPr>
          <w:rFonts w:ascii="Arial" w:cs="Arial" w:eastAsia="Arial" w:hAnsi="Arial"/>
          <w:sz w:val="19"/>
          <w:szCs w:val="19"/>
          <w:color w:val="auto"/>
        </w:rPr>
      </w:pPr>
    </w:p>
    <w:p>
      <w:pPr>
        <w:ind w:right="260" w:firstLine="1436"/>
        <w:spacing w:after="0"/>
        <w:tabs>
          <w:tab w:leader="none" w:pos="2027"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Offers To Purchase</w:t>
      </w:r>
      <w:r>
        <w:rPr>
          <w:rFonts w:ascii="Arial" w:cs="Arial" w:eastAsia="Arial" w:hAnsi="Arial"/>
          <w:sz w:val="22"/>
          <w:szCs w:val="22"/>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86" w:lineRule="exact"/>
        <w:rPr>
          <w:rFonts w:ascii="Arial" w:cs="Arial" w:eastAsia="Arial" w:hAnsi="Arial"/>
          <w:sz w:val="22"/>
          <w:szCs w:val="22"/>
          <w:color w:val="auto"/>
        </w:rPr>
      </w:pPr>
    </w:p>
    <w:p>
      <w:pPr>
        <w:ind w:right="220" w:firstLine="1436"/>
        <w:spacing w:after="0" w:line="277" w:lineRule="auto"/>
        <w:tabs>
          <w:tab w:leader="none" w:pos="202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52" w:lineRule="exact"/>
        <w:rPr>
          <w:rFonts w:ascii="Arial" w:cs="Arial" w:eastAsia="Arial" w:hAnsi="Arial"/>
          <w:sz w:val="19"/>
          <w:szCs w:val="19"/>
          <w:color w:val="auto"/>
        </w:rPr>
      </w:pPr>
    </w:p>
    <w:p>
      <w:pPr>
        <w:ind w:left="2140" w:hanging="704"/>
        <w:spacing w:after="0"/>
        <w:tabs>
          <w:tab w:leader="none" w:pos="2140"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Persons Deemed Owners</w:t>
      </w:r>
      <w:r>
        <w:rPr>
          <w:rFonts w:ascii="Arial" w:cs="Arial" w:eastAsia="Arial" w:hAnsi="Arial"/>
          <w:sz w:val="19"/>
          <w:szCs w:val="19"/>
          <w:color w:val="auto"/>
        </w:rPr>
        <w:t>. The registered Holder of this Note may be treated as the owner of this Note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all purposes.</w:t>
      </w:r>
    </w:p>
    <w:p>
      <w:pPr>
        <w:spacing w:after="0" w:line="188" w:lineRule="exact"/>
        <w:rPr>
          <w:rFonts w:ascii="Arial" w:cs="Arial" w:eastAsia="Arial" w:hAnsi="Arial"/>
          <w:sz w:val="19"/>
          <w:szCs w:val="19"/>
          <w:color w:val="auto"/>
        </w:rPr>
      </w:pPr>
    </w:p>
    <w:p>
      <w:pPr>
        <w:ind w:right="40" w:firstLine="1436"/>
        <w:spacing w:after="0" w:line="238" w:lineRule="auto"/>
        <w:tabs>
          <w:tab w:leader="none" w:pos="2127"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Unclaimed Money</w:t>
      </w:r>
      <w:r>
        <w:rPr>
          <w:rFonts w:ascii="Arial" w:cs="Arial" w:eastAsia="Arial" w:hAnsi="Arial"/>
          <w:sz w:val="22"/>
          <w:szCs w:val="22"/>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85" w:lineRule="exact"/>
        <w:rPr>
          <w:rFonts w:ascii="Arial" w:cs="Arial" w:eastAsia="Arial" w:hAnsi="Arial"/>
          <w:sz w:val="22"/>
          <w:szCs w:val="22"/>
          <w:color w:val="auto"/>
        </w:rPr>
      </w:pPr>
    </w:p>
    <w:p>
      <w:pPr>
        <w:ind w:right="340" w:firstLine="1436"/>
        <w:spacing w:after="0" w:line="287" w:lineRule="auto"/>
        <w:tabs>
          <w:tab w:leader="none" w:pos="2135"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Amendment, Supplement, Waiver, Etc</w:t>
      </w:r>
      <w:r>
        <w:rPr>
          <w:rFonts w:ascii="Arial" w:cs="Arial" w:eastAsia="Arial" w:hAnsi="Arial"/>
          <w:sz w:val="19"/>
          <w:szCs w:val="19"/>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020"/>
          </w:cols>
          <w:pgMar w:left="440" w:top="266" w:right="439" w:bottom="1440" w:gutter="0" w:footer="0" w:header="0"/>
        </w:sectPr>
      </w:pPr>
    </w:p>
    <w:bookmarkStart w:id="158" w:name="page159"/>
    <w:bookmarkEnd w:id="158"/>
    <w:p>
      <w:pPr>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5" w:lineRule="exact"/>
        <w:rPr>
          <w:sz w:val="20"/>
          <w:szCs w:val="20"/>
          <w:color w:val="auto"/>
        </w:rPr>
      </w:pPr>
    </w:p>
    <w:p>
      <w:pPr>
        <w:ind w:right="120" w:firstLine="1436"/>
        <w:spacing w:after="0" w:line="282" w:lineRule="auto"/>
        <w:tabs>
          <w:tab w:leader="none" w:pos="213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47" w:lineRule="exact"/>
        <w:rPr>
          <w:rFonts w:ascii="Arial" w:cs="Arial" w:eastAsia="Arial" w:hAnsi="Arial"/>
          <w:sz w:val="19"/>
          <w:szCs w:val="19"/>
          <w:color w:val="auto"/>
        </w:rPr>
      </w:pPr>
    </w:p>
    <w:p>
      <w:pPr>
        <w:ind w:right="60" w:firstLine="1436"/>
        <w:spacing w:after="0" w:line="258" w:lineRule="auto"/>
        <w:tabs>
          <w:tab w:leader="none" w:pos="2135"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Successor Corporation</w:t>
      </w:r>
      <w:r>
        <w:rPr>
          <w:rFonts w:ascii="Arial" w:cs="Arial" w:eastAsia="Arial" w:hAnsi="Arial"/>
          <w:sz w:val="21"/>
          <w:szCs w:val="21"/>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66" w:lineRule="exact"/>
        <w:rPr>
          <w:rFonts w:ascii="Arial" w:cs="Arial" w:eastAsia="Arial" w:hAnsi="Arial"/>
          <w:sz w:val="21"/>
          <w:szCs w:val="21"/>
          <w:color w:val="auto"/>
        </w:rPr>
      </w:pPr>
    </w:p>
    <w:p>
      <w:pPr>
        <w:ind w:right="120" w:firstLine="1436"/>
        <w:spacing w:after="0" w:line="274" w:lineRule="auto"/>
        <w:tabs>
          <w:tab w:leader="none" w:pos="213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Defaults and Remedies</w:t>
      </w:r>
      <w:r>
        <w:rPr>
          <w:rFonts w:ascii="Arial" w:cs="Arial" w:eastAsia="Arial" w:hAnsi="Arial"/>
          <w:sz w:val="19"/>
          <w:szCs w:val="19"/>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59" w:lineRule="exact"/>
        <w:rPr>
          <w:sz w:val="20"/>
          <w:szCs w:val="20"/>
          <w:color w:val="auto"/>
        </w:rPr>
      </w:pPr>
    </w:p>
    <w:p>
      <w:pPr>
        <w:ind w:right="500" w:firstLine="1433"/>
        <w:spacing w:after="0"/>
        <w:rPr>
          <w:sz w:val="20"/>
          <w:szCs w:val="20"/>
          <w:color w:val="auto"/>
        </w:rPr>
      </w:pPr>
      <w:r>
        <w:rPr>
          <w:rFonts w:ascii="Arial" w:cs="Arial" w:eastAsia="Arial" w:hAnsi="Arial"/>
          <w:sz w:val="22"/>
          <w:szCs w:val="22"/>
          <w:color w:val="auto"/>
        </w:rPr>
        <w:t>Notwithstanding the foregoing, if after such acceleration but before a judgment or decree based on such acceleration is obtained by the Trustee, the Holders of a majority in aggregate principal amount of outstanding Notes may rescind and annul such acceleration if:</w:t>
      </w:r>
    </w:p>
    <w:p>
      <w:pPr>
        <w:spacing w:after="0" w:line="186" w:lineRule="exact"/>
        <w:rPr>
          <w:sz w:val="20"/>
          <w:szCs w:val="20"/>
          <w:color w:val="auto"/>
        </w:rPr>
      </w:pPr>
    </w:p>
    <w:p>
      <w:pPr>
        <w:ind w:left="780" w:right="720" w:firstLine="712"/>
        <w:spacing w:after="0" w:line="251" w:lineRule="auto"/>
        <w:tabs>
          <w:tab w:leader="none" w:pos="218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all Events of Default, other than nonpayment of principal, premium, if any, or interest that has become due solely because of the acceleration, have been cured or waived;</w:t>
      </w:r>
    </w:p>
    <w:p>
      <w:pPr>
        <w:spacing w:after="0" w:line="173" w:lineRule="exact"/>
        <w:rPr>
          <w:rFonts w:ascii="Arial" w:cs="Arial" w:eastAsia="Arial" w:hAnsi="Arial"/>
          <w:sz w:val="22"/>
          <w:szCs w:val="22"/>
          <w:color w:val="auto"/>
        </w:rPr>
      </w:pPr>
    </w:p>
    <w:p>
      <w:pPr>
        <w:ind w:left="780" w:right="320" w:firstLine="712"/>
        <w:spacing w:after="0" w:line="328" w:lineRule="auto"/>
        <w:tabs>
          <w:tab w:leader="none" w:pos="218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to the extent the payment of such interest is lawful, interest on overdue installments of interest and overdue principal, which has become due otherwise than by such declaration of acceleration, has been paid;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020"/>
          </w:cols>
          <w:pgMar w:left="440" w:top="267" w:right="439" w:bottom="1440" w:gutter="0" w:footer="0" w:header="0"/>
        </w:sectPr>
      </w:pPr>
    </w:p>
    <w:bookmarkStart w:id="159" w:name="page160"/>
    <w:bookmarkEnd w:id="159"/>
    <w:p>
      <w:pPr>
        <w:ind w:left="780" w:right="720" w:firstLine="712"/>
        <w:spacing w:after="0" w:line="251" w:lineRule="auto"/>
        <w:tabs>
          <w:tab w:leader="none" w:pos="2181" w:val="left"/>
        </w:tabs>
        <w:numPr>
          <w:ilvl w:val="0"/>
          <w:numId w:val="15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paid the Trustee its reasonable compensation and reimbursed the Trustee for its expenses, disbursements and advances; and</w:t>
      </w:r>
    </w:p>
    <w:p>
      <w:pPr>
        <w:spacing w:after="0" w:line="173" w:lineRule="exact"/>
        <w:rPr>
          <w:rFonts w:ascii="Arial" w:cs="Arial" w:eastAsia="Arial" w:hAnsi="Arial"/>
          <w:sz w:val="22"/>
          <w:szCs w:val="22"/>
          <w:color w:val="auto"/>
        </w:rPr>
      </w:pPr>
    </w:p>
    <w:p>
      <w:pPr>
        <w:ind w:left="780" w:right="100" w:firstLine="712"/>
        <w:spacing w:after="0"/>
        <w:tabs>
          <w:tab w:leader="none" w:pos="218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 such rescission shall affect any subsequent Default or impair any right consequent thereto.</w:t>
      </w:r>
    </w:p>
    <w:p>
      <w:pPr>
        <w:spacing w:after="0" w:line="206" w:lineRule="exact"/>
        <w:rPr>
          <w:sz w:val="20"/>
          <w:szCs w:val="20"/>
          <w:color w:val="auto"/>
        </w:rPr>
      </w:pPr>
    </w:p>
    <w:p>
      <w:pPr>
        <w:ind w:firstLine="1433"/>
        <w:spacing w:after="0" w:line="282" w:lineRule="auto"/>
        <w:rPr>
          <w:sz w:val="20"/>
          <w:szCs w:val="20"/>
          <w:color w:val="auto"/>
        </w:rPr>
      </w:pPr>
      <w:r>
        <w:rPr>
          <w:rFonts w:ascii="Arial" w:cs="Arial" w:eastAsia="Arial" w:hAnsi="Arial"/>
          <w:sz w:val="19"/>
          <w:szCs w:val="19"/>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48" w:lineRule="exact"/>
        <w:rPr>
          <w:sz w:val="20"/>
          <w:szCs w:val="20"/>
          <w:color w:val="auto"/>
        </w:rPr>
      </w:pPr>
    </w:p>
    <w:p>
      <w:pPr>
        <w:ind w:right="60" w:firstLine="1436"/>
        <w:spacing w:after="0"/>
        <w:tabs>
          <w:tab w:leader="none" w:pos="2135"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Trustee Dealings with the Issuer</w:t>
      </w:r>
      <w:r>
        <w:rPr>
          <w:rFonts w:ascii="Arial" w:cs="Arial" w:eastAsia="Arial" w:hAnsi="Arial"/>
          <w:sz w:val="22"/>
          <w:szCs w:val="22"/>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86" w:lineRule="exact"/>
        <w:rPr>
          <w:rFonts w:ascii="Arial" w:cs="Arial" w:eastAsia="Arial" w:hAnsi="Arial"/>
          <w:sz w:val="22"/>
          <w:szCs w:val="22"/>
          <w:color w:val="auto"/>
        </w:rPr>
      </w:pPr>
    </w:p>
    <w:p>
      <w:pPr>
        <w:ind w:right="80" w:firstLine="1436"/>
        <w:spacing w:after="0" w:line="287" w:lineRule="auto"/>
        <w:tabs>
          <w:tab w:leader="none" w:pos="213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43" w:lineRule="exact"/>
        <w:rPr>
          <w:rFonts w:ascii="Arial" w:cs="Arial" w:eastAsia="Arial" w:hAnsi="Arial"/>
          <w:sz w:val="19"/>
          <w:szCs w:val="19"/>
          <w:color w:val="auto"/>
        </w:rPr>
      </w:pPr>
    </w:p>
    <w:p>
      <w:pPr>
        <w:ind w:firstLine="1436"/>
        <w:spacing w:after="0" w:line="236" w:lineRule="auto"/>
        <w:tabs>
          <w:tab w:leader="none" w:pos="2135"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Discharge</w:t>
      </w:r>
      <w:r>
        <w:rPr>
          <w:rFonts w:ascii="Arial" w:cs="Arial" w:eastAsia="Arial" w:hAnsi="Arial"/>
          <w:sz w:val="22"/>
          <w:szCs w:val="22"/>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87" w:lineRule="exact"/>
        <w:rPr>
          <w:rFonts w:ascii="Arial" w:cs="Arial" w:eastAsia="Arial" w:hAnsi="Arial"/>
          <w:sz w:val="22"/>
          <w:szCs w:val="22"/>
          <w:color w:val="auto"/>
        </w:rPr>
      </w:pPr>
    </w:p>
    <w:p>
      <w:pPr>
        <w:jc w:val="both"/>
        <w:ind w:right="260" w:firstLine="1436"/>
        <w:spacing w:after="0" w:line="297" w:lineRule="auto"/>
        <w:tabs>
          <w:tab w:leader="none" w:pos="213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Guarantees</w:t>
      </w:r>
      <w:r>
        <w:rPr>
          <w:rFonts w:ascii="Arial" w:cs="Arial" w:eastAsia="Arial" w:hAnsi="Arial"/>
          <w:sz w:val="19"/>
          <w:szCs w:val="19"/>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34" w:lineRule="exact"/>
        <w:rPr>
          <w:rFonts w:ascii="Arial" w:cs="Arial" w:eastAsia="Arial" w:hAnsi="Arial"/>
          <w:sz w:val="19"/>
          <w:szCs w:val="19"/>
          <w:color w:val="auto"/>
        </w:rPr>
      </w:pPr>
    </w:p>
    <w:p>
      <w:pPr>
        <w:ind w:right="60" w:firstLine="1436"/>
        <w:spacing w:after="0" w:line="251" w:lineRule="auto"/>
        <w:tabs>
          <w:tab w:leader="none" w:pos="2135"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signs the certificate of authentication on the other side of this Note.</w:t>
      </w:r>
    </w:p>
    <w:p>
      <w:pPr>
        <w:spacing w:after="0" w:line="173" w:lineRule="exact"/>
        <w:rPr>
          <w:rFonts w:ascii="Arial" w:cs="Arial" w:eastAsia="Arial" w:hAnsi="Arial"/>
          <w:sz w:val="22"/>
          <w:szCs w:val="22"/>
          <w:color w:val="auto"/>
        </w:rPr>
      </w:pPr>
    </w:p>
    <w:p>
      <w:pPr>
        <w:ind w:right="1100" w:firstLine="1436"/>
        <w:spacing w:after="0"/>
        <w:tabs>
          <w:tab w:leader="none" w:pos="2135"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NOTE SHALL BE GOVERNED BY AND CONSTRUED IN ACCORDANCE WITH THE LAWS OF THE STATE OF NEW YORK, BUT WITHOUT GIVING EFFECT TO APPLICABLE PRINCIPLES OF CONFLICTS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0960"/>
          </w:cols>
          <w:pgMar w:left="440" w:top="267" w:right="499" w:bottom="1440" w:gutter="0" w:footer="0" w:header="0"/>
        </w:sectPr>
      </w:pPr>
    </w:p>
    <w:bookmarkStart w:id="160" w:name="page161"/>
    <w:bookmarkEnd w:id="160"/>
    <w:p>
      <w:pPr>
        <w:ind w:right="7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TO THE EXTENT THAT THE APPLICATION OF THE LAW OF ANOTHER JURISDICTION WOULD BE REQUIRED THEREBY.</w:t>
      </w:r>
    </w:p>
    <w:p>
      <w:pPr>
        <w:spacing w:after="0" w:line="173" w:lineRule="exact"/>
        <w:rPr>
          <w:sz w:val="20"/>
          <w:szCs w:val="20"/>
          <w:color w:val="auto"/>
        </w:rPr>
      </w:pPr>
    </w:p>
    <w:p>
      <w:pPr>
        <w:ind w:firstLine="1436"/>
        <w:spacing w:after="0" w:line="258" w:lineRule="auto"/>
        <w:tabs>
          <w:tab w:leader="none" w:pos="2123"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The Issuer will furnish to any Holder upon written request and without charge a copy of the Indenture.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Requests may be made to:</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Crown European Holdings S.A.</w:t>
      </w:r>
    </w:p>
    <w:p>
      <w:pPr>
        <w:ind w:left="1440"/>
        <w:spacing w:after="0" w:line="238" w:lineRule="auto"/>
        <w:rPr>
          <w:sz w:val="20"/>
          <w:szCs w:val="20"/>
          <w:color w:val="auto"/>
        </w:rPr>
      </w:pPr>
      <w:r>
        <w:rPr>
          <w:rFonts w:ascii="Arial" w:cs="Arial" w:eastAsia="Arial" w:hAnsi="Arial"/>
          <w:sz w:val="22"/>
          <w:szCs w:val="22"/>
          <w:color w:val="auto"/>
        </w:rPr>
        <w:t>67 Rue Arago</w:t>
      </w:r>
    </w:p>
    <w:p>
      <w:pPr>
        <w:ind w:left="1440"/>
        <w:spacing w:after="0" w:line="230" w:lineRule="auto"/>
        <w:rPr>
          <w:sz w:val="20"/>
          <w:szCs w:val="20"/>
          <w:color w:val="auto"/>
        </w:rPr>
      </w:pPr>
      <w:r>
        <w:rPr>
          <w:rFonts w:ascii="Arial" w:cs="Arial" w:eastAsia="Arial" w:hAnsi="Arial"/>
          <w:sz w:val="22"/>
          <w:szCs w:val="22"/>
          <w:color w:val="auto"/>
        </w:rPr>
        <w:t>93400 Saint-Ouen, France</w:t>
      </w:r>
    </w:p>
    <w:p>
      <w:pPr>
        <w:ind w:left="1440"/>
        <w:spacing w:after="0" w:line="231" w:lineRule="auto"/>
        <w:rPr>
          <w:sz w:val="20"/>
          <w:szCs w:val="20"/>
          <w:color w:val="auto"/>
        </w:rPr>
      </w:pPr>
      <w:r>
        <w:rPr>
          <w:rFonts w:ascii="Arial" w:cs="Arial" w:eastAsia="Arial" w:hAnsi="Arial"/>
          <w:sz w:val="22"/>
          <w:szCs w:val="22"/>
          <w:color w:val="auto"/>
        </w:rPr>
        <w:t>France</w:t>
      </w:r>
    </w:p>
    <w:p>
      <w:pPr>
        <w:ind w:left="1440"/>
        <w:spacing w:after="0" w:line="231" w:lineRule="auto"/>
        <w:rPr>
          <w:sz w:val="20"/>
          <w:szCs w:val="20"/>
          <w:color w:val="auto"/>
        </w:rPr>
      </w:pPr>
      <w:r>
        <w:rPr>
          <w:rFonts w:ascii="Arial" w:cs="Arial" w:eastAsia="Arial" w:hAnsi="Arial"/>
          <w:sz w:val="22"/>
          <w:szCs w:val="22"/>
          <w:color w:val="auto"/>
        </w:rPr>
        <w:t>Attn: Timothy Donahue</w:t>
      </w:r>
    </w:p>
    <w:p>
      <w:pPr>
        <w:ind w:left="1440"/>
        <w:spacing w:after="0" w:line="230" w:lineRule="auto"/>
        <w:rPr>
          <w:sz w:val="20"/>
          <w:szCs w:val="20"/>
          <w:color w:val="auto"/>
        </w:rPr>
      </w:pPr>
      <w:r>
        <w:rPr>
          <w:rFonts w:ascii="Arial" w:cs="Arial" w:eastAsia="Arial" w:hAnsi="Arial"/>
          <w:sz w:val="22"/>
          <w:szCs w:val="22"/>
          <w:color w:val="auto"/>
        </w:rPr>
        <w:t>Telephone: 33 1 4918 4000</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Facsimile:  33 1 4918 4001</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0940"/>
          </w:cols>
          <w:pgMar w:left="440" w:top="267" w:right="519" w:bottom="1440" w:gutter="0" w:footer="0" w:header="0"/>
        </w:sectPr>
      </w:pPr>
    </w:p>
    <w:bookmarkStart w:id="161" w:name="page162"/>
    <w:bookmarkEnd w:id="161"/>
    <w:p>
      <w:pPr>
        <w:ind w:left="48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(Print or type name, address and zip code of assignee)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-29210</wp:posOffset>
            </wp:positionV>
            <wp:extent cx="51796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796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Agent to transfer this Note on the books of the Issuer. The Agent may substitute another to act for him.</w:t>
      </w:r>
    </w:p>
    <w:p>
      <w:pPr>
        <w:spacing w:after="0" w:line="233" w:lineRule="exact"/>
        <w:rPr>
          <w:sz w:val="20"/>
          <w:szCs w:val="20"/>
          <w:color w:val="auto"/>
        </w:rPr>
      </w:pPr>
    </w:p>
    <w:p>
      <w:pPr>
        <w:spacing w:after="0"/>
        <w:tabs>
          <w:tab w:leader="none" w:pos="38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-17780</wp:posOffset>
            </wp:positionV>
            <wp:extent cx="667067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70675" cy="1714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1"/>
          <w:szCs w:val="21"/>
          <w:color w:val="auto"/>
        </w:rPr>
        <w:t>(Sign exactly as your name appears on the other side of this</w:t>
      </w:r>
    </w:p>
    <w:p>
      <w:pPr>
        <w:spacing w:after="0" w:line="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Note)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-17780</wp:posOffset>
            </wp:positionV>
            <wp:extent cx="25044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GUARANTEE</w:t>
      </w:r>
    </w:p>
    <w:p>
      <w:pPr>
        <w:spacing w:after="0" w:line="20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A-2-10</w:t>
      </w:r>
    </w:p>
    <w:p>
      <w:pPr>
        <w:sectPr>
          <w:pgSz w:w="11900" w:h="16838" w:orient="portrait"/>
          <w:cols w:equalWidth="0" w:num="1">
            <w:col w:w="11020"/>
          </w:cols>
          <w:pgMar w:left="440" w:top="267" w:right="4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OF HOLDER TO ELECT PURCHASE</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If you want to elect to have all or any part of this Note purchased by the Issuer pursuant to Section 4.08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check the appropriate box:</w:t>
      </w:r>
    </w:p>
    <w:p>
      <w:pPr>
        <w:spacing w:after="0" w:line="190" w:lineRule="exact"/>
        <w:rPr>
          <w:sz w:val="20"/>
          <w:szCs w:val="20"/>
          <w:color w:val="auto"/>
        </w:rPr>
      </w:pPr>
    </w:p>
    <w:p>
      <w:pPr>
        <w:ind w:left="1460"/>
        <w:spacing w:after="0"/>
        <w:rPr>
          <w:sz w:val="20"/>
          <w:szCs w:val="20"/>
          <w:color w:val="auto"/>
        </w:rPr>
      </w:pPr>
      <w:r>
        <w:rPr>
          <w:sz w:val="1"/>
          <w:szCs w:val="1"/>
          <w:color w:val="auto"/>
        </w:rPr>
        <w:drawing>
          <wp:inline distT="0" distB="0" distL="0" distR="0">
            <wp:extent cx="523240" cy="1714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3240" cy="171450"/>
                    </a:xfrm>
                    <a:prstGeom prst="rect">
                      <a:avLst/>
                    </a:prstGeom>
                    <a:noFill/>
                    <a:ln>
                      <a:noFill/>
                    </a:ln>
                  </pic:spPr>
                </pic:pic>
              </a:graphicData>
            </a:graphic>
          </wp:inline>
        </w:drawing>
        <w:drawing>
          <wp:inline distT="0" distB="0" distL="0" distR="0">
            <wp:extent cx="8890" cy="1714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22"/>
          <w:szCs w:val="22"/>
          <w:color w:val="auto"/>
        </w:rPr>
        <w:t xml:space="preserve"> 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-8255</wp:posOffset>
            </wp:positionV>
            <wp:extent cx="5232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5" w:lineRule="exact"/>
        <w:rPr>
          <w:sz w:val="20"/>
          <w:szCs w:val="20"/>
          <w:color w:val="auto"/>
        </w:rPr>
      </w:pPr>
    </w:p>
    <w:p>
      <w:pPr>
        <w:ind w:right="320" w:firstLine="1433"/>
        <w:spacing w:after="0" w:line="251" w:lineRule="auto"/>
        <w:rPr>
          <w:sz w:val="20"/>
          <w:szCs w:val="20"/>
          <w:color w:val="auto"/>
        </w:rPr>
      </w:pPr>
      <w:r>
        <w:rPr>
          <w:rFonts w:ascii="Arial" w:cs="Arial" w:eastAsia="Arial" w:hAnsi="Arial"/>
          <w:sz w:val="22"/>
          <w:szCs w:val="22"/>
          <w:color w:val="auto"/>
        </w:rPr>
        <w:t>If you want to have only part of the Note purchased by the Issuer pursuant to Section 4.08 of the Indenture, state the amount you elect to have purchased: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-17780</wp:posOffset>
            </wp:positionV>
            <wp:extent cx="19551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(€1,000 or any integral multiple</w:t>
      </w:r>
    </w:p>
    <w:p>
      <w:pPr>
        <w:ind w:left="540"/>
        <w:spacing w:after="0" w:line="230" w:lineRule="auto"/>
        <w:rPr>
          <w:sz w:val="20"/>
          <w:szCs w:val="20"/>
          <w:color w:val="auto"/>
        </w:rPr>
      </w:pPr>
      <w:r>
        <w:rPr>
          <w:rFonts w:ascii="Arial" w:cs="Arial" w:eastAsia="Arial" w:hAnsi="Arial"/>
          <w:sz w:val="22"/>
          <w:szCs w:val="22"/>
          <w:color w:val="auto"/>
        </w:rPr>
        <w:t>thereof; provided that the part not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purchased must be at least €100,000)</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-17780</wp:posOffset>
            </wp:positionV>
            <wp:extent cx="19551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-8890</wp:posOffset>
            </wp:positionV>
            <wp:extent cx="29330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9"/>
          <w:szCs w:val="19"/>
          <w:color w:val="auto"/>
        </w:rPr>
        <w:t>(Sign exactly as your name appears on the face of</w:t>
      </w:r>
    </w:p>
    <w:p>
      <w:pPr>
        <w:spacing w:after="0" w:line="25"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2941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Signature Guaranteed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GUARANTEE</w:t>
      </w:r>
    </w:p>
    <w:p>
      <w:pPr>
        <w:spacing w:after="0" w:line="206" w:lineRule="exact"/>
        <w:rPr>
          <w:sz w:val="20"/>
          <w:szCs w:val="20"/>
          <w:color w:val="auto"/>
        </w:rPr>
      </w:pPr>
    </w:p>
    <w:p>
      <w:pPr>
        <w:ind w:firstLine="1433"/>
        <w:spacing w:after="0" w:line="252"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A-2-11</w:t>
      </w:r>
    </w:p>
    <w:p>
      <w:pPr>
        <w:sectPr>
          <w:pgSz w:w="11900" w:h="16838" w:orient="portrait"/>
          <w:cols w:equalWidth="0" w:num="1">
            <w:col w:w="11020"/>
          </w:cols>
          <w:pgMar w:left="440" w:top="267" w:right="43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6"/>
          <w:szCs w:val="16"/>
          <w:color w:val="auto"/>
        </w:rPr>
        <w:t>CHEDULE OF</w:t>
      </w:r>
      <w:r>
        <w:rPr>
          <w:rFonts w:ascii="Arial" w:cs="Arial" w:eastAsia="Arial" w:hAnsi="Arial"/>
          <w:sz w:val="20"/>
          <w:szCs w:val="20"/>
          <w:color w:val="auto"/>
        </w:rPr>
        <w:t xml:space="preserve"> E</w:t>
      </w:r>
      <w:r>
        <w:rPr>
          <w:rFonts w:ascii="Arial" w:cs="Arial" w:eastAsia="Arial" w:hAnsi="Arial"/>
          <w:sz w:val="16"/>
          <w:szCs w:val="16"/>
          <w:color w:val="auto"/>
        </w:rPr>
        <w:t>XCHANGES OF</w:t>
      </w:r>
      <w:r>
        <w:rPr>
          <w:rFonts w:ascii="Arial" w:cs="Arial" w:eastAsia="Arial" w:hAnsi="Arial"/>
          <w:sz w:val="20"/>
          <w:szCs w:val="20"/>
          <w:color w:val="auto"/>
        </w:rPr>
        <w:t xml:space="preserve"> I</w:t>
      </w:r>
      <w:r>
        <w:rPr>
          <w:rFonts w:ascii="Arial" w:cs="Arial" w:eastAsia="Arial" w:hAnsi="Arial"/>
          <w:sz w:val="16"/>
          <w:szCs w:val="16"/>
          <w:color w:val="auto"/>
        </w:rPr>
        <w:t>NTERESTS IN</w:t>
      </w:r>
      <w:r>
        <w:rPr>
          <w:rFonts w:ascii="Arial" w:cs="Arial" w:eastAsia="Arial" w:hAnsi="Arial"/>
          <w:sz w:val="20"/>
          <w:szCs w:val="20"/>
          <w:color w:val="auto"/>
        </w:rPr>
        <w:t xml:space="preserve"> G</w:t>
      </w:r>
      <w:r>
        <w:rPr>
          <w:rFonts w:ascii="Arial" w:cs="Arial" w:eastAsia="Arial" w:hAnsi="Arial"/>
          <w:sz w:val="16"/>
          <w:szCs w:val="16"/>
          <w:color w:val="auto"/>
        </w:rPr>
        <w:t>LOBAL</w:t>
      </w:r>
      <w:r>
        <w:rPr>
          <w:rFonts w:ascii="Arial" w:cs="Arial" w:eastAsia="Arial" w:hAnsi="Arial"/>
          <w:sz w:val="20"/>
          <w:szCs w:val="20"/>
          <w:color w:val="auto"/>
        </w:rPr>
        <w:t xml:space="preserve"> N</w:t>
      </w:r>
      <w:r>
        <w:rPr>
          <w:rFonts w:ascii="Arial" w:cs="Arial" w:eastAsia="Arial" w:hAnsi="Arial"/>
          <w:sz w:val="16"/>
          <w:szCs w:val="16"/>
          <w:color w:val="auto"/>
        </w:rPr>
        <w:t>OTE</w:t>
      </w:r>
      <w:r>
        <w:rPr>
          <w:rFonts w:ascii="Arial" w:cs="Arial" w:eastAsia="Arial" w:hAnsi="Arial"/>
          <w:sz w:val="28"/>
          <w:szCs w:val="28"/>
          <w:color w:val="auto"/>
          <w:vertAlign w:val="superscript"/>
        </w:rPr>
        <w:t>*</w:t>
      </w:r>
    </w:p>
    <w:p>
      <w:pPr>
        <w:spacing w:after="0" w:line="227" w:lineRule="exact"/>
        <w:rPr>
          <w:sz w:val="20"/>
          <w:szCs w:val="20"/>
          <w:color w:val="auto"/>
        </w:rPr>
      </w:pPr>
    </w:p>
    <w:p>
      <w:pPr>
        <w:ind w:right="160" w:firstLine="1433"/>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gridSpan w:val="3"/>
          </w:tcPr>
          <w:p>
            <w:pPr>
              <w:jc w:val="center"/>
              <w:ind w:left="179"/>
              <w:spacing w:after="0"/>
              <w:rPr>
                <w:sz w:val="20"/>
                <w:szCs w:val="20"/>
                <w:color w:val="auto"/>
              </w:rPr>
            </w:pPr>
            <w:r>
              <w:rPr>
                <w:rFonts w:ascii="Arial" w:cs="Arial" w:eastAsia="Arial" w:hAnsi="Arial"/>
                <w:sz w:val="16"/>
                <w:szCs w:val="16"/>
                <w:color w:val="auto"/>
                <w:w w:val="91"/>
              </w:rPr>
              <w:t>Amount of decrease in</w:t>
            </w:r>
          </w:p>
        </w:tc>
        <w:tc>
          <w:tcPr>
            <w:tcW w:w="2140" w:type="dxa"/>
            <w:vAlign w:val="bottom"/>
            <w:gridSpan w:val="3"/>
          </w:tcPr>
          <w:p>
            <w:pPr>
              <w:jc w:val="center"/>
              <w:spacing w:after="0"/>
              <w:rPr>
                <w:sz w:val="20"/>
                <w:szCs w:val="20"/>
                <w:color w:val="auto"/>
              </w:rPr>
            </w:pPr>
            <w:r>
              <w:rPr>
                <w:rFonts w:ascii="Arial" w:cs="Arial" w:eastAsia="Arial" w:hAnsi="Arial"/>
                <w:sz w:val="16"/>
                <w:szCs w:val="16"/>
                <w:color w:val="auto"/>
                <w:w w:val="94"/>
              </w:rPr>
              <w:t>Amount of increase in</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5"/>
              </w:rPr>
              <w:t>Principal Amount</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gridSpan w:val="3"/>
          </w:tcPr>
          <w:p>
            <w:pPr>
              <w:jc w:val="center"/>
              <w:ind w:left="179"/>
              <w:spacing w:after="0"/>
              <w:rPr>
                <w:sz w:val="20"/>
                <w:szCs w:val="20"/>
                <w:color w:val="auto"/>
              </w:rPr>
            </w:pPr>
            <w:r>
              <w:rPr>
                <w:rFonts w:ascii="Arial" w:cs="Arial" w:eastAsia="Arial" w:hAnsi="Arial"/>
                <w:sz w:val="16"/>
                <w:szCs w:val="16"/>
                <w:color w:val="auto"/>
                <w:w w:val="94"/>
              </w:rPr>
              <w:t>Principal Amount</w:t>
            </w:r>
          </w:p>
        </w:tc>
        <w:tc>
          <w:tcPr>
            <w:tcW w:w="2140" w:type="dxa"/>
            <w:vAlign w:val="bottom"/>
            <w:gridSpan w:val="3"/>
          </w:tcPr>
          <w:p>
            <w:pPr>
              <w:jc w:val="center"/>
              <w:spacing w:after="0"/>
              <w:rPr>
                <w:sz w:val="20"/>
                <w:szCs w:val="20"/>
                <w:color w:val="auto"/>
              </w:rPr>
            </w:pPr>
            <w:r>
              <w:rPr>
                <w:rFonts w:ascii="Arial" w:cs="Arial" w:eastAsia="Arial" w:hAnsi="Arial"/>
                <w:sz w:val="16"/>
                <w:szCs w:val="16"/>
                <w:color w:val="auto"/>
                <w:w w:val="94"/>
              </w:rPr>
              <w:t>Principal Amount</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4"/>
              </w:rPr>
              <w:t>of this Global Note</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6"/>
                <w:szCs w:val="16"/>
                <w:color w:val="auto"/>
              </w:rPr>
              <w:t>of</w:t>
            </w:r>
          </w:p>
        </w:tc>
        <w:tc>
          <w:tcPr>
            <w:tcW w:w="540" w:type="dxa"/>
            <w:vAlign w:val="bottom"/>
          </w:tcPr>
          <w:p>
            <w:pPr>
              <w:spacing w:after="0"/>
              <w:rPr>
                <w:sz w:val="17"/>
                <w:szCs w:val="17"/>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6"/>
                <w:szCs w:val="16"/>
                <w:color w:val="auto"/>
              </w:rPr>
              <w:t>of</w:t>
            </w:r>
          </w:p>
        </w:tc>
        <w:tc>
          <w:tcPr>
            <w:tcW w:w="2280" w:type="dxa"/>
            <w:vAlign w:val="bottom"/>
            <w:gridSpan w:val="3"/>
          </w:tcPr>
          <w:p>
            <w:pPr>
              <w:jc w:val="center"/>
              <w:spacing w:after="0"/>
              <w:rPr>
                <w:sz w:val="20"/>
                <w:szCs w:val="20"/>
                <w:color w:val="auto"/>
              </w:rPr>
            </w:pPr>
            <w:r>
              <w:rPr>
                <w:rFonts w:ascii="Arial" w:cs="Arial" w:eastAsia="Arial" w:hAnsi="Arial"/>
                <w:sz w:val="16"/>
                <w:szCs w:val="16"/>
                <w:color w:val="auto"/>
                <w:w w:val="91"/>
              </w:rPr>
              <w:t>following such decrease</w:t>
            </w:r>
          </w:p>
        </w:tc>
        <w:tc>
          <w:tcPr>
            <w:tcW w:w="190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Signature of authorized</w:t>
            </w:r>
          </w:p>
        </w:tc>
      </w:tr>
      <w:tr>
        <w:trPr>
          <w:trHeight w:val="192"/>
        </w:trPr>
        <w:tc>
          <w:tcPr>
            <w:tcW w:w="2260" w:type="dxa"/>
            <w:vAlign w:val="bottom"/>
            <w:gridSpan w:val="3"/>
          </w:tcPr>
          <w:p>
            <w:pPr>
              <w:ind w:left="500"/>
              <w:spacing w:after="0" w:line="152" w:lineRule="exact"/>
              <w:rPr>
                <w:sz w:val="20"/>
                <w:szCs w:val="20"/>
                <w:color w:val="auto"/>
              </w:rPr>
            </w:pPr>
            <w:r>
              <w:rPr>
                <w:rFonts w:ascii="Arial" w:cs="Arial" w:eastAsia="Arial" w:hAnsi="Arial"/>
                <w:sz w:val="16"/>
                <w:szCs w:val="16"/>
                <w:color w:val="auto"/>
              </w:rPr>
              <w:t>Date of Exchange</w:t>
            </w:r>
          </w:p>
        </w:tc>
        <w:tc>
          <w:tcPr>
            <w:tcW w:w="2440" w:type="dxa"/>
            <w:vAlign w:val="bottom"/>
            <w:gridSpan w:val="3"/>
          </w:tcPr>
          <w:p>
            <w:pPr>
              <w:jc w:val="center"/>
              <w:ind w:left="179"/>
              <w:spacing w:after="0" w:line="152" w:lineRule="exact"/>
              <w:rPr>
                <w:sz w:val="20"/>
                <w:szCs w:val="20"/>
                <w:color w:val="auto"/>
              </w:rPr>
            </w:pPr>
            <w:r>
              <w:rPr>
                <w:rFonts w:ascii="Arial" w:cs="Arial" w:eastAsia="Arial" w:hAnsi="Arial"/>
                <w:sz w:val="16"/>
                <w:szCs w:val="16"/>
                <w:color w:val="auto"/>
                <w:w w:val="93"/>
              </w:rPr>
              <w:t>this Global Note</w:t>
            </w:r>
          </w:p>
        </w:tc>
        <w:tc>
          <w:tcPr>
            <w:tcW w:w="2140" w:type="dxa"/>
            <w:vAlign w:val="bottom"/>
            <w:gridSpan w:val="3"/>
          </w:tcPr>
          <w:p>
            <w:pPr>
              <w:jc w:val="center"/>
              <w:spacing w:after="0" w:line="152" w:lineRule="exact"/>
              <w:rPr>
                <w:sz w:val="20"/>
                <w:szCs w:val="20"/>
                <w:color w:val="auto"/>
              </w:rPr>
            </w:pPr>
            <w:r>
              <w:rPr>
                <w:rFonts w:ascii="Arial" w:cs="Arial" w:eastAsia="Arial" w:hAnsi="Arial"/>
                <w:sz w:val="16"/>
                <w:szCs w:val="16"/>
                <w:color w:val="auto"/>
                <w:w w:val="93"/>
              </w:rPr>
              <w:t>this Global Note</w:t>
            </w:r>
          </w:p>
        </w:tc>
        <w:tc>
          <w:tcPr>
            <w:tcW w:w="740" w:type="dxa"/>
            <w:vAlign w:val="bottom"/>
          </w:tcPr>
          <w:p>
            <w:pPr>
              <w:spacing w:after="0"/>
              <w:rPr>
                <w:sz w:val="16"/>
                <w:szCs w:val="16"/>
                <w:color w:val="auto"/>
              </w:rPr>
            </w:pPr>
          </w:p>
        </w:tc>
        <w:tc>
          <w:tcPr>
            <w:tcW w:w="1540" w:type="dxa"/>
            <w:vAlign w:val="bottom"/>
            <w:gridSpan w:val="2"/>
          </w:tcPr>
          <w:p>
            <w:pPr>
              <w:jc w:val="center"/>
              <w:ind w:right="740"/>
              <w:spacing w:after="0" w:line="152" w:lineRule="exact"/>
              <w:rPr>
                <w:sz w:val="20"/>
                <w:szCs w:val="20"/>
                <w:color w:val="auto"/>
              </w:rPr>
            </w:pPr>
            <w:r>
              <w:rPr>
                <w:rFonts w:ascii="Arial" w:cs="Arial" w:eastAsia="Arial" w:hAnsi="Arial"/>
                <w:sz w:val="16"/>
                <w:szCs w:val="16"/>
                <w:color w:val="auto"/>
                <w:w w:val="89"/>
              </w:rPr>
              <w:t>(or increase)</w:t>
            </w:r>
          </w:p>
        </w:tc>
        <w:tc>
          <w:tcPr>
            <w:tcW w:w="1900" w:type="dxa"/>
            <w:vAlign w:val="bottom"/>
            <w:gridSpan w:val="3"/>
          </w:tcPr>
          <w:p>
            <w:pPr>
              <w:jc w:val="center"/>
              <w:ind w:left="259"/>
              <w:spacing w:after="0" w:line="152" w:lineRule="exact"/>
              <w:rPr>
                <w:sz w:val="20"/>
                <w:szCs w:val="20"/>
                <w:color w:val="auto"/>
              </w:rPr>
            </w:pPr>
            <w:r>
              <w:rPr>
                <w:rFonts w:ascii="Arial" w:cs="Arial" w:eastAsia="Arial" w:hAnsi="Arial"/>
                <w:sz w:val="16"/>
                <w:szCs w:val="16"/>
                <w:color w:val="auto"/>
                <w:w w:val="90"/>
              </w:rPr>
              <w:t>signatory of Trustee</w:t>
            </w:r>
          </w:p>
        </w:tc>
      </w:tr>
      <w:tr>
        <w:trPr>
          <w:trHeight w:val="217"/>
        </w:trPr>
        <w:tc>
          <w:tcPr>
            <w:tcW w:w="5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3507740</wp:posOffset>
            </wp:positionV>
            <wp:extent cx="18180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6"/>
        <w:spacing w:after="0"/>
        <w:tabs>
          <w:tab w:leader="none" w:pos="5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Insert in Global Securities only.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A-2-12</w:t>
      </w:r>
    </w:p>
    <w:p>
      <w:pPr>
        <w:sectPr>
          <w:pgSz w:w="11900" w:h="16838" w:orient="portrait"/>
          <w:cols w:equalWidth="0" w:num="1">
            <w:col w:w="11040"/>
          </w:cols>
          <w:pgMar w:left="440" w:top="271" w:right="41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LEGEND FOR RESTRICTED SECURITIES]</w:t>
      </w:r>
    </w:p>
    <w:p>
      <w:pPr>
        <w:spacing w:after="0" w:line="206" w:lineRule="exact"/>
        <w:rPr>
          <w:sz w:val="20"/>
          <w:szCs w:val="20"/>
          <w:color w:val="auto"/>
        </w:rPr>
      </w:pPr>
    </w:p>
    <w:p>
      <w:pPr>
        <w:ind w:right="80" w:firstLine="1433"/>
        <w:spacing w:after="0" w:line="251" w:lineRule="auto"/>
        <w:rPr>
          <w:sz w:val="20"/>
          <w:szCs w:val="20"/>
          <w:color w:val="auto"/>
        </w:rPr>
      </w:pPr>
      <w:r>
        <w:rPr>
          <w:rFonts w:ascii="Arial" w:cs="Arial" w:eastAsia="Arial" w:hAnsi="Arial"/>
          <w:sz w:val="22"/>
          <w:szCs w:val="22"/>
          <w:color w:val="auto"/>
        </w:rPr>
        <w:t>Any Restricted Note authenticated and delivered hereunder shall bear a legend (which would be in addition to any other legends required in the case of a Global Note) in substantially the following form:</w:t>
      </w:r>
    </w:p>
    <w:p>
      <w:pPr>
        <w:spacing w:after="0" w:line="173" w:lineRule="exact"/>
        <w:rPr>
          <w:sz w:val="20"/>
          <w:szCs w:val="20"/>
          <w:color w:val="auto"/>
        </w:rPr>
      </w:pPr>
    </w:p>
    <w:p>
      <w:pPr>
        <w:ind w:left="1220"/>
        <w:spacing w:after="0" w:line="245" w:lineRule="auto"/>
        <w:rPr>
          <w:sz w:val="20"/>
          <w:szCs w:val="20"/>
          <w:color w:val="auto"/>
        </w:rPr>
      </w:pPr>
      <w:r>
        <w:rPr>
          <w:rFonts w:ascii="Arial" w:cs="Arial" w:eastAsia="Arial" w:hAnsi="Arial"/>
          <w:sz w:val="21"/>
          <w:szCs w:val="21"/>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w:t>
      </w:r>
    </w:p>
    <w:p>
      <w:pPr>
        <w:spacing w:after="0" w:line="1" w:lineRule="exact"/>
        <w:rPr>
          <w:sz w:val="20"/>
          <w:szCs w:val="20"/>
          <w:color w:val="auto"/>
        </w:rPr>
      </w:pPr>
    </w:p>
    <w:p>
      <w:pPr>
        <w:ind w:left="1220" w:right="20" w:hanging="4"/>
        <w:spacing w:after="0" w:line="242" w:lineRule="auto"/>
        <w:tabs>
          <w:tab w:leader="none" w:pos="156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 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 (D) OUTSIDE THE UNITED STATES IN AN OFFSHORE TRANSACTION IN COMPLIANCE WITH RULE 904 UNDER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020"/>
          </w:cols>
          <w:pgMar w:left="440" w:top="267" w:right="439" w:bottom="1440" w:gutter="0" w:footer="0" w:header="0"/>
        </w:sectPr>
      </w:pPr>
    </w:p>
    <w:bookmarkStart w:id="165" w:name="page166"/>
    <w:bookmarkEnd w:id="165"/>
    <w:p>
      <w:pPr>
        <w:ind w:left="220" w:right="24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w:t>
      </w:r>
    </w:p>
    <w:p>
      <w:pPr>
        <w:spacing w:after="0" w:line="4" w:lineRule="exact"/>
        <w:rPr>
          <w:sz w:val="20"/>
          <w:szCs w:val="20"/>
          <w:color w:val="auto"/>
        </w:rPr>
      </w:pPr>
    </w:p>
    <w:p>
      <w:pPr>
        <w:ind w:left="220" w:hanging="4"/>
        <w:spacing w:after="0" w:line="242" w:lineRule="auto"/>
        <w:tabs>
          <w:tab w:leader="none" w:pos="574" w:val="left"/>
        </w:tabs>
        <w:numPr>
          <w:ilvl w:val="0"/>
          <w:numId w:val="164"/>
        </w:numPr>
        <w:rPr>
          <w:rFonts w:ascii="Arial" w:cs="Arial" w:eastAsia="Arial" w:hAnsi="Arial"/>
          <w:sz w:val="21"/>
          <w:szCs w:val="21"/>
          <w:color w:val="auto"/>
        </w:rPr>
      </w:pPr>
      <w:r>
        <w:rPr>
          <w:rFonts w:ascii="Arial" w:cs="Arial" w:eastAsia="Arial" w:hAnsi="Arial"/>
          <w:sz w:val="21"/>
          <w:szCs w:val="21"/>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2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9960"/>
          </w:cols>
          <w:pgMar w:left="1440" w:top="267" w:right="49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LEGEND FOR GLOBAL NOTE]</w:t>
      </w:r>
    </w:p>
    <w:p>
      <w:pPr>
        <w:spacing w:after="0" w:line="206" w:lineRule="exact"/>
        <w:rPr>
          <w:sz w:val="20"/>
          <w:szCs w:val="20"/>
          <w:color w:val="auto"/>
        </w:rPr>
      </w:pPr>
    </w:p>
    <w:p>
      <w:pPr>
        <w:ind w:firstLine="1433"/>
        <w:spacing w:after="0" w:line="251" w:lineRule="auto"/>
        <w:rPr>
          <w:sz w:val="20"/>
          <w:szCs w:val="20"/>
          <w:color w:val="auto"/>
        </w:rPr>
      </w:pPr>
      <w:r>
        <w:rPr>
          <w:rFonts w:ascii="Arial" w:cs="Arial" w:eastAsia="Arial" w:hAnsi="Arial"/>
          <w:sz w:val="22"/>
          <w:szCs w:val="22"/>
          <w:color w:val="auto"/>
        </w:rPr>
        <w:t>Any Global Note authenticated and delivered hereunder shall bear a legend (which would be in addition to any other legends required in the case of a Restricted Note) in substantially the following form:</w:t>
      </w:r>
    </w:p>
    <w:p>
      <w:pPr>
        <w:spacing w:after="0" w:line="173"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THIS NOTE IS A GLOBAL NOTE WITHIN THE MEANING OF THE INDENTURE HEREINAFTER REFERRED TO AND IS REGISTERED IN THE NAME OF A COMMON DEPOSITARY OR A NOMINEE OF A COMMON DEPOSITARY. THIS NOTE IS NOT EXCHANGEABLE FOR NOTES REGISTERED IN THE NAME OF A PERSON OTHER THAN THE COMMON DEPOSITARY OR ITS NOMINEE EXCEPT IN THE LIMITED CIRCUMSTANCES DESCRIBED IN THE INDENTURE, AND NO TRANSFER OF THIS NOTE (OTHER THAN A TRANSFER OF THIS NOTE AS A WHOLE BY THE COMMON DEPOSITARY TO A NOMINEE OF THE COMMON DEPOSITARY OR BY A NOMINEE OF THE COMMON DEPOSITARY TO THE COMMON DEPOSITARY OR ANOTHER NOMINEE OF THE COMMON DEPOSITARY) MAY BE REGISTERED EXCEPT IN THE LIMITED CIRCUMSTANCES DESCRIBED IN THE INDENTURE.</w:t>
      </w:r>
    </w:p>
    <w:p>
      <w:pPr>
        <w:spacing w:after="0" w:line="194"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UNLESS THIS CERTIFICATE IS PRESENTED BY AN AUTHORIZED REPRESENTATIVE OF ELAVON FINANCIAL SERVICES DAC (THE “COMMON DEPOSITARY”) TO THE ISSUER OR ITS AGENT FOR REGISTRATION OF TRANSFER, EXCHANGE, OR PAYMENT, AND ANY CERTIFICATE ISSUED IS REGISTERED IN THE NAME OF USB NOMINEES (UK) LIMITED OR IN SUCH OTHER NAME AS IS REQUESTED BY AN AUTHORIZED REPRESENTATIVE OF THE COMMON DEPOSITARY (AND ANY PAYMENT IS MADE TO USB NOMINEES (UK) LIMITED OR SUCH OTHER ENTITY AS IS REQUESTED BY AN AUTHORIZED REPRESENTATIVE OF THE COMMON DEPOSITARY), ANY TRANSFER, PLEDGE OR OTHER USE HEREOF FOR VALUE OR OTHERWISE BY OR TO ANY PERSON IS WRONGFUL INASMUCH AS THE REGISTERED OWNER HEREOF, USB NOMINEES (UK) LIMITED, HAS AN INTEREST 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020"/>
          </w:cols>
          <w:pgMar w:left="440" w:top="267"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LEGEND FOR NOTE ISSUED WITH OID]</w:t>
      </w:r>
    </w:p>
    <w:p>
      <w:pPr>
        <w:spacing w:after="0" w:line="206" w:lineRule="exact"/>
        <w:rPr>
          <w:sz w:val="20"/>
          <w:szCs w:val="20"/>
          <w:color w:val="auto"/>
        </w:rPr>
      </w:pPr>
    </w:p>
    <w:p>
      <w:pPr>
        <w:ind w:right="20" w:firstLine="1433"/>
        <w:spacing w:after="0"/>
        <w:rPr>
          <w:sz w:val="20"/>
          <w:szCs w:val="20"/>
          <w:color w:val="auto"/>
        </w:rPr>
      </w:pPr>
      <w:r>
        <w:rPr>
          <w:rFonts w:ascii="Arial" w:cs="Arial" w:eastAsia="Arial" w:hAnsi="Arial"/>
          <w:sz w:val="22"/>
          <w:szCs w:val="22"/>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19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67 RUE ARAGO, 93400 SAINT-OUEN, FRANCE, ATTENTION: CHIEF FINANCIAL OFFICER.”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020"/>
          </w:cols>
          <w:pgMar w:left="440" w:top="267"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LEGEND FOR TEMPORARY REGULATION S NOTE]</w:t>
      </w:r>
    </w:p>
    <w:p>
      <w:pPr>
        <w:spacing w:after="0" w:line="206" w:lineRule="exact"/>
        <w:rPr>
          <w:sz w:val="20"/>
          <w:szCs w:val="20"/>
          <w:color w:val="auto"/>
        </w:rPr>
      </w:pPr>
    </w:p>
    <w:p>
      <w:pPr>
        <w:ind w:right="60" w:firstLine="1433"/>
        <w:spacing w:after="0"/>
        <w:rPr>
          <w:sz w:val="20"/>
          <w:szCs w:val="20"/>
          <w:color w:val="auto"/>
        </w:rPr>
      </w:pPr>
      <w:r>
        <w:rPr>
          <w:rFonts w:ascii="Arial" w:cs="Arial" w:eastAsia="Arial" w:hAnsi="Arial"/>
          <w:sz w:val="22"/>
          <w:szCs w:val="22"/>
          <w:color w:val="auto"/>
        </w:rPr>
        <w:t>Any Regulation S Note authenticated and delivered hereunder shall bear a legend (which would be in addition to any other legends required in the case of a Restricted Note) for the 40 day distribution compliance period (as defined in Regulation S) in substantially the following form:</w:t>
      </w:r>
    </w:p>
    <w:p>
      <w:pPr>
        <w:spacing w:after="0" w:line="186" w:lineRule="exact"/>
        <w:rPr>
          <w:sz w:val="20"/>
          <w:szCs w:val="20"/>
          <w:color w:val="auto"/>
        </w:rPr>
      </w:pPr>
    </w:p>
    <w:p>
      <w:pPr>
        <w:ind w:right="240" w:firstLine="1433"/>
        <w:spacing w:after="0" w:line="258" w:lineRule="auto"/>
        <w:rPr>
          <w:sz w:val="20"/>
          <w:szCs w:val="20"/>
          <w:color w:val="auto"/>
        </w:rPr>
      </w:pPr>
      <w:r>
        <w:rPr>
          <w:rFonts w:ascii="Arial" w:cs="Arial" w:eastAsia="Arial" w:hAnsi="Arial"/>
          <w:sz w:val="21"/>
          <w:szCs w:val="21"/>
          <w:color w:val="auto"/>
        </w:rPr>
        <w:t>“BY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020"/>
          </w:cols>
          <w:pgMar w:left="440" w:top="267"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CERTIFICATE OF TRANSFER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Crown European Holdings S.A.</w:t>
      </w:r>
    </w:p>
    <w:p>
      <w:pPr>
        <w:spacing w:after="0" w:line="238" w:lineRule="auto"/>
        <w:rPr>
          <w:sz w:val="20"/>
          <w:szCs w:val="20"/>
          <w:color w:val="auto"/>
        </w:rPr>
      </w:pPr>
      <w:r>
        <w:rPr>
          <w:rFonts w:ascii="Arial" w:cs="Arial" w:eastAsia="Arial" w:hAnsi="Arial"/>
          <w:sz w:val="22"/>
          <w:szCs w:val="22"/>
          <w:color w:val="auto"/>
        </w:rPr>
        <w:t>67 Rue Arago</w:t>
      </w:r>
    </w:p>
    <w:p>
      <w:pPr>
        <w:spacing w:after="0"/>
        <w:rPr>
          <w:sz w:val="20"/>
          <w:szCs w:val="20"/>
          <w:color w:val="auto"/>
        </w:rPr>
      </w:pPr>
      <w:r>
        <w:rPr>
          <w:rFonts w:ascii="Arial" w:cs="Arial" w:eastAsia="Arial" w:hAnsi="Arial"/>
          <w:sz w:val="22"/>
          <w:szCs w:val="22"/>
          <w:color w:val="auto"/>
        </w:rPr>
        <w:t>93400 Saint-Ouen, France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Elavon Financial Services DAC, as Transfer Agent</w:t>
      </w:r>
    </w:p>
    <w:p>
      <w:pPr>
        <w:spacing w:after="0" w:line="238" w:lineRule="auto"/>
        <w:rPr>
          <w:sz w:val="20"/>
          <w:szCs w:val="20"/>
          <w:color w:val="auto"/>
        </w:rPr>
      </w:pPr>
      <w:r>
        <w:rPr>
          <w:rFonts w:ascii="Arial" w:cs="Arial" w:eastAsia="Arial" w:hAnsi="Arial"/>
          <w:sz w:val="22"/>
          <w:szCs w:val="22"/>
          <w:color w:val="auto"/>
        </w:rPr>
        <w:t>Building 8, Cherrywood Business Park</w:t>
      </w:r>
    </w:p>
    <w:p>
      <w:pPr>
        <w:spacing w:after="0" w:line="230" w:lineRule="auto"/>
        <w:rPr>
          <w:sz w:val="20"/>
          <w:szCs w:val="20"/>
          <w:color w:val="auto"/>
        </w:rPr>
      </w:pPr>
      <w:r>
        <w:rPr>
          <w:rFonts w:ascii="Arial" w:cs="Arial" w:eastAsia="Arial" w:hAnsi="Arial"/>
          <w:sz w:val="22"/>
          <w:szCs w:val="22"/>
          <w:color w:val="auto"/>
        </w:rPr>
        <w:t>Loughlinstown, Dublin 18</w:t>
      </w:r>
    </w:p>
    <w:p>
      <w:pPr>
        <w:spacing w:after="0" w:line="231" w:lineRule="auto"/>
        <w:rPr>
          <w:sz w:val="20"/>
          <w:szCs w:val="20"/>
          <w:color w:val="auto"/>
        </w:rPr>
      </w:pPr>
      <w:r>
        <w:rPr>
          <w:rFonts w:ascii="Arial" w:cs="Arial" w:eastAsia="Arial" w:hAnsi="Arial"/>
          <w:sz w:val="22"/>
          <w:szCs w:val="22"/>
          <w:color w:val="auto"/>
        </w:rPr>
        <w:t>D18 W319 Ireland</w:t>
      </w:r>
    </w:p>
    <w:p>
      <w:pPr>
        <w:spacing w:after="0" w:line="231" w:lineRule="auto"/>
        <w:tabs>
          <w:tab w:leader="none" w:pos="1080" w:val="left"/>
          <w:tab w:leader="none" w:pos="2220" w:val="left"/>
        </w:tabs>
        <w:rPr>
          <w:sz w:val="20"/>
          <w:szCs w:val="20"/>
          <w:color w:val="auto"/>
        </w:rPr>
      </w:pPr>
      <w:r>
        <w:rPr>
          <w:rFonts w:ascii="Arial" w:cs="Arial" w:eastAsia="Arial" w:hAnsi="Arial"/>
          <w:sz w:val="22"/>
          <w:szCs w:val="22"/>
          <w:color w:val="auto"/>
        </w:rPr>
        <w:t>Attention:</w:t>
        <w:tab/>
        <w:t>[</w:t>
      </w:r>
      <w:r>
        <w:rPr>
          <w:sz w:val="20"/>
          <w:szCs w:val="20"/>
          <w:color w:val="auto"/>
        </w:rPr>
        <w:tab/>
      </w:r>
      <w:r>
        <w:rPr>
          <w:rFonts w:ascii="Arial" w:cs="Arial" w:eastAsia="Arial" w:hAnsi="Arial"/>
          <w:sz w:val="22"/>
          <w:szCs w:val="22"/>
          <w:color w:val="auto"/>
        </w:rPr>
        <w:t>]</w:t>
      </w:r>
    </w:p>
    <w:p>
      <w:pPr>
        <w:ind w:left="1500"/>
        <w:spacing w:after="0"/>
        <w:rPr>
          <w:sz w:val="20"/>
          <w:szCs w:val="20"/>
          <w:color w:val="auto"/>
        </w:rPr>
      </w:pPr>
      <w:r>
        <w:rPr>
          <w:rFonts w:ascii="Arial" w:cs="Arial" w:eastAsia="Arial" w:hAnsi="Arial"/>
          <w:sz w:val="22"/>
          <w:szCs w:val="22"/>
          <w:color w:val="auto"/>
        </w:rPr>
        <w:t>re: Crown European Holdings S.A.</w:t>
      </w:r>
    </w:p>
    <w:p>
      <w:pPr>
        <w:spacing w:after="0" w:line="378" w:lineRule="exact"/>
        <w:rPr>
          <w:sz w:val="20"/>
          <w:szCs w:val="20"/>
          <w:color w:val="auto"/>
        </w:rPr>
      </w:pPr>
    </w:p>
    <w:p>
      <w:pPr>
        <w:jc w:val="center"/>
        <w:spacing w:after="0" w:line="253" w:lineRule="exact"/>
        <w:tabs>
          <w:tab w:leader="none" w:pos="200" w:val="left"/>
        </w:tabs>
        <w:rPr>
          <w:sz w:val="20"/>
          <w:szCs w:val="20"/>
          <w:color w:val="auto"/>
        </w:rPr>
      </w:pPr>
      <w:r>
        <w:rPr>
          <w:rFonts w:ascii="Arial" w:cs="Arial" w:eastAsia="Arial" w:hAnsi="Arial"/>
          <w:sz w:val="22"/>
          <w:szCs w:val="22"/>
          <w:color w:val="auto"/>
        </w:rPr>
        <w:t>Re: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0.750% Senior Notes due 2023</w:t>
      </w:r>
    </w:p>
    <w:p>
      <w:pPr>
        <w:spacing w:after="0" w:line="217" w:lineRule="exact"/>
        <w:rPr>
          <w:sz w:val="20"/>
          <w:szCs w:val="20"/>
          <w:color w:val="auto"/>
        </w:rPr>
      </w:pPr>
    </w:p>
    <w:tbl>
      <w:tblPr>
        <w:tblLayout w:type="fixed"/>
        <w:tblInd w:w="4400" w:type="dxa"/>
        <w:tblCellMar>
          <w:top w:w="0" w:type="dxa"/>
          <w:left w:w="0" w:type="dxa"/>
          <w:bottom w:w="0" w:type="dxa"/>
          <w:right w:w="0" w:type="dxa"/>
        </w:tblCellMar>
      </w:tblPr>
      <w:tr>
        <w:trPr>
          <w:trHeight w:val="253"/>
        </w:trPr>
        <w:tc>
          <w:tcPr>
            <w:tcW w:w="740" w:type="dxa"/>
            <w:vAlign w:val="bottom"/>
            <w:gridSpan w:val="2"/>
          </w:tcPr>
          <w:p>
            <w:pPr>
              <w:spacing w:after="0"/>
              <w:rPr>
                <w:sz w:val="20"/>
                <w:szCs w:val="20"/>
                <w:color w:val="auto"/>
              </w:rPr>
            </w:pPr>
            <w:r>
              <w:rPr>
                <w:rFonts w:ascii="Arial" w:cs="Arial" w:eastAsia="Arial" w:hAnsi="Arial"/>
                <w:sz w:val="22"/>
                <w:szCs w:val="22"/>
                <w:color w:val="auto"/>
                <w:w w:val="96"/>
              </w:rPr>
              <w:t>(CUSIP</w:t>
            </w:r>
          </w:p>
        </w:tc>
        <w:tc>
          <w:tcPr>
            <w:tcW w:w="6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r>
      <w:tr>
        <w:trPr>
          <w:trHeight w:val="223"/>
        </w:trPr>
        <w:tc>
          <w:tcPr>
            <w:tcW w:w="540" w:type="dxa"/>
            <w:vAlign w:val="bottom"/>
          </w:tcPr>
          <w:p>
            <w:pPr>
              <w:spacing w:after="0" w:line="223" w:lineRule="exact"/>
              <w:rPr>
                <w:sz w:val="20"/>
                <w:szCs w:val="20"/>
                <w:color w:val="auto"/>
              </w:rPr>
            </w:pPr>
            <w:r>
              <w:rPr>
                <w:rFonts w:ascii="Arial" w:cs="Arial" w:eastAsia="Arial" w:hAnsi="Arial"/>
                <w:sz w:val="22"/>
                <w:szCs w:val="22"/>
                <w:color w:val="auto"/>
              </w:rPr>
              <w:t>(ISIN</w:t>
            </w:r>
          </w:p>
        </w:tc>
        <w:tc>
          <w:tcPr>
            <w:tcW w:w="86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gridSpan w:val="2"/>
          </w:tcPr>
          <w:p>
            <w:pPr>
              <w:spacing w:after="0"/>
              <w:rPr>
                <w:sz w:val="19"/>
                <w:szCs w:val="19"/>
                <w:color w:val="auto"/>
              </w:rPr>
            </w:pPr>
          </w:p>
        </w:tc>
        <w:tc>
          <w:tcPr>
            <w:tcW w:w="80" w:type="dxa"/>
            <w:vAlign w:val="bottom"/>
          </w:tcPr>
          <w:p>
            <w:pPr>
              <w:jc w:val="right"/>
              <w:spacing w:after="0" w:line="223" w:lineRule="exact"/>
              <w:rPr>
                <w:sz w:val="20"/>
                <w:szCs w:val="20"/>
                <w:color w:val="auto"/>
              </w:rPr>
            </w:pPr>
            <w:r>
              <w:rPr>
                <w:rFonts w:ascii="Arial" w:cs="Arial" w:eastAsia="Arial" w:hAnsi="Arial"/>
                <w:sz w:val="22"/>
                <w:szCs w:val="22"/>
                <w:color w:val="auto"/>
                <w:w w:val="81"/>
              </w:rPr>
              <w:t>)</w:t>
            </w:r>
          </w:p>
        </w:tc>
      </w:tr>
      <w:tr>
        <w:trPr>
          <w:trHeight w:val="223"/>
        </w:trPr>
        <w:tc>
          <w:tcPr>
            <w:tcW w:w="1400" w:type="dxa"/>
            <w:vAlign w:val="bottom"/>
            <w:gridSpan w:val="3"/>
          </w:tcPr>
          <w:p>
            <w:pPr>
              <w:spacing w:after="0" w:line="223" w:lineRule="exact"/>
              <w:rPr>
                <w:sz w:val="20"/>
                <w:szCs w:val="20"/>
                <w:color w:val="auto"/>
              </w:rPr>
            </w:pPr>
            <w:r>
              <w:rPr>
                <w:rFonts w:ascii="Arial" w:cs="Arial" w:eastAsia="Arial" w:hAnsi="Arial"/>
                <w:sz w:val="22"/>
                <w:szCs w:val="22"/>
                <w:color w:val="auto"/>
                <w:w w:val="88"/>
              </w:rPr>
              <w:t>(Common Code</w:t>
            </w:r>
          </w:p>
        </w:tc>
        <w:tc>
          <w:tcPr>
            <w:tcW w:w="740" w:type="dxa"/>
            <w:vAlign w:val="bottom"/>
            <w:tcBorders>
              <w:bottom w:val="single" w:sz="8" w:color="auto"/>
            </w:tcBorders>
          </w:tcPr>
          <w:p>
            <w:pPr>
              <w:spacing w:after="0"/>
              <w:rPr>
                <w:sz w:val="19"/>
                <w:szCs w:val="19"/>
                <w:color w:val="auto"/>
              </w:rPr>
            </w:pPr>
          </w:p>
        </w:tc>
        <w:tc>
          <w:tcPr>
            <w:tcW w:w="100" w:type="dxa"/>
            <w:vAlign w:val="bottom"/>
            <w:gridSpan w:val="2"/>
          </w:tcPr>
          <w:p>
            <w:pPr>
              <w:jc w:val="right"/>
              <w:spacing w:after="0" w:line="223" w:lineRule="exact"/>
              <w:rPr>
                <w:sz w:val="20"/>
                <w:szCs w:val="20"/>
                <w:color w:val="auto"/>
              </w:rPr>
            </w:pPr>
            <w:r>
              <w:rPr>
                <w:rFonts w:ascii="Arial" w:cs="Arial" w:eastAsia="Arial" w:hAnsi="Arial"/>
                <w:sz w:val="22"/>
                <w:szCs w:val="22"/>
                <w:color w:val="auto"/>
                <w:w w:val="81"/>
              </w:rPr>
              <w:t>)</w:t>
            </w:r>
          </w:p>
        </w:tc>
      </w:tr>
    </w:tbl>
    <w:p>
      <w:pPr>
        <w:spacing w:after="0" w:line="22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Reference is hereby made to the Indenture, dated as of October 31, 2019 (the “</w:t>
      </w:r>
      <w:r>
        <w:rPr>
          <w:rFonts w:ascii="Arial" w:cs="Arial" w:eastAsia="Arial" w:hAnsi="Arial"/>
          <w:sz w:val="22"/>
          <w:szCs w:val="22"/>
          <w:u w:val="single" w:color="auto"/>
          <w:color w:val="auto"/>
        </w:rPr>
        <w:t>Indenture</w:t>
      </w:r>
      <w:r>
        <w:rPr>
          <w:rFonts w:ascii="Arial" w:cs="Arial" w:eastAsia="Arial" w:hAnsi="Arial"/>
          <w:sz w:val="22"/>
          <w:szCs w:val="22"/>
          <w:color w:val="auto"/>
        </w:rPr>
        <w:t>”), by and among Crown European Holdings S.A., as issuer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U.S. Bank National Association, as trustee, Elavon Financial Services DAC, as paying agent, registrar and transfer agent. Capitalized terms used but not defined herein shall have the meanings given to them in the Indenture.</w:t>
      </w:r>
    </w:p>
    <w:p>
      <w:pPr>
        <w:spacing w:after="0" w:line="18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Transferor</w:t>
      </w:r>
      <w:r>
        <w:rPr>
          <w:rFonts w:ascii="Arial" w:cs="Arial" w:eastAsia="Arial" w:hAnsi="Arial"/>
          <w:sz w:val="19"/>
          <w:szCs w:val="19"/>
          <w:color w:val="auto"/>
        </w:rPr>
        <w:t>”) owns and proposes to transfer the Note[s] or interest in such Note[s]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3810</wp:posOffset>
            </wp:positionV>
            <wp:extent cx="6858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 w:lineRule="exact"/>
        <w:rPr>
          <w:sz w:val="20"/>
          <w:szCs w:val="20"/>
          <w:color w:val="auto"/>
        </w:rPr>
      </w:pPr>
    </w:p>
    <w:p>
      <w:pPr>
        <w:ind w:right="320"/>
        <w:spacing w:after="0" w:line="237" w:lineRule="auto"/>
        <w:rPr>
          <w:sz w:val="20"/>
          <w:szCs w:val="20"/>
          <w:color w:val="auto"/>
        </w:rPr>
      </w:pPr>
      <w:r>
        <w:rPr>
          <w:rFonts w:ascii="Arial" w:cs="Arial" w:eastAsia="Arial" w:hAnsi="Arial"/>
          <w:sz w:val="22"/>
          <w:szCs w:val="22"/>
          <w:color w:val="auto"/>
        </w:rPr>
        <w:t>in Annex A hereto, in the principal amount of in such Note[s] or interests (the “</w:t>
      </w:r>
      <w:r>
        <w:rPr>
          <w:rFonts w:ascii="Arial" w:cs="Arial" w:eastAsia="Arial" w:hAnsi="Arial"/>
          <w:sz w:val="22"/>
          <w:szCs w:val="22"/>
          <w:u w:val="single" w:color="auto"/>
          <w:color w:val="auto"/>
        </w:rPr>
        <w:t>Transfer</w:t>
      </w:r>
      <w:r>
        <w:rPr>
          <w:rFonts w:ascii="Arial" w:cs="Arial" w:eastAsia="Arial" w:hAnsi="Arial"/>
          <w:sz w:val="22"/>
          <w:szCs w:val="22"/>
          <w:color w:val="auto"/>
        </w:rPr>
        <w:t>”), to (the “</w:t>
      </w:r>
      <w:r>
        <w:rPr>
          <w:rFonts w:ascii="Arial" w:cs="Arial" w:eastAsia="Arial" w:hAnsi="Arial"/>
          <w:sz w:val="22"/>
          <w:szCs w:val="22"/>
          <w:u w:val="single" w:color="auto"/>
          <w:color w:val="auto"/>
        </w:rPr>
        <w:t>Transferee</w:t>
      </w:r>
      <w:r>
        <w:rPr>
          <w:rFonts w:ascii="Arial" w:cs="Arial" w:eastAsia="Arial" w:hAnsi="Arial"/>
          <w:sz w:val="22"/>
          <w:szCs w:val="22"/>
          <w:color w:val="auto"/>
        </w:rPr>
        <w:t>”), as further specified in Annex A hereto. In connection with the Transfer, the Transferor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-186055</wp:posOffset>
            </wp:positionV>
            <wp:extent cx="6858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-186055</wp:posOffset>
            </wp:positionV>
            <wp:extent cx="6858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[CHECK ALL THAT APPLY]</w:t>
      </w:r>
    </w:p>
    <w:p>
      <w:pPr>
        <w:spacing w:after="0" w:line="180" w:lineRule="exact"/>
        <w:rPr>
          <w:sz w:val="20"/>
          <w:szCs w:val="20"/>
          <w:color w:val="auto"/>
        </w:rPr>
      </w:pPr>
    </w:p>
    <w:p>
      <w:pPr>
        <w:ind w:right="80" w:firstLine="4"/>
        <w:spacing w:after="0" w:line="255" w:lineRule="exact"/>
        <w:tabs>
          <w:tab w:leader="none" w:pos="594" w:val="left"/>
        </w:tabs>
        <w:numPr>
          <w:ilvl w:val="0"/>
          <w:numId w:val="165"/>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a Rule 144A Global Note or a Physical Note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pursuant to Rule 144A.</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144A under the United States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020"/>
          </w:cols>
          <w:pgMar w:left="440" w:top="267" w:right="439" w:bottom="1440" w:gutter="0" w:footer="0" w:header="0"/>
        </w:sectPr>
      </w:pPr>
    </w:p>
    <w:bookmarkStart w:id="170" w:name="page171"/>
    <w:bookmarkEnd w:id="170"/>
    <w:p>
      <w:pPr>
        <w:ind w:right="2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52" w:lineRule="exact"/>
        <w:rPr>
          <w:sz w:val="20"/>
          <w:szCs w:val="20"/>
          <w:color w:val="auto"/>
        </w:rPr>
      </w:pPr>
    </w:p>
    <w:p>
      <w:pPr>
        <w:jc w:val="both"/>
        <w:ind w:right="100" w:firstLine="4"/>
        <w:spacing w:after="0" w:line="254" w:lineRule="exact"/>
        <w:tabs>
          <w:tab w:leader="none" w:pos="594" w:val="left"/>
        </w:tabs>
        <w:numPr>
          <w:ilvl w:val="0"/>
          <w:numId w:val="16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a Regulation S Global Note or a Physical Note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903 or Rule 904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w:t>
      </w:r>
    </w:p>
    <w:p>
      <w:pPr>
        <w:spacing w:after="0" w:line="3" w:lineRule="exact"/>
        <w:rPr>
          <w:rFonts w:ascii="Arial" w:cs="Arial" w:eastAsia="Arial" w:hAnsi="Arial"/>
          <w:sz w:val="19"/>
          <w:szCs w:val="19"/>
          <w:color w:val="auto"/>
        </w:rPr>
      </w:pPr>
    </w:p>
    <w:p>
      <w:pPr>
        <w:ind w:right="20"/>
        <w:spacing w:after="0" w:line="272" w:lineRule="auto"/>
        <w:rPr>
          <w:rFonts w:ascii="Arial" w:cs="Arial" w:eastAsia="Arial" w:hAnsi="Arial"/>
          <w:sz w:val="19"/>
          <w:szCs w:val="19"/>
          <w:color w:val="auto"/>
        </w:rPr>
      </w:pPr>
      <w:r>
        <w:rPr>
          <w:rFonts w:ascii="Arial" w:cs="Arial" w:eastAsia="Arial" w:hAnsi="Arial"/>
          <w:sz w:val="19"/>
          <w:szCs w:val="19"/>
          <w:color w:val="auto"/>
        </w:rPr>
        <w:t>(y)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30" w:lineRule="exact"/>
        <w:rPr>
          <w:rFonts w:ascii="Arial" w:cs="Arial" w:eastAsia="Arial" w:hAnsi="Arial"/>
          <w:sz w:val="19"/>
          <w:szCs w:val="19"/>
          <w:color w:val="auto"/>
        </w:rPr>
      </w:pPr>
    </w:p>
    <w:p>
      <w:pPr>
        <w:ind w:firstLine="4"/>
        <w:spacing w:after="0" w:line="257" w:lineRule="exact"/>
        <w:tabs>
          <w:tab w:leader="none" w:pos="594" w:val="left"/>
        </w:tabs>
        <w:numPr>
          <w:ilvl w:val="0"/>
          <w:numId w:val="16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and complete if Transferee will take delivery of a beneficial interest in the Global Note or a Physical</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w:t>
      </w:r>
      <w:r>
        <w:rPr>
          <w:rFonts w:ascii="Arial" w:cs="Arial" w:eastAsia="Arial" w:hAnsi="Arial"/>
          <w:sz w:val="19"/>
          <w:szCs w:val="19"/>
          <w:b w:val="1"/>
          <w:bCs w:val="1"/>
          <w:color w:val="auto"/>
        </w:rPr>
        <w:t xml:space="preserve"> </w:t>
      </w:r>
      <w:r>
        <w:rPr>
          <w:rFonts w:ascii="Arial" w:cs="Arial" w:eastAsia="Arial" w:hAnsi="Arial"/>
          <w:sz w:val="19"/>
          <w:szCs w:val="19"/>
          <w:color w:val="auto"/>
        </w:rPr>
        <w:t>in compliance with the transfer restrictions applicable to 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161" w:lineRule="exact"/>
        <w:rPr>
          <w:sz w:val="20"/>
          <w:szCs w:val="20"/>
          <w:color w:val="auto"/>
        </w:rPr>
      </w:pPr>
    </w:p>
    <w:p>
      <w:pPr>
        <w:ind w:left="2160" w:hanging="668"/>
        <w:spacing w:after="0" w:line="219" w:lineRule="exact"/>
        <w:tabs>
          <w:tab w:leader="none" w:pos="2160" w:val="left"/>
        </w:tabs>
        <w:numPr>
          <w:ilvl w:val="0"/>
          <w:numId w:val="16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pursuant to and in accordance with Rule 144 under the Securities</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80" w:lineRule="exact"/>
        <w:rPr>
          <w:sz w:val="20"/>
          <w:szCs w:val="20"/>
          <w:color w:val="auto"/>
        </w:rPr>
      </w:pPr>
    </w:p>
    <w:p>
      <w:pPr>
        <w:ind w:left="2180" w:hanging="688"/>
        <w:spacing w:after="0" w:line="253" w:lineRule="exact"/>
        <w:tabs>
          <w:tab w:leader="none" w:pos="2180" w:val="left"/>
        </w:tabs>
        <w:numPr>
          <w:ilvl w:val="0"/>
          <w:numId w:val="16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to the Issuer or a Subsidiary thereof;</w:t>
      </w:r>
    </w:p>
    <w:p>
      <w:pPr>
        <w:spacing w:after="0" w:line="24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or</w:t>
      </w:r>
    </w:p>
    <w:p>
      <w:pPr>
        <w:spacing w:after="0" w:line="139"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020"/>
          </w:cols>
          <w:pgMar w:left="440" w:top="267" w:right="439" w:bottom="1440" w:gutter="0" w:footer="0" w:header="0"/>
        </w:sectPr>
      </w:pPr>
    </w:p>
    <w:bookmarkStart w:id="171" w:name="page172"/>
    <w:bookmarkEnd w:id="171"/>
    <w:p>
      <w:pPr>
        <w:ind w:left="780" w:right="140" w:firstLine="712"/>
        <w:spacing w:after="0" w:line="279" w:lineRule="exact"/>
        <w:tabs>
          <w:tab w:leader="none" w:pos="2169" w:val="left"/>
        </w:tabs>
        <w:numPr>
          <w:ilvl w:val="0"/>
          <w:numId w:val="169"/>
        </w:numPr>
        <w:rPr>
          <w:rFonts w:ascii="Arial" w:cs="Arial" w:eastAsia="Arial" w:hAnsi="Arial"/>
          <w:sz w:val="22"/>
          <w:szCs w:val="22"/>
          <w:color w:val="auto"/>
        </w:rPr>
      </w:pPr>
      <w:r>
        <w:rPr>
          <w:rFonts w:ascii="MS PGothic" w:cs="MS PGothic" w:eastAsia="MS PGothic" w:hAnsi="MS PGothic"/>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color w:val="auto"/>
        </w:rPr>
        <w:t xml:space="preserve"> such Transfer is being effected pursuant to an effective registration statement under the Securities Act and in compliance with the prospectus delivery requirements of the Securities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or</w:t>
      </w:r>
    </w:p>
    <w:p>
      <w:pPr>
        <w:spacing w:after="0" w:line="180" w:lineRule="exact"/>
        <w:rPr>
          <w:sz w:val="20"/>
          <w:szCs w:val="20"/>
          <w:color w:val="auto"/>
        </w:rPr>
      </w:pPr>
    </w:p>
    <w:p>
      <w:pPr>
        <w:ind w:left="780" w:right="60" w:firstLine="712"/>
        <w:spacing w:after="0" w:line="249" w:lineRule="exact"/>
        <w:tabs>
          <w:tab w:leader="none" w:pos="2181" w:val="left"/>
        </w:tabs>
        <w:numPr>
          <w:ilvl w:val="2"/>
          <w:numId w:val="170"/>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64" w:lineRule="exact"/>
        <w:rPr>
          <w:rFonts w:ascii="Arial" w:cs="Arial" w:eastAsia="Arial" w:hAnsi="Arial"/>
          <w:sz w:val="19"/>
          <w:szCs w:val="19"/>
          <w:color w:val="auto"/>
        </w:rPr>
      </w:pPr>
    </w:p>
    <w:p>
      <w:pPr>
        <w:ind w:left="500" w:hanging="496"/>
        <w:spacing w:after="0" w:line="219" w:lineRule="exact"/>
        <w:tabs>
          <w:tab w:leader="none" w:pos="500" w:val="left"/>
        </w:tabs>
        <w:numPr>
          <w:ilvl w:val="0"/>
          <w:numId w:val="17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Transferee will take delivery of a beneficial interest in an Unrestricted Global Note or an Unrestricted</w:t>
      </w:r>
    </w:p>
    <w:p>
      <w:pPr>
        <w:spacing w:after="0" w:line="8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Physical Note.</w:t>
      </w:r>
    </w:p>
    <w:p>
      <w:pPr>
        <w:spacing w:after="0" w:line="161" w:lineRule="exact"/>
        <w:rPr>
          <w:rFonts w:ascii="Arial" w:cs="Arial" w:eastAsia="Arial" w:hAnsi="Arial"/>
          <w:sz w:val="19"/>
          <w:szCs w:val="19"/>
          <w:color w:val="auto"/>
        </w:rPr>
      </w:pPr>
    </w:p>
    <w:p>
      <w:pPr>
        <w:ind w:firstLine="1436"/>
        <w:spacing w:after="0" w:line="254" w:lineRule="exact"/>
        <w:tabs>
          <w:tab w:leader="none" w:pos="2105" w:val="left"/>
        </w:tabs>
        <w:numPr>
          <w:ilvl w:val="1"/>
          <w:numId w:val="17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Rule 144.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59" w:lineRule="exact"/>
        <w:rPr>
          <w:rFonts w:ascii="Arial" w:cs="Arial" w:eastAsia="Arial" w:hAnsi="Arial"/>
          <w:sz w:val="19"/>
          <w:szCs w:val="19"/>
          <w:color w:val="auto"/>
        </w:rPr>
      </w:pPr>
    </w:p>
    <w:p>
      <w:pPr>
        <w:ind w:right="60" w:firstLine="1436"/>
        <w:spacing w:after="0" w:line="255" w:lineRule="exact"/>
        <w:tabs>
          <w:tab w:leader="none" w:pos="2117" w:val="left"/>
        </w:tabs>
        <w:numPr>
          <w:ilvl w:val="1"/>
          <w:numId w:val="17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Regulation S. </w:t>
      </w:r>
      <w:r>
        <w:rPr>
          <w:rFonts w:ascii="Arial" w:cs="Arial" w:eastAsia="Arial" w:hAnsi="Arial"/>
          <w:sz w:val="19"/>
          <w:szCs w:val="19"/>
          <w:color w:val="auto"/>
        </w:rPr>
        <w:t>(i) The Transfer is being effected pursuant to and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0980"/>
          </w:cols>
          <w:pgMar w:left="440" w:top="240" w:right="47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Placement Legend printed on the Restricted Global Notes, on Restricted Physical Notes and in the Indenture.</w:t>
      </w:r>
    </w:p>
    <w:p>
      <w:pPr>
        <w:spacing w:after="0" w:line="180" w:lineRule="exact"/>
        <w:rPr>
          <w:sz w:val="20"/>
          <w:szCs w:val="20"/>
          <w:color w:val="auto"/>
        </w:rPr>
      </w:pPr>
    </w:p>
    <w:p>
      <w:pPr>
        <w:ind w:right="20" w:firstLine="1436"/>
        <w:spacing w:after="0" w:line="252" w:lineRule="exact"/>
        <w:tabs>
          <w:tab w:leader="none" w:pos="2105" w:val="left"/>
        </w:tabs>
        <w:numPr>
          <w:ilvl w:val="0"/>
          <w:numId w:val="172"/>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Other Exemption. </w:t>
      </w:r>
      <w:r>
        <w:rPr>
          <w:rFonts w:ascii="Arial" w:cs="Arial" w:eastAsia="Arial" w:hAnsi="Arial"/>
          <w:sz w:val="21"/>
          <w:szCs w:val="21"/>
          <w:color w:val="auto"/>
        </w:rPr>
        <w:t>(i) The Transfer is being effected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61" w:lineRule="exact"/>
        <w:rPr>
          <w:rFonts w:ascii="Arial" w:cs="Arial" w:eastAsia="Arial" w:hAnsi="Arial"/>
          <w:sz w:val="21"/>
          <w:szCs w:val="21"/>
          <w:color w:val="auto"/>
        </w:rPr>
      </w:pPr>
    </w:p>
    <w:p>
      <w:pPr>
        <w:ind w:firstLine="1436"/>
        <w:spacing w:after="0" w:line="252" w:lineRule="exact"/>
        <w:tabs>
          <w:tab w:leader="none" w:pos="2117" w:val="left"/>
        </w:tabs>
        <w:numPr>
          <w:ilvl w:val="0"/>
          <w:numId w:val="172"/>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an Effective Registration Statement. </w:t>
      </w:r>
      <w:r>
        <w:rPr>
          <w:rFonts w:ascii="Arial" w:cs="Arial" w:eastAsia="Arial" w:hAnsi="Arial"/>
          <w:sz w:val="21"/>
          <w:szCs w:val="21"/>
          <w:color w:val="auto"/>
        </w:rPr>
        <w:t>(i) The Transfer is being</w:t>
      </w:r>
      <w:r>
        <w:rPr>
          <w:rFonts w:ascii="Arial" w:cs="Arial" w:eastAsia="Arial" w:hAnsi="Arial"/>
          <w:sz w:val="21"/>
          <w:szCs w:val="21"/>
          <w:b w:val="1"/>
          <w:bCs w:val="1"/>
          <w:color w:val="auto"/>
        </w:rPr>
        <w:t xml:space="preserve"> </w:t>
      </w:r>
      <w:r>
        <w:rPr>
          <w:rFonts w:ascii="Arial" w:cs="Arial" w:eastAsia="Arial" w:hAnsi="Arial"/>
          <w:sz w:val="21"/>
          <w:szCs w:val="21"/>
          <w:color w:val="auto"/>
        </w:rPr>
        <w:t>effected pursuant to and in 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329565</wp:posOffset>
            </wp:positionV>
            <wp:extent cx="27959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7620</wp:posOffset>
            </wp:positionV>
            <wp:extent cx="25387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-17780</wp:posOffset>
            </wp:positionV>
            <wp:extent cx="10636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020"/>
          </w:cols>
          <w:pgMar w:left="440" w:top="267" w:right="439" w:bottom="1440" w:gutter="0" w:footer="0" w:header="0"/>
        </w:sectPr>
      </w:pPr>
    </w:p>
    <w:bookmarkStart w:id="173" w:name="page174"/>
    <w:bookmarkEnd w:id="173"/>
    <w:p>
      <w:pPr>
        <w:ind w:left="33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 TO CERTIFICATE OF TRANSFER</w:t>
      </w:r>
    </w:p>
    <w:p>
      <w:pPr>
        <w:spacing w:after="0" w:line="212" w:lineRule="exact"/>
        <w:rPr>
          <w:sz w:val="20"/>
          <w:szCs w:val="20"/>
          <w:color w:val="auto"/>
        </w:rPr>
      </w:pPr>
    </w:p>
    <w:p>
      <w:pPr>
        <w:ind w:left="4820" w:right="3820" w:hanging="4816"/>
        <w:spacing w:after="0" w:line="443" w:lineRule="auto"/>
        <w:tabs>
          <w:tab w:leader="none" w:pos="58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Transferor owns and proposes to transfer the following: [CHECK ONE]</w:t>
      </w:r>
    </w:p>
    <w:p>
      <w:pPr>
        <w:ind w:left="1120" w:hanging="455"/>
        <w:spacing w:after="0" w:line="253" w:lineRule="exact"/>
        <w:tabs>
          <w:tab w:leader="none" w:pos="1120" w:val="left"/>
        </w:tabs>
        <w:numPr>
          <w:ilvl w:val="1"/>
          <w:numId w:val="17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0" w:type="dxa"/>
            <w:vAlign w:val="bottom"/>
          </w:tcPr>
          <w:p>
            <w:pPr>
              <w:spacing w:after="0"/>
              <w:rPr>
                <w:sz w:val="22"/>
                <w:szCs w:val="22"/>
                <w:color w:val="auto"/>
              </w:rPr>
            </w:pPr>
          </w:p>
        </w:tc>
        <w:tc>
          <w:tcPr>
            <w:tcW w:w="4320" w:type="dxa"/>
            <w:vAlign w:val="bottom"/>
          </w:tcPr>
          <w:p>
            <w:pPr>
              <w:ind w:left="700"/>
              <w:spacing w:after="0" w:line="253" w:lineRule="exact"/>
              <w:rPr>
                <w:sz w:val="20"/>
                <w:szCs w:val="20"/>
                <w:color w:val="auto"/>
              </w:rPr>
            </w:pPr>
            <w:r>
              <w:rPr>
                <w:rFonts w:ascii="Arial" w:cs="Arial" w:eastAsia="Arial" w:hAnsi="Arial"/>
                <w:sz w:val="22"/>
                <w:szCs w:val="22"/>
                <w:color w:val="auto"/>
                <w:w w:val="96"/>
              </w:rPr>
              <w:t xml:space="preserve">(i)   </w:t>
            </w:r>
            <w:r>
              <w:rPr>
                <w:rFonts w:ascii="MS PGothic" w:cs="MS PGothic" w:eastAsia="MS PGothic" w:hAnsi="MS PGothic"/>
                <w:sz w:val="22"/>
                <w:szCs w:val="22"/>
                <w:color w:val="auto"/>
                <w:w w:val="96"/>
              </w:rPr>
              <w:t>☐</w:t>
            </w:r>
            <w:r>
              <w:rPr>
                <w:rFonts w:ascii="Arial" w:cs="Arial" w:eastAsia="Arial" w:hAnsi="Arial"/>
                <w:sz w:val="22"/>
                <w:szCs w:val="22"/>
                <w:color w:val="auto"/>
                <w:w w:val="96"/>
              </w:rPr>
              <w:t xml:space="preserve"> Rule 144A Global Note (CUSIP</w:t>
            </w:r>
          </w:p>
        </w:tc>
        <w:tc>
          <w:tcPr>
            <w:tcW w:w="600" w:type="dxa"/>
            <w:vAlign w:val="bottom"/>
            <w:gridSpan w:val="4"/>
          </w:tcPr>
          <w:p>
            <w:pPr>
              <w:spacing w:after="0"/>
              <w:rPr>
                <w:sz w:val="22"/>
                <w:szCs w:val="22"/>
                <w:color w:val="auto"/>
              </w:rPr>
            </w:pPr>
          </w:p>
        </w:tc>
        <w:tc>
          <w:tcPr>
            <w:tcW w:w="720" w:type="dxa"/>
            <w:vAlign w:val="bottom"/>
            <w:gridSpan w:val="3"/>
          </w:tcPr>
          <w:p>
            <w:pPr>
              <w:spacing w:after="0"/>
              <w:rPr>
                <w:sz w:val="20"/>
                <w:szCs w:val="20"/>
                <w:color w:val="auto"/>
              </w:rPr>
            </w:pPr>
            <w:r>
              <w:rPr>
                <w:rFonts w:ascii="Arial" w:cs="Arial" w:eastAsia="Arial" w:hAnsi="Arial"/>
                <w:sz w:val="22"/>
                <w:szCs w:val="22"/>
                <w:color w:val="auto"/>
              </w:rPr>
              <w:t>) (ISIN</w:t>
            </w:r>
          </w:p>
        </w:tc>
        <w:tc>
          <w:tcPr>
            <w:tcW w:w="380" w:type="dxa"/>
            <w:vAlign w:val="bottom"/>
            <w:gridSpan w:val="3"/>
          </w:tcPr>
          <w:p>
            <w:pPr>
              <w:spacing w:after="0"/>
              <w:rPr>
                <w:sz w:val="22"/>
                <w:szCs w:val="22"/>
                <w:color w:val="auto"/>
              </w:rPr>
            </w:pPr>
          </w:p>
        </w:tc>
        <w:tc>
          <w:tcPr>
            <w:tcW w:w="3080" w:type="dxa"/>
            <w:vAlign w:val="bottom"/>
            <w:gridSpan w:val="5"/>
          </w:tcPr>
          <w:p>
            <w:pPr>
              <w:ind w:left="220"/>
              <w:spacing w:after="0"/>
              <w:rPr>
                <w:sz w:val="20"/>
                <w:szCs w:val="20"/>
                <w:color w:val="auto"/>
              </w:rPr>
            </w:pPr>
            <w:r>
              <w:rPr>
                <w:rFonts w:ascii="Arial" w:cs="Arial" w:eastAsia="Arial" w:hAnsi="Arial"/>
                <w:sz w:val="22"/>
                <w:szCs w:val="22"/>
                <w:color w:val="auto"/>
              </w:rPr>
              <w:t>) (Common Code</w:t>
            </w:r>
          </w:p>
        </w:tc>
        <w:tc>
          <w:tcPr>
            <w:tcW w:w="540" w:type="dxa"/>
            <w:vAlign w:val="bottom"/>
            <w:gridSpan w:val="3"/>
          </w:tcPr>
          <w:p>
            <w:pPr>
              <w:spacing w:after="0"/>
              <w:rPr>
                <w:sz w:val="20"/>
                <w:szCs w:val="20"/>
                <w:color w:val="auto"/>
              </w:rPr>
            </w:pPr>
            <w:r>
              <w:rPr>
                <w:rFonts w:ascii="Arial" w:cs="Arial" w:eastAsia="Arial" w:hAnsi="Arial"/>
                <w:sz w:val="22"/>
                <w:szCs w:val="22"/>
                <w:color w:val="auto"/>
              </w:rPr>
              <w:t>), or</w:t>
            </w:r>
          </w:p>
        </w:tc>
      </w:tr>
      <w:tr>
        <w:trPr>
          <w:trHeight w:val="20"/>
        </w:trPr>
        <w:tc>
          <w:tcPr>
            <w:tcW w:w="380" w:type="dxa"/>
            <w:vAlign w:val="bottom"/>
          </w:tcPr>
          <w:p>
            <w:pPr>
              <w:spacing w:after="0" w:line="20" w:lineRule="exact"/>
              <w:rPr>
                <w:sz w:val="1"/>
                <w:szCs w:val="1"/>
                <w:color w:val="auto"/>
              </w:rPr>
            </w:pPr>
          </w:p>
        </w:tc>
        <w:tc>
          <w:tcPr>
            <w:tcW w:w="4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4440" w:type="dxa"/>
            <w:vAlign w:val="bottom"/>
            <w:gridSpan w:val="2"/>
          </w:tcPr>
          <w:p>
            <w:pPr>
              <w:ind w:left="700"/>
              <w:spacing w:after="0" w:line="253" w:lineRule="exact"/>
              <w:rPr>
                <w:sz w:val="20"/>
                <w:szCs w:val="20"/>
                <w:color w:val="auto"/>
              </w:rPr>
            </w:pPr>
            <w:r>
              <w:rPr>
                <w:rFonts w:ascii="Arial" w:cs="Arial" w:eastAsia="Arial" w:hAnsi="Arial"/>
                <w:sz w:val="22"/>
                <w:szCs w:val="22"/>
                <w:color w:val="auto"/>
                <w:w w:val="94"/>
              </w:rPr>
              <w:t xml:space="preserve">(ii)  </w:t>
            </w:r>
            <w:r>
              <w:rPr>
                <w:rFonts w:ascii="MS PGothic" w:cs="MS PGothic" w:eastAsia="MS PGothic" w:hAnsi="MS PGothic"/>
                <w:sz w:val="22"/>
                <w:szCs w:val="22"/>
                <w:color w:val="auto"/>
                <w:w w:val="94"/>
              </w:rPr>
              <w:t>☐</w:t>
            </w:r>
            <w:r>
              <w:rPr>
                <w:rFonts w:ascii="Arial" w:cs="Arial" w:eastAsia="Arial" w:hAnsi="Arial"/>
                <w:sz w:val="22"/>
                <w:szCs w:val="22"/>
                <w:color w:val="auto"/>
                <w:w w:val="94"/>
              </w:rPr>
              <w:t xml:space="preserve"> Regulation S Global Note (CUSIP</w:t>
            </w:r>
          </w:p>
        </w:tc>
        <w:tc>
          <w:tcPr>
            <w:tcW w:w="480" w:type="dxa"/>
            <w:vAlign w:val="bottom"/>
            <w:gridSpan w:val="3"/>
          </w:tcPr>
          <w:p>
            <w:pPr>
              <w:spacing w:after="0"/>
              <w:rPr>
                <w:sz w:val="24"/>
                <w:szCs w:val="24"/>
                <w:color w:val="auto"/>
              </w:rPr>
            </w:pPr>
          </w:p>
        </w:tc>
        <w:tc>
          <w:tcPr>
            <w:tcW w:w="1100" w:type="dxa"/>
            <w:vAlign w:val="bottom"/>
            <w:gridSpan w:val="6"/>
          </w:tcPr>
          <w:p>
            <w:pPr>
              <w:ind w:left="180"/>
              <w:spacing w:after="0"/>
              <w:rPr>
                <w:sz w:val="20"/>
                <w:szCs w:val="20"/>
                <w:color w:val="auto"/>
              </w:rPr>
            </w:pPr>
            <w:r>
              <w:rPr>
                <w:rFonts w:ascii="Arial" w:cs="Arial" w:eastAsia="Arial" w:hAnsi="Arial"/>
                <w:sz w:val="22"/>
                <w:szCs w:val="22"/>
                <w:color w:val="auto"/>
              </w:rPr>
              <w:t>) (ISIN</w:t>
            </w:r>
          </w:p>
        </w:tc>
        <w:tc>
          <w:tcPr>
            <w:tcW w:w="22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Arial" w:cs="Arial" w:eastAsia="Arial" w:hAnsi="Arial"/>
                <w:sz w:val="22"/>
                <w:szCs w:val="22"/>
                <w:color w:val="auto"/>
              </w:rPr>
              <w:t>) (Common Code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22"/>
                <w:szCs w:val="22"/>
                <w:color w:val="auto"/>
                <w:w w:val="91"/>
              </w:rPr>
              <w:t>), or</w:t>
            </w:r>
          </w:p>
        </w:tc>
      </w:tr>
      <w:tr>
        <w:trPr>
          <w:trHeight w:val="527"/>
        </w:trPr>
        <w:tc>
          <w:tcPr>
            <w:tcW w:w="380" w:type="dxa"/>
            <w:vAlign w:val="bottom"/>
          </w:tcPr>
          <w:p>
            <w:pPr>
              <w:spacing w:after="0"/>
              <w:rPr>
                <w:sz w:val="24"/>
                <w:szCs w:val="24"/>
                <w:color w:val="auto"/>
              </w:rPr>
            </w:pPr>
          </w:p>
        </w:tc>
        <w:tc>
          <w:tcPr>
            <w:tcW w:w="4440" w:type="dxa"/>
            <w:vAlign w:val="bottom"/>
            <w:gridSpan w:val="2"/>
          </w:tcPr>
          <w:p>
            <w:pPr>
              <w:ind w:left="28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Physical Note.</w:t>
            </w:r>
          </w:p>
        </w:tc>
        <w:tc>
          <w:tcPr>
            <w:tcW w:w="480" w:type="dxa"/>
            <w:vAlign w:val="bottom"/>
            <w:tcBorders>
              <w:top w:val="single" w:sz="8" w:color="auto"/>
            </w:tcBorders>
            <w:gridSpan w:val="3"/>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435"/>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2.</w:t>
            </w:r>
          </w:p>
        </w:tc>
        <w:tc>
          <w:tcPr>
            <w:tcW w:w="4920" w:type="dxa"/>
            <w:vAlign w:val="bottom"/>
            <w:gridSpan w:val="5"/>
          </w:tcPr>
          <w:p>
            <w:pPr>
              <w:ind w:left="200"/>
              <w:spacing w:after="0"/>
              <w:rPr>
                <w:sz w:val="20"/>
                <w:szCs w:val="20"/>
                <w:color w:val="auto"/>
              </w:rPr>
            </w:pPr>
            <w:r>
              <w:rPr>
                <w:rFonts w:ascii="Arial" w:cs="Arial" w:eastAsia="Arial" w:hAnsi="Arial"/>
                <w:sz w:val="22"/>
                <w:szCs w:val="22"/>
                <w:color w:val="auto"/>
              </w:rPr>
              <w:t>After the Transfer the Transferee will hold: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gridSpan w:val="10"/>
          </w:tcPr>
          <w:p>
            <w:pPr>
              <w:ind w:left="120"/>
              <w:spacing w:after="0"/>
              <w:rPr>
                <w:sz w:val="20"/>
                <w:szCs w:val="20"/>
                <w:color w:val="auto"/>
              </w:rPr>
            </w:pPr>
            <w:r>
              <w:rPr>
                <w:rFonts w:ascii="Arial" w:cs="Arial" w:eastAsia="Arial" w:hAnsi="Arial"/>
                <w:sz w:val="22"/>
                <w:szCs w:val="22"/>
                <w:color w:val="auto"/>
              </w:rPr>
              <w:t>[CHECK ONE]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97"/>
        </w:trPr>
        <w:tc>
          <w:tcPr>
            <w:tcW w:w="380" w:type="dxa"/>
            <w:vAlign w:val="bottom"/>
          </w:tcPr>
          <w:p>
            <w:pPr>
              <w:spacing w:after="0"/>
              <w:rPr>
                <w:sz w:val="24"/>
                <w:szCs w:val="24"/>
                <w:color w:val="auto"/>
              </w:rPr>
            </w:pPr>
          </w:p>
        </w:tc>
        <w:tc>
          <w:tcPr>
            <w:tcW w:w="4920" w:type="dxa"/>
            <w:vAlign w:val="bottom"/>
            <w:gridSpan w:val="5"/>
          </w:tcPr>
          <w:p>
            <w:pPr>
              <w:ind w:left="2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8"/>
        </w:trPr>
        <w:tc>
          <w:tcPr>
            <w:tcW w:w="380" w:type="dxa"/>
            <w:vAlign w:val="bottom"/>
          </w:tcPr>
          <w:p>
            <w:pPr>
              <w:spacing w:after="0"/>
              <w:rPr>
                <w:sz w:val="24"/>
                <w:szCs w:val="24"/>
                <w:color w:val="auto"/>
              </w:rPr>
            </w:pPr>
          </w:p>
        </w:tc>
        <w:tc>
          <w:tcPr>
            <w:tcW w:w="4320" w:type="dxa"/>
            <w:vAlign w:val="bottom"/>
          </w:tcPr>
          <w:p>
            <w:pPr>
              <w:ind w:left="700"/>
              <w:spacing w:after="0" w:line="253" w:lineRule="exact"/>
              <w:rPr>
                <w:sz w:val="20"/>
                <w:szCs w:val="20"/>
                <w:color w:val="auto"/>
              </w:rPr>
            </w:pPr>
            <w:r>
              <w:rPr>
                <w:rFonts w:ascii="Arial" w:cs="Arial" w:eastAsia="Arial" w:hAnsi="Arial"/>
                <w:sz w:val="22"/>
                <w:szCs w:val="22"/>
                <w:color w:val="auto"/>
                <w:w w:val="96"/>
              </w:rPr>
              <w:t xml:space="preserve">(i)   </w:t>
            </w:r>
            <w:r>
              <w:rPr>
                <w:rFonts w:ascii="MS PGothic" w:cs="MS PGothic" w:eastAsia="MS PGothic" w:hAnsi="MS PGothic"/>
                <w:sz w:val="22"/>
                <w:szCs w:val="22"/>
                <w:color w:val="auto"/>
                <w:w w:val="96"/>
              </w:rPr>
              <w:t>☐</w:t>
            </w:r>
            <w:r>
              <w:rPr>
                <w:rFonts w:ascii="Arial" w:cs="Arial" w:eastAsia="Arial" w:hAnsi="Arial"/>
                <w:sz w:val="22"/>
                <w:szCs w:val="22"/>
                <w:color w:val="auto"/>
                <w:w w:val="96"/>
              </w:rPr>
              <w:t xml:space="preserve"> Rule 144A Global Note (CUSIP</w:t>
            </w:r>
          </w:p>
        </w:tc>
        <w:tc>
          <w:tcPr>
            <w:tcW w:w="600" w:type="dxa"/>
            <w:vAlign w:val="bottom"/>
            <w:gridSpan w:val="4"/>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22"/>
                <w:szCs w:val="22"/>
                <w:color w:val="auto"/>
              </w:rPr>
              <w:t>) (ISIN</w:t>
            </w:r>
          </w:p>
        </w:tc>
        <w:tc>
          <w:tcPr>
            <w:tcW w:w="3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ind w:left="40"/>
              <w:spacing w:after="0"/>
              <w:rPr>
                <w:sz w:val="20"/>
                <w:szCs w:val="20"/>
                <w:color w:val="auto"/>
              </w:rPr>
            </w:pPr>
            <w:r>
              <w:rPr>
                <w:rFonts w:ascii="Arial" w:cs="Arial" w:eastAsia="Arial" w:hAnsi="Arial"/>
                <w:sz w:val="22"/>
                <w:szCs w:val="22"/>
                <w:color w:val="auto"/>
                <w:w w:val="89"/>
              </w:rPr>
              <w:t>) (Common Code _</w:t>
            </w:r>
          </w:p>
        </w:tc>
        <w:tc>
          <w:tcPr>
            <w:tcW w:w="1100" w:type="dxa"/>
            <w:vAlign w:val="bottom"/>
          </w:tcPr>
          <w:p>
            <w:pPr>
              <w:spacing w:after="0"/>
              <w:rPr>
                <w:sz w:val="24"/>
                <w:szCs w:val="24"/>
                <w:color w:val="auto"/>
              </w:rPr>
            </w:pPr>
          </w:p>
        </w:tc>
        <w:tc>
          <w:tcPr>
            <w:tcW w:w="540" w:type="dxa"/>
            <w:vAlign w:val="bottom"/>
            <w:gridSpan w:val="3"/>
          </w:tcPr>
          <w:p>
            <w:pPr>
              <w:jc w:val="center"/>
              <w:ind w:left="32"/>
              <w:spacing w:after="0"/>
              <w:rPr>
                <w:sz w:val="20"/>
                <w:szCs w:val="20"/>
                <w:color w:val="auto"/>
              </w:rPr>
            </w:pPr>
            <w:r>
              <w:rPr>
                <w:rFonts w:ascii="Arial" w:cs="Arial" w:eastAsia="Arial" w:hAnsi="Arial"/>
                <w:sz w:val="22"/>
                <w:szCs w:val="22"/>
                <w:color w:val="auto"/>
                <w:w w:val="91"/>
              </w:rPr>
              <w:t>), or</w:t>
            </w:r>
          </w:p>
        </w:tc>
      </w:tr>
      <w:tr>
        <w:trPr>
          <w:trHeight w:val="20"/>
        </w:trPr>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4520" w:type="dxa"/>
            <w:vAlign w:val="bottom"/>
            <w:gridSpan w:val="4"/>
          </w:tcPr>
          <w:p>
            <w:pPr>
              <w:ind w:left="700"/>
              <w:spacing w:after="0" w:line="253" w:lineRule="exact"/>
              <w:rPr>
                <w:sz w:val="20"/>
                <w:szCs w:val="20"/>
                <w:color w:val="auto"/>
              </w:rPr>
            </w:pPr>
            <w:r>
              <w:rPr>
                <w:rFonts w:ascii="Arial" w:cs="Arial" w:eastAsia="Arial" w:hAnsi="Arial"/>
                <w:sz w:val="22"/>
                <w:szCs w:val="22"/>
                <w:color w:val="auto"/>
                <w:w w:val="95"/>
              </w:rPr>
              <w:t xml:space="preserve">(ii)   </w:t>
            </w: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Regulation S Global Note (CUSIP</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22"/>
                <w:szCs w:val="22"/>
                <w:color w:val="auto"/>
                <w:w w:val="93"/>
              </w:rPr>
              <w:t>)(ISIN</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22"/>
                <w:szCs w:val="22"/>
                <w:color w:val="auto"/>
                <w:w w:val="91"/>
              </w:rPr>
              <w:t>) (Common Code</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22"/>
                <w:szCs w:val="22"/>
                <w:color w:val="auto"/>
                <w:w w:val="91"/>
              </w:rPr>
              <w:t>), or</w:t>
            </w:r>
          </w:p>
        </w:tc>
      </w:tr>
      <w:tr>
        <w:trPr>
          <w:trHeight w:val="453"/>
        </w:trPr>
        <w:tc>
          <w:tcPr>
            <w:tcW w:w="380" w:type="dxa"/>
            <w:vAlign w:val="bottom"/>
          </w:tcPr>
          <w:p>
            <w:pPr>
              <w:spacing w:after="0"/>
              <w:rPr>
                <w:sz w:val="24"/>
                <w:szCs w:val="24"/>
                <w:color w:val="auto"/>
              </w:rPr>
            </w:pPr>
          </w:p>
        </w:tc>
        <w:tc>
          <w:tcPr>
            <w:tcW w:w="4460" w:type="dxa"/>
            <w:vAlign w:val="bottom"/>
            <w:gridSpan w:val="3"/>
          </w:tcPr>
          <w:p>
            <w:pPr>
              <w:ind w:left="700"/>
              <w:spacing w:after="0" w:line="253" w:lineRule="exact"/>
              <w:rPr>
                <w:sz w:val="20"/>
                <w:szCs w:val="20"/>
                <w:color w:val="auto"/>
              </w:rPr>
            </w:pPr>
            <w:r>
              <w:rPr>
                <w:rFonts w:ascii="Arial" w:cs="Arial" w:eastAsia="Arial" w:hAnsi="Arial"/>
                <w:sz w:val="22"/>
                <w:szCs w:val="22"/>
                <w:color w:val="auto"/>
                <w:w w:val="95"/>
              </w:rPr>
              <w:t xml:space="preserve">(iii)  </w:t>
            </w: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Unrestricted Global Note (CUSIP</w:t>
            </w:r>
          </w:p>
        </w:tc>
        <w:tc>
          <w:tcPr>
            <w:tcW w:w="4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22"/>
                <w:szCs w:val="22"/>
                <w:color w:val="auto"/>
                <w:w w:val="94"/>
              </w:rPr>
              <w:t>) (ISIN</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22"/>
                <w:szCs w:val="22"/>
                <w:color w:val="auto"/>
                <w:w w:val="91"/>
              </w:rPr>
              <w:t>) (Common Code</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22"/>
                <w:szCs w:val="22"/>
                <w:color w:val="auto"/>
                <w:w w:val="91"/>
              </w:rPr>
              <w:t>), or</w:t>
            </w:r>
          </w:p>
        </w:tc>
      </w:tr>
    </w:tbl>
    <w:p>
      <w:pPr>
        <w:spacing w:after="0" w:line="195" w:lineRule="exact"/>
        <w:rPr>
          <w:sz w:val="20"/>
          <w:szCs w:val="20"/>
          <w:color w:val="auto"/>
        </w:rPr>
      </w:pPr>
    </w:p>
    <w:p>
      <w:pPr>
        <w:ind w:left="1140" w:hanging="475"/>
        <w:spacing w:after="0" w:line="253" w:lineRule="exact"/>
        <w:tabs>
          <w:tab w:leader="none" w:pos="1140" w:val="left"/>
        </w:tabs>
        <w:numPr>
          <w:ilvl w:val="0"/>
          <w:numId w:val="17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Physical Note; or</w:t>
      </w:r>
    </w:p>
    <w:p>
      <w:pPr>
        <w:spacing w:after="0" w:line="219" w:lineRule="exact"/>
        <w:rPr>
          <w:rFonts w:ascii="Arial" w:cs="Arial" w:eastAsia="Arial" w:hAnsi="Arial"/>
          <w:sz w:val="22"/>
          <w:szCs w:val="22"/>
          <w:color w:val="auto"/>
        </w:rPr>
      </w:pPr>
    </w:p>
    <w:p>
      <w:pPr>
        <w:ind w:left="1120" w:hanging="455"/>
        <w:spacing w:after="0" w:line="253" w:lineRule="exact"/>
        <w:tabs>
          <w:tab w:leader="none" w:pos="1120" w:val="left"/>
        </w:tabs>
        <w:numPr>
          <w:ilvl w:val="0"/>
          <w:numId w:val="17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Unrestricted Physical Note,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139"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0020"/>
          </w:cols>
          <w:pgMar w:left="440" w:top="261" w:right="14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CERTIFICATE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Crown European Holdings S.A.</w:t>
      </w:r>
    </w:p>
    <w:p>
      <w:pPr>
        <w:spacing w:after="0" w:line="238" w:lineRule="auto"/>
        <w:rPr>
          <w:sz w:val="20"/>
          <w:szCs w:val="20"/>
          <w:color w:val="auto"/>
        </w:rPr>
      </w:pPr>
      <w:r>
        <w:rPr>
          <w:rFonts w:ascii="Arial" w:cs="Arial" w:eastAsia="Arial" w:hAnsi="Arial"/>
          <w:sz w:val="22"/>
          <w:szCs w:val="22"/>
          <w:color w:val="auto"/>
        </w:rPr>
        <w:t>67 Rue Arago</w:t>
      </w:r>
    </w:p>
    <w:p>
      <w:pPr>
        <w:spacing w:after="0"/>
        <w:rPr>
          <w:sz w:val="20"/>
          <w:szCs w:val="20"/>
          <w:color w:val="auto"/>
        </w:rPr>
      </w:pPr>
      <w:r>
        <w:rPr>
          <w:rFonts w:ascii="Arial" w:cs="Arial" w:eastAsia="Arial" w:hAnsi="Arial"/>
          <w:sz w:val="22"/>
          <w:szCs w:val="22"/>
          <w:color w:val="auto"/>
        </w:rPr>
        <w:t>93400 Saint-Ouen, France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Elavon Financial Services DAC, as Transfer Agent</w:t>
      </w:r>
    </w:p>
    <w:p>
      <w:pPr>
        <w:spacing w:after="0" w:line="238" w:lineRule="auto"/>
        <w:rPr>
          <w:sz w:val="20"/>
          <w:szCs w:val="20"/>
          <w:color w:val="auto"/>
        </w:rPr>
      </w:pPr>
      <w:r>
        <w:rPr>
          <w:rFonts w:ascii="Arial" w:cs="Arial" w:eastAsia="Arial" w:hAnsi="Arial"/>
          <w:sz w:val="22"/>
          <w:szCs w:val="22"/>
          <w:color w:val="auto"/>
        </w:rPr>
        <w:t>Building 8, Cherrywood Business Park</w:t>
      </w:r>
    </w:p>
    <w:p>
      <w:pPr>
        <w:spacing w:after="0" w:line="230" w:lineRule="auto"/>
        <w:rPr>
          <w:sz w:val="20"/>
          <w:szCs w:val="20"/>
          <w:color w:val="auto"/>
        </w:rPr>
      </w:pPr>
      <w:r>
        <w:rPr>
          <w:rFonts w:ascii="Arial" w:cs="Arial" w:eastAsia="Arial" w:hAnsi="Arial"/>
          <w:sz w:val="22"/>
          <w:szCs w:val="22"/>
          <w:color w:val="auto"/>
        </w:rPr>
        <w:t>Loughlinstown, Dublin 18,</w:t>
      </w:r>
    </w:p>
    <w:p>
      <w:pPr>
        <w:spacing w:after="0" w:line="231" w:lineRule="auto"/>
        <w:rPr>
          <w:sz w:val="20"/>
          <w:szCs w:val="20"/>
          <w:color w:val="auto"/>
        </w:rPr>
      </w:pPr>
      <w:r>
        <w:rPr>
          <w:rFonts w:ascii="Arial" w:cs="Arial" w:eastAsia="Arial" w:hAnsi="Arial"/>
          <w:sz w:val="22"/>
          <w:szCs w:val="22"/>
          <w:color w:val="auto"/>
        </w:rPr>
        <w:t>D18 W319 Ireland</w:t>
      </w:r>
    </w:p>
    <w:p>
      <w:pPr>
        <w:spacing w:after="0" w:line="231" w:lineRule="auto"/>
        <w:tabs>
          <w:tab w:leader="none" w:pos="1140" w:val="left"/>
          <w:tab w:leader="none" w:pos="2280" w:val="left"/>
        </w:tabs>
        <w:rPr>
          <w:sz w:val="20"/>
          <w:szCs w:val="20"/>
          <w:color w:val="auto"/>
        </w:rPr>
      </w:pPr>
      <w:r>
        <w:rPr>
          <w:rFonts w:ascii="Arial" w:cs="Arial" w:eastAsia="Arial" w:hAnsi="Arial"/>
          <w:sz w:val="22"/>
          <w:szCs w:val="22"/>
          <w:color w:val="auto"/>
        </w:rPr>
        <w:t>Attention:</w:t>
        <w:tab/>
        <w:t>[</w:t>
      </w:r>
      <w:r>
        <w:rPr>
          <w:sz w:val="20"/>
          <w:szCs w:val="20"/>
          <w:color w:val="auto"/>
        </w:rPr>
        <w:tab/>
      </w:r>
      <w:r>
        <w:rPr>
          <w:rFonts w:ascii="Arial" w:cs="Arial" w:eastAsia="Arial" w:hAnsi="Arial"/>
          <w:sz w:val="22"/>
          <w:szCs w:val="22"/>
          <w:color w:val="auto"/>
        </w:rPr>
        <w:t>]</w:t>
      </w:r>
    </w:p>
    <w:p>
      <w:pPr>
        <w:ind w:left="1180"/>
        <w:spacing w:after="0"/>
        <w:rPr>
          <w:sz w:val="20"/>
          <w:szCs w:val="20"/>
          <w:color w:val="auto"/>
        </w:rPr>
      </w:pPr>
      <w:r>
        <w:rPr>
          <w:rFonts w:ascii="Arial" w:cs="Arial" w:eastAsia="Arial" w:hAnsi="Arial"/>
          <w:sz w:val="22"/>
          <w:szCs w:val="22"/>
          <w:color w:val="auto"/>
        </w:rPr>
        <w:t>re: Crown European Holdings S.A.</w:t>
      </w:r>
    </w:p>
    <w:p>
      <w:pPr>
        <w:spacing w:after="0" w:line="378" w:lineRule="exact"/>
        <w:rPr>
          <w:sz w:val="20"/>
          <w:szCs w:val="20"/>
          <w:color w:val="auto"/>
        </w:rPr>
      </w:pPr>
    </w:p>
    <w:p>
      <w:pPr>
        <w:jc w:val="center"/>
        <w:spacing w:after="0" w:line="253" w:lineRule="exact"/>
        <w:tabs>
          <w:tab w:leader="none" w:pos="200" w:val="left"/>
        </w:tabs>
        <w:rPr>
          <w:sz w:val="20"/>
          <w:szCs w:val="20"/>
          <w:color w:val="auto"/>
        </w:rPr>
      </w:pPr>
      <w:r>
        <w:rPr>
          <w:rFonts w:ascii="Arial" w:cs="Arial" w:eastAsia="Arial" w:hAnsi="Arial"/>
          <w:sz w:val="22"/>
          <w:szCs w:val="22"/>
          <w:color w:val="auto"/>
        </w:rPr>
        <w:t>Re: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0.750% Senior Notes due 2023</w:t>
      </w:r>
    </w:p>
    <w:p>
      <w:pPr>
        <w:spacing w:after="0" w:line="200" w:lineRule="exact"/>
        <w:rPr>
          <w:sz w:val="20"/>
          <w:szCs w:val="20"/>
          <w:color w:val="auto"/>
        </w:rPr>
      </w:pPr>
    </w:p>
    <w:p>
      <w:pPr>
        <w:spacing w:after="0" w:line="301"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40" w:type="dxa"/>
            <w:vAlign w:val="bottom"/>
            <w:gridSpan w:val="2"/>
          </w:tcPr>
          <w:p>
            <w:pPr>
              <w:spacing w:after="0"/>
              <w:rPr>
                <w:sz w:val="20"/>
                <w:szCs w:val="20"/>
                <w:color w:val="auto"/>
              </w:rPr>
            </w:pPr>
            <w:r>
              <w:rPr>
                <w:rFonts w:ascii="Arial" w:cs="Arial" w:eastAsia="Arial" w:hAnsi="Arial"/>
                <w:sz w:val="22"/>
                <w:szCs w:val="22"/>
                <w:color w:val="auto"/>
                <w:w w:val="96"/>
              </w:rPr>
              <w:t>(CUSIP</w:t>
            </w:r>
          </w:p>
        </w:tc>
        <w:tc>
          <w:tcPr>
            <w:tcW w:w="7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540" w:type="dxa"/>
            <w:vAlign w:val="bottom"/>
          </w:tcPr>
          <w:p>
            <w:pPr>
              <w:spacing w:after="0" w:line="237" w:lineRule="exact"/>
              <w:rPr>
                <w:sz w:val="20"/>
                <w:szCs w:val="20"/>
                <w:color w:val="auto"/>
              </w:rPr>
            </w:pPr>
            <w:r>
              <w:rPr>
                <w:rFonts w:ascii="Arial" w:cs="Arial" w:eastAsia="Arial" w:hAnsi="Arial"/>
                <w:sz w:val="22"/>
                <w:szCs w:val="22"/>
                <w:color w:val="auto"/>
              </w:rPr>
              <w:t>(ISIN</w:t>
            </w:r>
          </w:p>
        </w:tc>
        <w:tc>
          <w:tcPr>
            <w:tcW w:w="2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r>
      <w:tr>
        <w:trPr>
          <w:trHeight w:val="20"/>
        </w:trPr>
        <w:tc>
          <w:tcPr>
            <w:tcW w:w="5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37"/>
        </w:trPr>
        <w:tc>
          <w:tcPr>
            <w:tcW w:w="1440" w:type="dxa"/>
            <w:vAlign w:val="bottom"/>
            <w:gridSpan w:val="3"/>
          </w:tcPr>
          <w:p>
            <w:pPr>
              <w:spacing w:after="0" w:line="237" w:lineRule="exact"/>
              <w:rPr>
                <w:sz w:val="20"/>
                <w:szCs w:val="20"/>
                <w:color w:val="auto"/>
              </w:rPr>
            </w:pPr>
            <w:r>
              <w:rPr>
                <w:rFonts w:ascii="Arial" w:cs="Arial" w:eastAsia="Arial" w:hAnsi="Arial"/>
                <w:sz w:val="22"/>
                <w:szCs w:val="22"/>
                <w:color w:val="auto"/>
                <w:w w:val="91"/>
              </w:rPr>
              <w:t>(Common Code</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Reference is hereby made to the Indenture, dated as of October 31, 2019 (the “</w:t>
      </w:r>
      <w:r>
        <w:rPr>
          <w:rFonts w:ascii="Arial" w:cs="Arial" w:eastAsia="Arial" w:hAnsi="Arial"/>
          <w:sz w:val="22"/>
          <w:szCs w:val="22"/>
          <w:u w:val="single" w:color="auto"/>
          <w:color w:val="auto"/>
        </w:rPr>
        <w:t>Indenture</w:t>
      </w:r>
      <w:r>
        <w:rPr>
          <w:rFonts w:ascii="Arial" w:cs="Arial" w:eastAsia="Arial" w:hAnsi="Arial"/>
          <w:sz w:val="22"/>
          <w:szCs w:val="22"/>
          <w:color w:val="auto"/>
        </w:rPr>
        <w:t>”), by and among Crown European Holdings S.A., as issuer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U.S. Bank National Association, as trustee, Elavon Financial Services DAC, as paying agent, registrar and transfer agent. Capitalized terms used but not defined herein shall have the meanings given to them in the Indenture.</w:t>
      </w:r>
    </w:p>
    <w:p>
      <w:pPr>
        <w:spacing w:after="0" w:line="18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Owner</w:t>
      </w:r>
      <w:r>
        <w:rPr>
          <w:rFonts w:ascii="Arial" w:cs="Arial" w:eastAsia="Arial" w:hAnsi="Arial"/>
          <w:sz w:val="19"/>
          <w:szCs w:val="19"/>
          <w:color w:val="auto"/>
        </w:rPr>
        <w:t>”) owns and proposes to exchange the Note[s] or interest in such Note[s]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3810</wp:posOffset>
            </wp:positionV>
            <wp:extent cx="6858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 w:lineRule="exact"/>
        <w:rPr>
          <w:sz w:val="20"/>
          <w:szCs w:val="20"/>
          <w:color w:val="auto"/>
        </w:rPr>
      </w:pPr>
    </w:p>
    <w:p>
      <w:pPr>
        <w:ind w:right="40"/>
        <w:spacing w:after="0" w:line="237" w:lineRule="auto"/>
        <w:rPr>
          <w:sz w:val="20"/>
          <w:szCs w:val="20"/>
          <w:color w:val="auto"/>
        </w:rPr>
      </w:pPr>
      <w:r>
        <w:rPr>
          <w:rFonts w:ascii="Arial" w:cs="Arial" w:eastAsia="Arial" w:hAnsi="Arial"/>
          <w:sz w:val="22"/>
          <w:szCs w:val="22"/>
          <w:color w:val="auto"/>
        </w:rPr>
        <w:t>herein, in the principal amount of in such Note[s] or interests (the “</w:t>
      </w:r>
      <w:r>
        <w:rPr>
          <w:rFonts w:ascii="Arial" w:cs="Arial" w:eastAsia="Arial" w:hAnsi="Arial"/>
          <w:sz w:val="22"/>
          <w:szCs w:val="22"/>
          <w:u w:val="single" w:color="auto"/>
          <w:color w:val="auto"/>
        </w:rPr>
        <w:t>Exchange</w:t>
      </w:r>
      <w:r>
        <w:rPr>
          <w:rFonts w:ascii="Arial" w:cs="Arial" w:eastAsia="Arial" w:hAnsi="Arial"/>
          <w:sz w:val="22"/>
          <w:szCs w:val="22"/>
          <w:color w:val="auto"/>
        </w:rPr>
        <w:t>”). In connection with the Exchange, the Owner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-186055</wp:posOffset>
            </wp:positionV>
            <wp:extent cx="6858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9" w:lineRule="exact"/>
        <w:rPr>
          <w:sz w:val="20"/>
          <w:szCs w:val="20"/>
          <w:color w:val="auto"/>
        </w:rPr>
      </w:pPr>
    </w:p>
    <w:p>
      <w:pPr>
        <w:ind w:right="700" w:firstLine="4"/>
        <w:spacing w:after="0" w:line="256" w:lineRule="auto"/>
        <w:tabs>
          <w:tab w:leader="none" w:pos="594" w:val="left"/>
        </w:tabs>
        <w:numPr>
          <w:ilvl w:val="0"/>
          <w:numId w:val="175"/>
        </w:numPr>
        <w:rPr>
          <w:rFonts w:ascii="Arial" w:cs="Arial" w:eastAsia="Arial" w:hAnsi="Arial"/>
          <w:sz w:val="22"/>
          <w:szCs w:val="22"/>
          <w:color w:val="auto"/>
        </w:rPr>
      </w:pPr>
      <w:r>
        <w:rPr>
          <w:rFonts w:ascii="Arial" w:cs="Arial" w:eastAsia="Arial" w:hAnsi="Arial"/>
          <w:sz w:val="22"/>
          <w:szCs w:val="22"/>
          <w:b w:val="1"/>
          <w:bCs w:val="1"/>
          <w:color w:val="auto"/>
        </w:rPr>
        <w:t>Exchange of Restricted Physical Notes or Beneficial Interests in a Restricted Global Note for Unrestricted Physical Notes or Beneficial Interests in an Unrestricted Global Note</w:t>
      </w:r>
    </w:p>
    <w:p>
      <w:pPr>
        <w:spacing w:after="0" w:line="142" w:lineRule="exact"/>
        <w:rPr>
          <w:rFonts w:ascii="Arial" w:cs="Arial" w:eastAsia="Arial" w:hAnsi="Arial"/>
          <w:sz w:val="22"/>
          <w:szCs w:val="22"/>
          <w:color w:val="auto"/>
        </w:rPr>
      </w:pPr>
    </w:p>
    <w:p>
      <w:pPr>
        <w:ind w:right="240" w:firstLine="1436"/>
        <w:spacing w:after="0" w:line="263" w:lineRule="exact"/>
        <w:tabs>
          <w:tab w:leader="none" w:pos="1997" w:val="left"/>
        </w:tabs>
        <w:numPr>
          <w:ilvl w:val="1"/>
          <w:numId w:val="175"/>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Exchange is from beneficial interest in a Restricted Global Note to beneficial</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interest in an Unrestricted Global Note</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Exchange of the Owner’s beneficial interest in a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Global Note for a beneficial interest in an Unrestricted Global Note in an equal principal amount, the Owner hereby certifies</w:t>
      </w:r>
    </w:p>
    <w:p>
      <w:pPr>
        <w:ind w:right="100"/>
        <w:spacing w:after="0" w:line="237" w:lineRule="auto"/>
        <w:rPr>
          <w:rFonts w:ascii="Arial" w:cs="Arial" w:eastAsia="Arial" w:hAnsi="Arial"/>
          <w:sz w:val="19"/>
          <w:szCs w:val="19"/>
          <w:color w:val="auto"/>
        </w:rPr>
      </w:pPr>
      <w:r>
        <w:rPr>
          <w:rFonts w:ascii="Arial" w:cs="Arial" w:eastAsia="Arial" w:hAnsi="Arial"/>
          <w:sz w:val="22"/>
          <w:szCs w:val="22"/>
          <w:color w:val="auto"/>
        </w:rPr>
        <w:t>(i) the beneficial interest is being acquired for the Owner’s own account without transfer, (ii) such Exchange has been effected in compliance with the transfer restrictions applicable 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w:t>
      </w:r>
    </w:p>
    <w:p>
      <w:pPr>
        <w:sectPr>
          <w:pgSz w:w="11900" w:h="16838" w:orient="portrait"/>
          <w:cols w:equalWidth="0" w:num="1">
            <w:col w:w="11020"/>
          </w:cols>
          <w:pgMar w:left="440" w:top="267" w:right="439" w:bottom="1440" w:gutter="0" w:footer="0" w:header="0"/>
        </w:sectPr>
      </w:pPr>
    </w:p>
    <w:bookmarkStart w:id="175" w:name="page176"/>
    <w:bookmarkEnd w:id="175"/>
    <w:p>
      <w:pPr>
        <w:ind w:right="20"/>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Notes and pursuant to and in accordance with the United States Securities Act of 1933, as amended (the “</w:t>
      </w: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17" w:lineRule="exact"/>
        <w:rPr>
          <w:sz w:val="20"/>
          <w:szCs w:val="20"/>
          <w:color w:val="auto"/>
        </w:rPr>
      </w:pPr>
    </w:p>
    <w:p>
      <w:pPr>
        <w:ind w:firstLine="1436"/>
        <w:spacing w:after="0" w:line="253" w:lineRule="exact"/>
        <w:tabs>
          <w:tab w:leader="none" w:pos="2009" w:val="left"/>
        </w:tabs>
        <w:numPr>
          <w:ilvl w:val="1"/>
          <w:numId w:val="17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Exchange is from Restricted Physical Note to beneficial interest in an Unrestricted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Global Note</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Owner’s Exchange of a Restricted Physical Note for a beneficial interest in an</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w:t>
      </w:r>
    </w:p>
    <w:p>
      <w:pPr>
        <w:spacing w:after="0" w:line="3" w:lineRule="exact"/>
        <w:rPr>
          <w:rFonts w:ascii="Arial" w:cs="Arial" w:eastAsia="Arial" w:hAnsi="Arial"/>
          <w:sz w:val="19"/>
          <w:szCs w:val="19"/>
          <w:color w:val="auto"/>
        </w:rPr>
      </w:pPr>
    </w:p>
    <w:p>
      <w:pPr>
        <w:ind w:right="500" w:firstLine="4"/>
        <w:spacing w:after="0" w:line="237" w:lineRule="auto"/>
        <w:tabs>
          <w:tab w:leader="none" w:pos="36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beneficial interest is being acquired in compliance with any applicable blue sky securities laws of any state of the United States.</w:t>
      </w:r>
    </w:p>
    <w:p>
      <w:pPr>
        <w:spacing w:after="0" w:line="158" w:lineRule="exact"/>
        <w:rPr>
          <w:rFonts w:ascii="Arial" w:cs="Arial" w:eastAsia="Arial" w:hAnsi="Arial"/>
          <w:sz w:val="22"/>
          <w:szCs w:val="22"/>
          <w:color w:val="auto"/>
        </w:rPr>
      </w:pPr>
    </w:p>
    <w:p>
      <w:pPr>
        <w:ind w:right="80" w:firstLine="1436"/>
        <w:spacing w:after="0" w:line="254" w:lineRule="exact"/>
        <w:tabs>
          <w:tab w:leader="none" w:pos="1997" w:val="left"/>
        </w:tabs>
        <w:numPr>
          <w:ilvl w:val="1"/>
          <w:numId w:val="17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Exchange is from Restricted Physical Note to Unrestricted Physical Note</w:t>
      </w:r>
      <w:r>
        <w:rPr>
          <w:rFonts w:ascii="Arial" w:cs="Arial" w:eastAsia="Arial" w:hAnsi="Arial"/>
          <w:sz w:val="19"/>
          <w:szCs w:val="19"/>
          <w:b w:val="1"/>
          <w:bCs w:val="1"/>
          <w:color w:val="auto"/>
        </w:rPr>
        <w:t xml:space="preserv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80" w:lineRule="exact"/>
        <w:rPr>
          <w:sz w:val="20"/>
          <w:szCs w:val="20"/>
          <w:color w:val="auto"/>
        </w:rPr>
      </w:pPr>
    </w:p>
    <w:p>
      <w:pPr>
        <w:ind w:left="600" w:hanging="596"/>
        <w:spacing w:after="0"/>
        <w:tabs>
          <w:tab w:leader="none" w:pos="600" w:val="left"/>
        </w:tabs>
        <w:numPr>
          <w:ilvl w:val="0"/>
          <w:numId w:val="178"/>
        </w:numPr>
        <w:rPr>
          <w:rFonts w:ascii="Arial" w:cs="Arial" w:eastAsia="Arial" w:hAnsi="Arial"/>
          <w:sz w:val="19"/>
          <w:szCs w:val="19"/>
          <w:color w:val="auto"/>
        </w:rPr>
      </w:pPr>
      <w:r>
        <w:rPr>
          <w:rFonts w:ascii="Arial" w:cs="Arial" w:eastAsia="Arial" w:hAnsi="Arial"/>
          <w:sz w:val="19"/>
          <w:szCs w:val="19"/>
          <w:b w:val="1"/>
          <w:bCs w:val="1"/>
          <w:color w:val="auto"/>
        </w:rPr>
        <w:t>Exchange of Restricted Physical Notes for Restricted Physical Notes or Beneficial Interests in Restricted Global</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Notes.</w:t>
      </w:r>
    </w:p>
    <w:p>
      <w:pPr>
        <w:spacing w:after="0" w:line="161" w:lineRule="exact"/>
        <w:rPr>
          <w:rFonts w:ascii="Arial" w:cs="Arial" w:eastAsia="Arial" w:hAnsi="Arial"/>
          <w:sz w:val="19"/>
          <w:szCs w:val="19"/>
          <w:color w:val="auto"/>
        </w:rPr>
      </w:pPr>
    </w:p>
    <w:p>
      <w:pPr>
        <w:ind w:right="80" w:firstLine="1436"/>
        <w:spacing w:after="0" w:line="251" w:lineRule="exact"/>
        <w:tabs>
          <w:tab w:leader="none" w:pos="1997" w:val="left"/>
        </w:tabs>
        <w:numPr>
          <w:ilvl w:val="1"/>
          <w:numId w:val="17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Exchange is from Restricted Physical Note to beneficial interest in a 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Global Note</w:t>
      </w:r>
      <w:r>
        <w:rPr>
          <w:rFonts w:ascii="Arial" w:cs="Arial" w:eastAsia="Arial" w:hAnsi="Arial"/>
          <w:sz w:val="19"/>
          <w:szCs w:val="19"/>
          <w:color w:val="auto"/>
        </w:rPr>
        <w:t>. In connection with the Exchange of the Owner’s Restricted Physical Note for a beneficial interest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G-2</w:t>
      </w:r>
    </w:p>
    <w:p>
      <w:pPr>
        <w:sectPr>
          <w:pgSz w:w="11900" w:h="16838" w:orient="portrait"/>
          <w:cols w:equalWidth="0" w:num="1">
            <w:col w:w="10980"/>
          </w:cols>
          <w:pgMar w:left="440" w:top="267" w:right="47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certificate and the statements contained herein are made for your benefit and the benefit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273050</wp:posOffset>
            </wp:positionV>
            <wp:extent cx="27959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[Insert Name of Owner]</w:t>
      </w:r>
    </w:p>
    <w:p>
      <w:pPr>
        <w:spacing w:after="0" w:line="37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-6350</wp:posOffset>
            </wp:positionV>
            <wp:extent cx="24872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0"/>
          <w:szCs w:val="20"/>
          <w:color w:val="auto"/>
        </w:rPr>
        <w:t>Name:</w:t>
      </w:r>
    </w:p>
    <w:p>
      <w:pPr>
        <w:ind w:left="7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-17780</wp:posOffset>
            </wp:positionV>
            <wp:extent cx="6858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G-3</w:t>
      </w:r>
    </w:p>
    <w:p>
      <w:pPr>
        <w:sectPr>
          <w:pgSz w:w="11900" w:h="16838" w:orient="portrait"/>
          <w:cols w:equalWidth="0" w:num="1">
            <w:col w:w="10620"/>
          </w:cols>
          <w:pgMar w:left="440" w:top="266" w:right="8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CERTIFICATE FROM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ACQUIRING INSTITUTIONAL ACCREDITED INVESTOR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Crown European Holdings S.A.</w:t>
      </w:r>
    </w:p>
    <w:p>
      <w:pPr>
        <w:spacing w:after="0" w:line="238" w:lineRule="auto"/>
        <w:rPr>
          <w:sz w:val="20"/>
          <w:szCs w:val="20"/>
          <w:color w:val="auto"/>
        </w:rPr>
      </w:pPr>
      <w:r>
        <w:rPr>
          <w:rFonts w:ascii="Arial" w:cs="Arial" w:eastAsia="Arial" w:hAnsi="Arial"/>
          <w:sz w:val="22"/>
          <w:szCs w:val="22"/>
          <w:color w:val="auto"/>
        </w:rPr>
        <w:t>67 Rue Arago</w:t>
      </w:r>
    </w:p>
    <w:p>
      <w:pPr>
        <w:spacing w:after="0"/>
        <w:rPr>
          <w:sz w:val="20"/>
          <w:szCs w:val="20"/>
          <w:color w:val="auto"/>
        </w:rPr>
      </w:pPr>
      <w:r>
        <w:rPr>
          <w:rFonts w:ascii="Arial" w:cs="Arial" w:eastAsia="Arial" w:hAnsi="Arial"/>
          <w:sz w:val="22"/>
          <w:szCs w:val="22"/>
          <w:color w:val="auto"/>
        </w:rPr>
        <w:t>93400 Saint-Ouen, France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Two Liberty Place</w:t>
      </w:r>
    </w:p>
    <w:p>
      <w:pPr>
        <w:spacing w:after="0" w:line="230" w:lineRule="auto"/>
        <w:rPr>
          <w:sz w:val="20"/>
          <w:szCs w:val="20"/>
          <w:color w:val="auto"/>
        </w:rPr>
      </w:pPr>
      <w:r>
        <w:rPr>
          <w:rFonts w:ascii="Arial" w:cs="Arial" w:eastAsia="Arial" w:hAnsi="Arial"/>
          <w:sz w:val="22"/>
          <w:szCs w:val="22"/>
          <w:color w:val="auto"/>
        </w:rPr>
        <w:t>50 South 16th Street, Suite 2000</w:t>
      </w:r>
    </w:p>
    <w:p>
      <w:pPr>
        <w:spacing w:after="0" w:line="231" w:lineRule="auto"/>
        <w:rPr>
          <w:sz w:val="20"/>
          <w:szCs w:val="20"/>
          <w:color w:val="auto"/>
        </w:rPr>
      </w:pPr>
      <w:r>
        <w:rPr>
          <w:rFonts w:ascii="Arial" w:cs="Arial" w:eastAsia="Arial" w:hAnsi="Arial"/>
          <w:sz w:val="22"/>
          <w:szCs w:val="22"/>
          <w:color w:val="auto"/>
        </w:rPr>
        <w:t>Mail Station: EX-PA-WBSP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PA 19102</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Attention:</w:t>
        <w:tab/>
        <w:t>Trustee Administration Manager</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re: Crown European Holdings S.A.</w:t>
      </w:r>
    </w:p>
    <w:p>
      <w:pPr>
        <w:spacing w:after="0" w:line="378" w:lineRule="exact"/>
        <w:rPr>
          <w:sz w:val="20"/>
          <w:szCs w:val="20"/>
          <w:color w:val="auto"/>
        </w:rPr>
      </w:pPr>
    </w:p>
    <w:p>
      <w:pPr>
        <w:jc w:val="center"/>
        <w:spacing w:after="0" w:line="253" w:lineRule="exact"/>
        <w:tabs>
          <w:tab w:leader="none" w:pos="200" w:val="left"/>
        </w:tabs>
        <w:rPr>
          <w:sz w:val="20"/>
          <w:szCs w:val="20"/>
          <w:color w:val="auto"/>
        </w:rPr>
      </w:pPr>
      <w:r>
        <w:rPr>
          <w:rFonts w:ascii="Arial" w:cs="Arial" w:eastAsia="Arial" w:hAnsi="Arial"/>
          <w:sz w:val="22"/>
          <w:szCs w:val="22"/>
          <w:color w:val="auto"/>
        </w:rPr>
        <w:t>Re: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0.750% Senior Notes due 2023</w:t>
      </w:r>
    </w:p>
    <w:p>
      <w:pPr>
        <w:spacing w:after="0" w:line="366" w:lineRule="exact"/>
        <w:rPr>
          <w:sz w:val="20"/>
          <w:szCs w:val="20"/>
          <w:color w:val="auto"/>
        </w:rPr>
      </w:pPr>
    </w:p>
    <w:tbl>
      <w:tblPr>
        <w:tblLayout w:type="fixed"/>
        <w:tblInd w:w="4400" w:type="dxa"/>
        <w:tblCellMar>
          <w:top w:w="0" w:type="dxa"/>
          <w:left w:w="0" w:type="dxa"/>
          <w:bottom w:w="0" w:type="dxa"/>
          <w:right w:w="0" w:type="dxa"/>
        </w:tblCellMar>
      </w:tblPr>
      <w:tr>
        <w:trPr>
          <w:trHeight w:val="253"/>
        </w:trPr>
        <w:tc>
          <w:tcPr>
            <w:tcW w:w="740" w:type="dxa"/>
            <w:vAlign w:val="bottom"/>
            <w:gridSpan w:val="2"/>
          </w:tcPr>
          <w:p>
            <w:pPr>
              <w:spacing w:after="0"/>
              <w:rPr>
                <w:sz w:val="20"/>
                <w:szCs w:val="20"/>
                <w:color w:val="auto"/>
              </w:rPr>
            </w:pPr>
            <w:r>
              <w:rPr>
                <w:rFonts w:ascii="Arial" w:cs="Arial" w:eastAsia="Arial" w:hAnsi="Arial"/>
                <w:sz w:val="22"/>
                <w:szCs w:val="22"/>
                <w:color w:val="auto"/>
                <w:w w:val="96"/>
              </w:rPr>
              <w:t>(CUSIP</w:t>
            </w:r>
          </w:p>
        </w:tc>
        <w:tc>
          <w:tcPr>
            <w:tcW w:w="7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23"/>
        </w:trPr>
        <w:tc>
          <w:tcPr>
            <w:tcW w:w="560" w:type="dxa"/>
            <w:vAlign w:val="bottom"/>
          </w:tcPr>
          <w:p>
            <w:pPr>
              <w:ind w:left="20"/>
              <w:spacing w:after="0" w:line="223" w:lineRule="exact"/>
              <w:rPr>
                <w:sz w:val="20"/>
                <w:szCs w:val="20"/>
                <w:color w:val="auto"/>
              </w:rPr>
            </w:pPr>
            <w:r>
              <w:rPr>
                <w:rFonts w:ascii="Arial" w:cs="Arial" w:eastAsia="Arial" w:hAnsi="Arial"/>
                <w:sz w:val="22"/>
                <w:szCs w:val="22"/>
                <w:color w:val="auto"/>
              </w:rPr>
              <w:t>(ISIN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5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480" w:type="dxa"/>
            <w:vAlign w:val="bottom"/>
            <w:gridSpan w:val="3"/>
          </w:tcPr>
          <w:p>
            <w:pPr>
              <w:ind w:left="40"/>
              <w:spacing w:after="0" w:line="223" w:lineRule="exact"/>
              <w:rPr>
                <w:sz w:val="20"/>
                <w:szCs w:val="20"/>
                <w:color w:val="auto"/>
              </w:rPr>
            </w:pPr>
            <w:r>
              <w:rPr>
                <w:rFonts w:ascii="Arial" w:cs="Arial" w:eastAsia="Arial" w:hAnsi="Arial"/>
                <w:sz w:val="22"/>
                <w:szCs w:val="22"/>
                <w:color w:val="auto"/>
                <w:w w:val="91"/>
              </w:rPr>
              <w:t>(Common Code</w:t>
            </w:r>
          </w:p>
        </w:tc>
        <w:tc>
          <w:tcPr>
            <w:tcW w:w="660" w:type="dxa"/>
            <w:vAlign w:val="bottom"/>
            <w:tcBorders>
              <w:bottom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2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Reference is hereby made to the Indenture, dated as of October 31, 2019 (the “</w:t>
      </w:r>
      <w:r>
        <w:rPr>
          <w:rFonts w:ascii="Arial" w:cs="Arial" w:eastAsia="Arial" w:hAnsi="Arial"/>
          <w:sz w:val="22"/>
          <w:szCs w:val="22"/>
          <w:u w:val="single" w:color="auto"/>
          <w:color w:val="auto"/>
        </w:rPr>
        <w:t>Indenture</w:t>
      </w:r>
      <w:r>
        <w:rPr>
          <w:rFonts w:ascii="Arial" w:cs="Arial" w:eastAsia="Arial" w:hAnsi="Arial"/>
          <w:sz w:val="22"/>
          <w:szCs w:val="22"/>
          <w:color w:val="auto"/>
        </w:rPr>
        <w:t>”), by and among Crown European Holdings S.A., as issuer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U.S. Bank National Association, as trustee, Elavon Financial Services DAC, as paying agent, registrar and transfer agent. Capitalized terms used but not defined herein shall have the meanings given to them in the Indenture.</w:t>
      </w:r>
    </w:p>
    <w:p>
      <w:pPr>
        <w:spacing w:after="0" w:line="185" w:lineRule="exact"/>
        <w:rPr>
          <w:sz w:val="20"/>
          <w:szCs w:val="20"/>
          <w:color w:val="auto"/>
        </w:rPr>
      </w:pPr>
    </w:p>
    <w:p>
      <w:pPr>
        <w:ind w:left="1440"/>
        <w:spacing w:after="0"/>
        <w:tabs>
          <w:tab w:leader="none" w:pos="6460" w:val="left"/>
        </w:tabs>
        <w:rPr>
          <w:sz w:val="20"/>
          <w:szCs w:val="20"/>
          <w:color w:val="auto"/>
        </w:rPr>
      </w:pPr>
      <w:r>
        <w:rPr>
          <w:rFonts w:ascii="Arial" w:cs="Arial" w:eastAsia="Arial" w:hAnsi="Arial"/>
          <w:sz w:val="22"/>
          <w:szCs w:val="22"/>
          <w:color w:val="auto"/>
        </w:rPr>
        <w:t>In connection with our proposed purchase of</w:t>
      </w:r>
      <w:r>
        <w:rPr>
          <w:sz w:val="20"/>
          <w:szCs w:val="20"/>
          <w:color w:val="auto"/>
        </w:rPr>
        <w:tab/>
      </w:r>
      <w:r>
        <w:rPr>
          <w:rFonts w:ascii="Arial" w:cs="Arial" w:eastAsia="Arial" w:hAnsi="Arial"/>
          <w:sz w:val="19"/>
          <w:szCs w:val="19"/>
          <w:color w:val="auto"/>
        </w:rPr>
        <w:t>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-17780</wp:posOffset>
            </wp:positionV>
            <wp:extent cx="6858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0" w:lineRule="exact"/>
        <w:rPr>
          <w:sz w:val="20"/>
          <w:szCs w:val="20"/>
          <w:color w:val="auto"/>
        </w:rPr>
      </w:pPr>
    </w:p>
    <w:p>
      <w:pPr>
        <w:ind w:left="2000" w:hanging="564"/>
        <w:spacing w:after="0" w:line="253" w:lineRule="exact"/>
        <w:tabs>
          <w:tab w:leader="none" w:pos="2000" w:val="left"/>
        </w:tabs>
        <w:numPr>
          <w:ilvl w:val="0"/>
          <w:numId w:val="17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19"/>
          <w:szCs w:val="19"/>
          <w:color w:val="auto"/>
        </w:rPr>
        <w:t>a beneficial interest in a Global Note, or</w:t>
      </w:r>
    </w:p>
    <w:p>
      <w:pPr>
        <w:spacing w:after="0" w:line="219" w:lineRule="exact"/>
        <w:rPr>
          <w:rFonts w:ascii="Arial" w:cs="Arial" w:eastAsia="Arial" w:hAnsi="Arial"/>
          <w:sz w:val="22"/>
          <w:szCs w:val="22"/>
          <w:color w:val="auto"/>
        </w:rPr>
      </w:pPr>
    </w:p>
    <w:p>
      <w:pPr>
        <w:ind w:left="2020" w:hanging="584"/>
        <w:spacing w:after="0" w:line="253" w:lineRule="exact"/>
        <w:tabs>
          <w:tab w:leader="none" w:pos="2020" w:val="left"/>
        </w:tabs>
        <w:numPr>
          <w:ilvl w:val="0"/>
          <w:numId w:val="17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19"/>
          <w:szCs w:val="19"/>
          <w:color w:val="auto"/>
        </w:rPr>
        <w:t>a Physical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we confirm that:</w:t>
      </w:r>
    </w:p>
    <w:p>
      <w:pPr>
        <w:spacing w:after="0" w:line="206" w:lineRule="exact"/>
        <w:rPr>
          <w:sz w:val="20"/>
          <w:szCs w:val="20"/>
          <w:color w:val="auto"/>
        </w:rPr>
      </w:pPr>
    </w:p>
    <w:p>
      <w:pPr>
        <w:jc w:val="both"/>
        <w:ind w:right="400" w:firstLine="1436"/>
        <w:spacing w:after="0"/>
        <w:tabs>
          <w:tab w:leader="none" w:pos="202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H-1</w:t>
      </w:r>
    </w:p>
    <w:p>
      <w:pPr>
        <w:sectPr>
          <w:pgSz w:w="11900" w:h="16838" w:orient="portrait"/>
          <w:cols w:equalWidth="0" w:num="1">
            <w:col w:w="11020"/>
          </w:cols>
          <w:pgMar w:left="440" w:top="267" w:right="439" w:bottom="1440" w:gutter="0" w:footer="0" w:header="0"/>
        </w:sectPr>
      </w:pPr>
    </w:p>
    <w:bookmarkStart w:id="178" w:name="page179"/>
    <w:bookmarkEnd w:id="178"/>
    <w:p>
      <w:pPr>
        <w:ind w:right="3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therein except in compliance with, such restrictions and conditions and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173" w:lineRule="exact"/>
        <w:rPr>
          <w:sz w:val="20"/>
          <w:szCs w:val="20"/>
          <w:color w:val="auto"/>
        </w:rPr>
      </w:pPr>
    </w:p>
    <w:p>
      <w:pPr>
        <w:ind w:firstLine="1436"/>
        <w:spacing w:after="0" w:line="272" w:lineRule="auto"/>
        <w:tabs>
          <w:tab w:leader="none" w:pos="202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300" w:firstLine="1436"/>
        <w:spacing w:after="0" w:line="238" w:lineRule="auto"/>
        <w:tabs>
          <w:tab w:leader="none" w:pos="202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85" w:lineRule="exact"/>
        <w:rPr>
          <w:rFonts w:ascii="Arial" w:cs="Arial" w:eastAsia="Arial" w:hAnsi="Arial"/>
          <w:sz w:val="22"/>
          <w:szCs w:val="22"/>
          <w:color w:val="auto"/>
        </w:rPr>
      </w:pPr>
    </w:p>
    <w:p>
      <w:pPr>
        <w:ind w:right="100" w:firstLine="1436"/>
        <w:spacing w:after="0" w:line="238" w:lineRule="auto"/>
        <w:tabs>
          <w:tab w:leader="none" w:pos="202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5" w:lineRule="exact"/>
        <w:rPr>
          <w:rFonts w:ascii="Arial" w:cs="Arial" w:eastAsia="Arial" w:hAnsi="Arial"/>
          <w:sz w:val="22"/>
          <w:szCs w:val="22"/>
          <w:color w:val="auto"/>
        </w:rPr>
      </w:pPr>
    </w:p>
    <w:p>
      <w:pPr>
        <w:ind w:firstLine="1436"/>
        <w:spacing w:after="0"/>
        <w:tabs>
          <w:tab w:leader="none" w:pos="202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86" w:lineRule="exact"/>
        <w:rPr>
          <w:sz w:val="20"/>
          <w:szCs w:val="20"/>
          <w:color w:val="auto"/>
        </w:rPr>
      </w:pPr>
    </w:p>
    <w:p>
      <w:pPr>
        <w:ind w:right="80" w:firstLine="1433"/>
        <w:spacing w:after="0"/>
        <w:rPr>
          <w:sz w:val="20"/>
          <w:szCs w:val="20"/>
          <w:color w:val="auto"/>
        </w:rPr>
      </w:pPr>
      <w:r>
        <w:rPr>
          <w:rFonts w:ascii="Arial" w:cs="Arial" w:eastAsia="Arial" w:hAnsi="Arial"/>
          <w:sz w:val="22"/>
          <w:szCs w:val="22"/>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H-2</w:t>
      </w:r>
    </w:p>
    <w:p>
      <w:pPr>
        <w:sectPr>
          <w:pgSz w:w="11900" w:h="16838" w:orient="portrait"/>
          <w:cols w:equalWidth="0" w:num="1">
            <w:col w:w="11020"/>
          </w:cols>
          <w:pgMar w:left="440" w:top="267" w:right="439" w:bottom="1440" w:gutter="0" w:footer="0" w:header="0"/>
        </w:sectPr>
      </w:pPr>
    </w:p>
    <w:bookmarkStart w:id="179" w:name="page180"/>
    <w:bookmarkEnd w:id="179"/>
    <w:p>
      <w:pPr>
        <w:jc w:val="right"/>
        <w:ind w:right="3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217805</wp:posOffset>
            </wp:positionV>
            <wp:extent cx="27959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95905" cy="8890"/>
                    </a:xfrm>
                    <a:prstGeom prst="rect">
                      <a:avLst/>
                    </a:prstGeom>
                    <a:noFill/>
                  </pic:spPr>
                </pic:pic>
              </a:graphicData>
            </a:graphic>
          </wp:anchor>
        </w:drawing>
        <w:t>[Insert Name of Accredited Owner]</w:t>
      </w:r>
    </w:p>
    <w:p>
      <w:pPr>
        <w:spacing w:after="0" w:line="37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19050</wp:posOffset>
            </wp:positionV>
            <wp:extent cx="25641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-17780</wp:posOffset>
            </wp:positionV>
            <wp:extent cx="6858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19"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H-3</w:t>
      </w:r>
    </w:p>
    <w:p>
      <w:pPr>
        <w:sectPr>
          <w:pgSz w:w="11900" w:h="16838" w:orient="portrait"/>
          <w:cols w:equalWidth="0" w:num="1">
            <w:col w:w="10019"/>
          </w:cols>
          <w:pgMar w:left="440" w:top="375"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GUARANTEE</w:t>
      </w:r>
    </w:p>
    <w:p>
      <w:pPr>
        <w:spacing w:after="0" w:line="206" w:lineRule="exact"/>
        <w:rPr>
          <w:sz w:val="20"/>
          <w:szCs w:val="20"/>
          <w:color w:val="auto"/>
        </w:rPr>
      </w:pPr>
    </w:p>
    <w:p>
      <w:pPr>
        <w:ind w:right="20" w:firstLine="1433"/>
        <w:spacing w:after="0" w:line="244" w:lineRule="auto"/>
        <w:rPr>
          <w:sz w:val="20"/>
          <w:szCs w:val="20"/>
          <w:color w:val="auto"/>
        </w:rPr>
      </w:pPr>
      <w:r>
        <w:rPr>
          <w:rFonts w:ascii="Arial" w:cs="Arial" w:eastAsia="Arial" w:hAnsi="Arial"/>
          <w:sz w:val="21"/>
          <w:szCs w:val="21"/>
          <w:color w:val="auto"/>
        </w:rPr>
        <w:t>Each of the undersigned (the “</w:t>
      </w:r>
      <w:r>
        <w:rPr>
          <w:rFonts w:ascii="Arial" w:cs="Arial" w:eastAsia="Arial" w:hAnsi="Arial"/>
          <w:sz w:val="21"/>
          <w:szCs w:val="21"/>
          <w:u w:val="single" w:color="auto"/>
          <w:color w:val="auto"/>
        </w:rPr>
        <w:t>Guarantors</w:t>
      </w:r>
      <w:r>
        <w:rPr>
          <w:rFonts w:ascii="Arial" w:cs="Arial" w:eastAsia="Arial" w:hAnsi="Arial"/>
          <w:sz w:val="21"/>
          <w:szCs w:val="21"/>
          <w:color w:val="auto"/>
        </w:rPr>
        <w:t>”) hereby jointly and severally unconditionally guarantees, to the extent set forth in the Indenture, dated as of October 31, 2019 (the “</w:t>
      </w:r>
      <w:r>
        <w:rPr>
          <w:rFonts w:ascii="Arial" w:cs="Arial" w:eastAsia="Arial" w:hAnsi="Arial"/>
          <w:sz w:val="21"/>
          <w:szCs w:val="21"/>
          <w:u w:val="single" w:color="auto"/>
          <w:color w:val="auto"/>
        </w:rPr>
        <w:t>Indenture</w:t>
      </w:r>
      <w:r>
        <w:rPr>
          <w:rFonts w:ascii="Arial" w:cs="Arial" w:eastAsia="Arial" w:hAnsi="Arial"/>
          <w:sz w:val="21"/>
          <w:szCs w:val="21"/>
          <w:color w:val="auto"/>
        </w:rPr>
        <w:t>”), by and among Crown European Holdings S.A., as issuer (the “</w:t>
      </w:r>
      <w:r>
        <w:rPr>
          <w:rFonts w:ascii="Arial" w:cs="Arial" w:eastAsia="Arial" w:hAnsi="Arial"/>
          <w:sz w:val="21"/>
          <w:szCs w:val="21"/>
          <w:u w:val="single" w:color="auto"/>
          <w:color w:val="auto"/>
        </w:rPr>
        <w:t>Issuer</w:t>
      </w:r>
      <w:r>
        <w:rPr>
          <w:rFonts w:ascii="Arial" w:cs="Arial" w:eastAsia="Arial" w:hAnsi="Arial"/>
          <w:sz w:val="21"/>
          <w:szCs w:val="21"/>
          <w:color w:val="auto"/>
        </w:rPr>
        <w:t>”), the Guarantors, U.S. Bank National Association, as trustee, Elavon Financial Services DAC, as paying agent, registrar and transfer agent (as amended, restated or supplemented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and subject to the Indenture, (a) 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w:t>
      </w:r>
    </w:p>
    <w:p>
      <w:pPr>
        <w:spacing w:after="0" w:line="187" w:lineRule="exact"/>
        <w:rPr>
          <w:sz w:val="20"/>
          <w:szCs w:val="20"/>
          <w:color w:val="auto"/>
        </w:rPr>
      </w:pPr>
    </w:p>
    <w:p>
      <w:pPr>
        <w:ind w:right="100" w:firstLine="1433"/>
        <w:spacing w:after="0" w:line="236" w:lineRule="auto"/>
        <w:rPr>
          <w:sz w:val="20"/>
          <w:szCs w:val="20"/>
          <w:color w:val="auto"/>
        </w:rPr>
      </w:pPr>
      <w:r>
        <w:rPr>
          <w:rFonts w:ascii="Arial" w:cs="Arial" w:eastAsia="Arial" w:hAnsi="Arial"/>
          <w:sz w:val="22"/>
          <w:szCs w:val="22"/>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8" w:lineRule="exact"/>
        <w:rPr>
          <w:sz w:val="20"/>
          <w:szCs w:val="20"/>
          <w:color w:val="auto"/>
        </w:rPr>
      </w:pPr>
    </w:p>
    <w:p>
      <w:pPr>
        <w:ind w:right="100" w:firstLine="1433"/>
        <w:spacing w:after="0"/>
        <w:rPr>
          <w:sz w:val="20"/>
          <w:szCs w:val="20"/>
          <w:color w:val="auto"/>
        </w:rPr>
      </w:pPr>
      <w:r>
        <w:rPr>
          <w:rFonts w:ascii="Arial" w:cs="Arial" w:eastAsia="Arial" w:hAnsi="Arial"/>
          <w:sz w:val="22"/>
          <w:szCs w:val="22"/>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6" w:lineRule="exact"/>
        <w:rPr>
          <w:sz w:val="20"/>
          <w:szCs w:val="20"/>
          <w:color w:val="auto"/>
        </w:rPr>
      </w:pPr>
    </w:p>
    <w:p>
      <w:pPr>
        <w:ind w:right="40" w:firstLine="1433"/>
        <w:spacing w:after="0" w:line="273" w:lineRule="auto"/>
        <w:rPr>
          <w:sz w:val="20"/>
          <w:szCs w:val="20"/>
          <w:color w:val="auto"/>
        </w:rPr>
      </w:pPr>
      <w:r>
        <w:rPr>
          <w:rFonts w:ascii="Arial" w:cs="Arial" w:eastAsia="Arial" w:hAnsi="Arial"/>
          <w:sz w:val="19"/>
          <w:szCs w:val="19"/>
          <w:color w:val="auto"/>
        </w:rPr>
        <w:t>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the Indenture, the Notes and this Guarantee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(i) above and (iii) agrees that service of process upon CT Corporation System and written notice of said service to the Issuer in accordance with this Guarantee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the Indenture shall be in full force and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1020"/>
          </w:cols>
          <w:pgMar w:left="440" w:top="267" w:right="439" w:bottom="1440" w:gutter="0" w:footer="0" w:header="0"/>
        </w:sectPr>
      </w:pPr>
    </w:p>
    <w:bookmarkStart w:id="181" w:name="page182"/>
    <w:bookmarkEnd w:id="181"/>
    <w:p>
      <w:pPr>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 or any of the Notes shall be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 or any Guarantor may, by written notice to the Trustee, designate such additional or alternative agent for service of process under this Guarantee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Guarantee. Such notice shall identify the name and address of such agent for process in the Borough of Manhattan, The City of New York, the State of New York.</w:t>
      </w:r>
    </w:p>
    <w:p>
      <w:pPr>
        <w:spacing w:after="0" w:line="151" w:lineRule="exact"/>
        <w:rPr>
          <w:sz w:val="20"/>
          <w:szCs w:val="20"/>
          <w:color w:val="auto"/>
        </w:rPr>
      </w:pPr>
    </w:p>
    <w:p>
      <w:pPr>
        <w:ind w:firstLine="1433"/>
        <w:spacing w:after="0" w:line="246" w:lineRule="auto"/>
        <w:rPr>
          <w:sz w:val="20"/>
          <w:szCs w:val="20"/>
          <w:color w:val="auto"/>
        </w:rPr>
      </w:pPr>
      <w:r>
        <w:rPr>
          <w:rFonts w:ascii="Arial" w:cs="Arial" w:eastAsia="Arial" w:hAnsi="Arial"/>
          <w:sz w:val="21"/>
          <w:szCs w:val="21"/>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the Indenture, the Notes and this Guarantee. In addition, the Issuer and each Guarantor irrevocably waives and agrees not to assert, by way of motion, as a defense, or otherwise in any such suit, action or proceeding, any claim that it is not personally subject to the jurisdiction of the courts mentioned above for any reason whatsoever, that such suit, action or proceeding is brought in an inconvenient forum or that the venue for such suit is improper, or that the Indenture, the Notes or this Guarantee or the subject matter hereof or thereof may not be enforced in such courts.</w:t>
      </w:r>
    </w:p>
    <w:p>
      <w:pPr>
        <w:spacing w:after="0" w:line="181" w:lineRule="exact"/>
        <w:rPr>
          <w:sz w:val="20"/>
          <w:szCs w:val="20"/>
          <w:color w:val="auto"/>
        </w:rPr>
      </w:pPr>
    </w:p>
    <w:p>
      <w:pPr>
        <w:ind w:right="140" w:firstLine="1433"/>
        <w:spacing w:after="0" w:line="249" w:lineRule="auto"/>
        <w:rPr>
          <w:sz w:val="20"/>
          <w:szCs w:val="20"/>
          <w:color w:val="auto"/>
        </w:rPr>
      </w:pPr>
      <w:r>
        <w:rPr>
          <w:rFonts w:ascii="Arial" w:cs="Arial" w:eastAsia="Arial" w:hAnsi="Arial"/>
          <w:sz w:val="21"/>
          <w:szCs w:val="21"/>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Guarantee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[Signatures on Following Pages]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I-2</w:t>
      </w:r>
    </w:p>
    <w:p>
      <w:pPr>
        <w:sectPr>
          <w:pgSz w:w="11900" w:h="16838" w:orient="portrait"/>
          <w:cols w:equalWidth="0" w:num="1">
            <w:col w:w="10980"/>
          </w:cols>
          <w:pgMar w:left="440" w:top="267" w:right="47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Guarantors has caused this Guarantee to be signed by a duly authorized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CROWN HOLDINGS, INC.</w:t>
      </w: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7620</wp:posOffset>
            </wp:positionV>
            <wp:extent cx="31388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 w:lineRule="exact"/>
        <w:rPr>
          <w:sz w:val="20"/>
          <w:szCs w:val="20"/>
          <w:color w:val="auto"/>
        </w:rPr>
      </w:pPr>
    </w:p>
    <w:p>
      <w:pPr>
        <w:ind w:left="6080"/>
        <w:spacing w:after="0"/>
        <w:tabs>
          <w:tab w:leader="none" w:pos="6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Timothy J. Donahue</w:t>
      </w:r>
    </w:p>
    <w:p>
      <w:pPr>
        <w:spacing w:after="0" w:line="4" w:lineRule="exact"/>
        <w:rPr>
          <w:sz w:val="20"/>
          <w:szCs w:val="20"/>
          <w:color w:val="auto"/>
        </w:rPr>
      </w:pPr>
    </w:p>
    <w:p>
      <w:pPr>
        <w:ind w:left="6080"/>
        <w:spacing w:after="0"/>
        <w:tabs>
          <w:tab w:leader="none" w:pos="6820" w:val="left"/>
        </w:tabs>
        <w:rPr>
          <w:sz w:val="20"/>
          <w:szCs w:val="20"/>
          <w:color w:val="auto"/>
        </w:rPr>
      </w:pPr>
      <w:r>
        <w:rPr>
          <w:rFonts w:ascii="Arial" w:cs="Arial" w:eastAsia="Arial" w:hAnsi="Arial"/>
          <w:sz w:val="22"/>
          <w:szCs w:val="22"/>
          <w:color w:val="auto"/>
        </w:rPr>
        <w:t>Title:</w:t>
        <w:tab/>
        <w:t>President &amp; Chief Executive Officer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I-3</w:t>
      </w:r>
    </w:p>
    <w:p>
      <w:pPr>
        <w:sectPr>
          <w:pgSz w:w="11900" w:h="16838" w:orient="portrait"/>
          <w:cols w:equalWidth="0" w:num="1">
            <w:col w:w="11020"/>
          </w:cols>
          <w:pgMar w:left="440" w:top="267" w:right="439" w:bottom="1440" w:gutter="0" w:footer="0" w:header="0"/>
        </w:sectPr>
      </w:pPr>
    </w:p>
    <w:bookmarkStart w:id="183" w:name="page184"/>
    <w:bookmarkEnd w:id="183"/>
    <w:p>
      <w:pPr>
        <w:ind w:left="49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 USA, INC.</w:t>
      </w:r>
    </w:p>
    <w:p>
      <w:pPr>
        <w:ind w:left="4940"/>
        <w:spacing w:after="0" w:line="238" w:lineRule="auto"/>
        <w:rPr>
          <w:sz w:val="20"/>
          <w:szCs w:val="20"/>
          <w:color w:val="auto"/>
        </w:rPr>
      </w:pPr>
      <w:r>
        <w:rPr>
          <w:rFonts w:ascii="Arial" w:cs="Arial" w:eastAsia="Arial" w:hAnsi="Arial"/>
          <w:sz w:val="22"/>
          <w:szCs w:val="22"/>
          <w:color w:val="auto"/>
        </w:rPr>
        <w:t>CROWN BEVERAGE</w:t>
      </w:r>
    </w:p>
    <w:p>
      <w:pPr>
        <w:ind w:left="4940"/>
        <w:spacing w:after="0"/>
        <w:rPr>
          <w:sz w:val="20"/>
          <w:szCs w:val="20"/>
          <w:color w:val="auto"/>
        </w:rPr>
      </w:pPr>
      <w:r>
        <w:rPr>
          <w:rFonts w:ascii="Arial" w:cs="Arial" w:eastAsia="Arial" w:hAnsi="Arial"/>
          <w:sz w:val="22"/>
          <w:szCs w:val="22"/>
          <w:color w:val="auto"/>
        </w:rPr>
        <w:t>PACKAGING PUERTO RICO, INC.</w:t>
      </w:r>
    </w:p>
    <w:p>
      <w:pPr>
        <w:ind w:left="4940"/>
        <w:spacing w:after="0" w:line="234" w:lineRule="auto"/>
        <w:rPr>
          <w:sz w:val="20"/>
          <w:szCs w:val="20"/>
          <w:color w:val="auto"/>
        </w:rPr>
      </w:pPr>
      <w:r>
        <w:rPr>
          <w:rFonts w:ascii="Arial" w:cs="Arial" w:eastAsia="Arial" w:hAnsi="Arial"/>
          <w:sz w:val="22"/>
          <w:szCs w:val="22"/>
          <w:color w:val="auto"/>
        </w:rPr>
        <w:t>CROWN CONSULTANTS, INC.</w:t>
      </w:r>
    </w:p>
    <w:p>
      <w:pPr>
        <w:ind w:left="4940"/>
        <w:spacing w:after="0"/>
        <w:rPr>
          <w:sz w:val="20"/>
          <w:szCs w:val="20"/>
          <w:color w:val="auto"/>
        </w:rPr>
      </w:pPr>
      <w:r>
        <w:rPr>
          <w:rFonts w:ascii="Arial" w:cs="Arial" w:eastAsia="Arial" w:hAnsi="Arial"/>
          <w:sz w:val="19"/>
          <w:szCs w:val="19"/>
          <w:color w:val="auto"/>
        </w:rPr>
        <w:t>CROWN CORK &amp; SEAL COMPANY (DE), LLC</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CROWN CORK &amp; SEAL COMPANY, INC.</w:t>
      </w:r>
    </w:p>
    <w:p>
      <w:pPr>
        <w:ind w:left="4940"/>
        <w:spacing w:after="0" w:line="230" w:lineRule="auto"/>
        <w:rPr>
          <w:sz w:val="20"/>
          <w:szCs w:val="20"/>
          <w:color w:val="auto"/>
        </w:rPr>
      </w:pPr>
      <w:r>
        <w:rPr>
          <w:rFonts w:ascii="Arial" w:cs="Arial" w:eastAsia="Arial" w:hAnsi="Arial"/>
          <w:sz w:val="22"/>
          <w:szCs w:val="22"/>
          <w:color w:val="auto"/>
        </w:rPr>
        <w:t>CROWN FINANCIAL CORPORATION</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CROWN INTERNATIONAL HOLDINGS, INC.</w:t>
      </w:r>
    </w:p>
    <w:p>
      <w:pPr>
        <w:spacing w:after="0" w:line="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CROWN PACKAGING TECHNOLOGY, INC.</w:t>
      </w:r>
    </w:p>
    <w:p>
      <w:pPr>
        <w:ind w:left="4940"/>
        <w:spacing w:after="0" w:line="232" w:lineRule="auto"/>
        <w:rPr>
          <w:sz w:val="20"/>
          <w:szCs w:val="20"/>
          <w:color w:val="auto"/>
        </w:rPr>
      </w:pPr>
      <w:r>
        <w:rPr>
          <w:rFonts w:ascii="Arial" w:cs="Arial" w:eastAsia="Arial" w:hAnsi="Arial"/>
          <w:sz w:val="22"/>
          <w:szCs w:val="22"/>
          <w:color w:val="auto"/>
        </w:rPr>
        <w:t>FOREIGN MANUFACTURERS FINANCE</w:t>
      </w:r>
    </w:p>
    <w:p>
      <w:pPr>
        <w:ind w:left="4940"/>
        <w:spacing w:after="0"/>
        <w:rPr>
          <w:sz w:val="20"/>
          <w:szCs w:val="20"/>
          <w:color w:val="auto"/>
        </w:rPr>
      </w:pPr>
      <w:r>
        <w:rPr>
          <w:rFonts w:ascii="Arial" w:cs="Arial" w:eastAsia="Arial" w:hAnsi="Arial"/>
          <w:sz w:val="22"/>
          <w:szCs w:val="22"/>
          <w:color w:val="auto"/>
        </w:rPr>
        <w:t>CORPORATION</w:t>
      </w:r>
    </w:p>
    <w:p>
      <w:pPr>
        <w:spacing w:after="0" w:line="35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7620</wp:posOffset>
            </wp:positionV>
            <wp:extent cx="28644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22"/>
          <w:szCs w:val="22"/>
          <w:color w:val="auto"/>
        </w:rPr>
        <w:t>Title:</w:t>
        <w:tab/>
        <w:t>Vice President &amp; Treasurer</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CROWN BEVERAGE PACKAGING, LLC</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CROWN CORK &amp; SEAL USA, INC.</w:t>
      </w:r>
    </w:p>
    <w:p>
      <w:pPr>
        <w:spacing w:after="0" w:line="33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7620</wp:posOffset>
            </wp:positionV>
            <wp:extent cx="28644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22"/>
          <w:szCs w:val="22"/>
          <w:color w:val="auto"/>
        </w:rPr>
        <w:t>Title:</w:t>
        <w:tab/>
        <w:t>Assistant Treasurer</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I-4</w:t>
      </w:r>
    </w:p>
    <w:p>
      <w:pPr>
        <w:sectPr>
          <w:pgSz w:w="11900" w:h="16838" w:orient="portrait"/>
          <w:cols w:equalWidth="0" w:num="1">
            <w:col w:w="9320"/>
          </w:cols>
          <w:pgMar w:left="1440" w:top="267" w:right="1139" w:bottom="1440" w:gutter="0" w:footer="0" w:header="0"/>
        </w:sectPr>
      </w:pPr>
    </w:p>
    <w:bookmarkStart w:id="184" w:name="page185"/>
    <w:bookmarkEnd w:id="184"/>
    <w:p>
      <w:pPr>
        <w:ind w:left="49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KIWIPLAN INC.</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PACKAGE DESIGN AND MANUFACTURING, INC.</w:t>
      </w:r>
    </w:p>
    <w:p>
      <w:pPr>
        <w:ind w:left="4980"/>
        <w:spacing w:after="0" w:line="232" w:lineRule="auto"/>
        <w:rPr>
          <w:sz w:val="20"/>
          <w:szCs w:val="20"/>
          <w:color w:val="auto"/>
        </w:rPr>
      </w:pPr>
      <w:r>
        <w:rPr>
          <w:rFonts w:ascii="Arial" w:cs="Arial" w:eastAsia="Arial" w:hAnsi="Arial"/>
          <w:sz w:val="22"/>
          <w:szCs w:val="22"/>
          <w:color w:val="auto"/>
        </w:rPr>
        <w:t>SIGNODE INDUSTRIAL GROUP LLC</w:t>
      </w:r>
    </w:p>
    <w:p>
      <w:pPr>
        <w:ind w:left="4980"/>
        <w:spacing w:after="0" w:line="230" w:lineRule="auto"/>
        <w:rPr>
          <w:sz w:val="20"/>
          <w:szCs w:val="20"/>
          <w:color w:val="auto"/>
        </w:rPr>
      </w:pPr>
      <w:r>
        <w:rPr>
          <w:rFonts w:ascii="Arial" w:cs="Arial" w:eastAsia="Arial" w:hAnsi="Arial"/>
          <w:sz w:val="22"/>
          <w:szCs w:val="22"/>
          <w:color w:val="auto"/>
        </w:rPr>
        <w:t>SIGNODE PICKLING HOLDING LLC</w:t>
      </w:r>
    </w:p>
    <w:p>
      <w:pPr>
        <w:ind w:left="4980"/>
        <w:spacing w:after="0" w:line="231" w:lineRule="auto"/>
        <w:rPr>
          <w:sz w:val="20"/>
          <w:szCs w:val="20"/>
          <w:color w:val="auto"/>
        </w:rPr>
      </w:pPr>
      <w:r>
        <w:rPr>
          <w:rFonts w:ascii="Arial" w:cs="Arial" w:eastAsia="Arial" w:hAnsi="Arial"/>
          <w:sz w:val="22"/>
          <w:szCs w:val="22"/>
          <w:color w:val="auto"/>
        </w:rPr>
        <w:t>SIGNODE US IP HOLDINGS LLC</w:t>
      </w:r>
    </w:p>
    <w:p>
      <w:pPr>
        <w:ind w:left="4980"/>
        <w:spacing w:after="0"/>
        <w:rPr>
          <w:sz w:val="20"/>
          <w:szCs w:val="20"/>
          <w:color w:val="auto"/>
        </w:rPr>
      </w:pPr>
      <w:r>
        <w:rPr>
          <w:rFonts w:ascii="Arial" w:cs="Arial" w:eastAsia="Arial" w:hAnsi="Arial"/>
          <w:sz w:val="19"/>
          <w:szCs w:val="19"/>
          <w:color w:val="auto"/>
        </w:rPr>
        <w:t>SIGNODE INDUSTRIAL GROUP HOLDINGS US INC.</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SIGNODE INTERNATIONAL IP HOLDINGS LLC</w:t>
      </w: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-8890</wp:posOffset>
            </wp:positionV>
            <wp:extent cx="2718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  Kevin C. Clothier</w:t>
      </w:r>
    </w:p>
    <w:p>
      <w:pPr>
        <w:ind w:left="5740"/>
        <w:spacing w:after="0"/>
        <w:tabs>
          <w:tab w:leader="none" w:pos="6440" w:val="left"/>
        </w:tabs>
        <w:rPr>
          <w:sz w:val="20"/>
          <w:szCs w:val="20"/>
          <w:color w:val="auto"/>
        </w:rPr>
      </w:pPr>
      <w:r>
        <w:rPr>
          <w:rFonts w:ascii="Arial" w:cs="Arial" w:eastAsia="Arial" w:hAnsi="Arial"/>
          <w:sz w:val="21"/>
          <w:szCs w:val="21"/>
          <w:color w:val="auto"/>
        </w:rPr>
        <w:t>Title:</w:t>
        <w:tab/>
        <w:t>Vice President &amp; Assistant Treasurer</w:t>
      </w:r>
    </w:p>
    <w:p>
      <w:pPr>
        <w:spacing w:after="0" w:line="34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SIGNODE INDUSTRIAL GROUP US INC.</w:t>
      </w:r>
    </w:p>
    <w:p>
      <w:pPr>
        <w:spacing w:after="0" w:line="38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-8890</wp:posOffset>
            </wp:positionV>
            <wp:extent cx="2718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 Kevin C. Clothier</w:t>
      </w:r>
    </w:p>
    <w:p>
      <w:pPr>
        <w:ind w:left="5740"/>
        <w:spacing w:after="0"/>
        <w:rPr>
          <w:sz w:val="20"/>
          <w:szCs w:val="20"/>
          <w:color w:val="auto"/>
        </w:rPr>
      </w:pPr>
      <w:r>
        <w:rPr>
          <w:rFonts w:ascii="Arial" w:cs="Arial" w:eastAsia="Arial" w:hAnsi="Arial"/>
          <w:sz w:val="22"/>
          <w:szCs w:val="22"/>
          <w:color w:val="auto"/>
        </w:rPr>
        <w:t>Title: Vice President</w:t>
      </w:r>
    </w:p>
    <w:p>
      <w:pPr>
        <w:spacing w:after="0" w:line="33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CROWN AMERICAS LLC</w:t>
      </w:r>
    </w:p>
    <w:p>
      <w:pPr>
        <w:spacing w:after="0" w:line="38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-8890</wp:posOffset>
            </wp:positionV>
            <wp:extent cx="2718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  Kevin C. Clothier</w:t>
      </w:r>
    </w:p>
    <w:p>
      <w:pPr>
        <w:ind w:left="5740"/>
        <w:spacing w:after="0"/>
        <w:tabs>
          <w:tab w:leader="none" w:pos="6440" w:val="left"/>
        </w:tabs>
        <w:rPr>
          <w:sz w:val="20"/>
          <w:szCs w:val="20"/>
          <w:color w:val="auto"/>
        </w:rPr>
      </w:pPr>
      <w:r>
        <w:rPr>
          <w:rFonts w:ascii="Arial" w:cs="Arial" w:eastAsia="Arial" w:hAnsi="Arial"/>
          <w:sz w:val="22"/>
          <w:szCs w:val="22"/>
          <w:color w:val="auto"/>
        </w:rPr>
        <w:t>Title:</w:t>
        <w:tab/>
        <w:t>Vice President &amp; Treasurer</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I-5</w:t>
      </w:r>
    </w:p>
    <w:p>
      <w:pPr>
        <w:sectPr>
          <w:pgSz w:w="11900" w:h="16838" w:orient="portrait"/>
          <w:cols w:equalWidth="0" w:num="1">
            <w:col w:w="10020"/>
          </w:cols>
          <w:pgMar w:left="1440" w:top="267" w:right="439" w:bottom="1440" w:gutter="0" w:footer="0" w:header="0"/>
        </w:sectPr>
      </w:pPr>
    </w:p>
    <w:bookmarkStart w:id="185" w:name="page186"/>
    <w:bookmarkEnd w:id="185"/>
    <w:p>
      <w:pPr>
        <w:ind w:left="538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3079939 NOVA SCOTIA COMPANY/3079939</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COMPAGNIE DE LA NOUVELLE ECOSSE</w:t>
      </w:r>
    </w:p>
    <w:p>
      <w:pPr>
        <w:ind w:left="5380"/>
        <w:spacing w:after="0" w:line="234" w:lineRule="auto"/>
        <w:rPr>
          <w:sz w:val="20"/>
          <w:szCs w:val="20"/>
          <w:color w:val="auto"/>
        </w:rPr>
      </w:pPr>
      <w:r>
        <w:rPr>
          <w:rFonts w:ascii="Arial" w:cs="Arial" w:eastAsia="Arial" w:hAnsi="Arial"/>
          <w:sz w:val="22"/>
          <w:szCs w:val="22"/>
          <w:color w:val="auto"/>
        </w:rPr>
        <w:t>889273 ONTARIO INC.</w:t>
      </w:r>
    </w:p>
    <w:p>
      <w:pPr>
        <w:ind w:left="5380"/>
        <w:spacing w:after="0" w:line="230" w:lineRule="auto"/>
        <w:rPr>
          <w:sz w:val="20"/>
          <w:szCs w:val="20"/>
          <w:color w:val="auto"/>
        </w:rPr>
      </w:pPr>
      <w:r>
        <w:rPr>
          <w:rFonts w:ascii="Arial" w:cs="Arial" w:eastAsia="Arial" w:hAnsi="Arial"/>
          <w:sz w:val="22"/>
          <w:szCs w:val="22"/>
          <w:color w:val="auto"/>
        </w:rPr>
        <w:t>CROWN CANADIAN HOLDINGS ULC</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CROWN METAL PACKAGING CANADA INC.</w:t>
      </w:r>
    </w:p>
    <w:p>
      <w:pPr>
        <w:spacing w:after="0" w:line="20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Vice President &amp; Treasurer</w:t>
      </w:r>
    </w:p>
    <w:p>
      <w:pPr>
        <w:spacing w:after="0" w:line="188"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SIGNODE PACKAGING GROUP CANADA ULC</w:t>
      </w:r>
    </w:p>
    <w:p>
      <w:pPr>
        <w:spacing w:after="0" w:line="241"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Jon Fowkes</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President</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I-6</w:t>
      </w:r>
    </w:p>
    <w:p>
      <w:pPr>
        <w:sectPr>
          <w:pgSz w:w="11900" w:h="16838" w:orient="portrait"/>
          <w:cols w:equalWidth="0" w:num="1">
            <w:col w:w="9860"/>
          </w:cols>
          <w:pgMar w:left="1440" w:top="267" w:right="599" w:bottom="1440" w:gutter="0" w:footer="0" w:header="0"/>
        </w:sectPr>
      </w:pPr>
    </w:p>
    <w:bookmarkStart w:id="186" w:name="page187"/>
    <w:bookmarkEnd w:id="186"/>
    <w:p>
      <w:pPr>
        <w:ind w:left="50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METAL PACKAGING CANADA LP</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CROWN METAL PACKAGING CANADA INC.,</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its General Partner</w:t>
      </w:r>
    </w:p>
    <w:p>
      <w:pPr>
        <w:spacing w:after="0" w:line="33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7620</wp:posOffset>
            </wp:positionV>
            <wp:extent cx="28555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520"/>
        <w:spacing w:after="0"/>
        <w:tabs>
          <w:tab w:leader="none" w:pos="6240" w:val="left"/>
        </w:tabs>
        <w:rPr>
          <w:sz w:val="20"/>
          <w:szCs w:val="20"/>
          <w:color w:val="auto"/>
        </w:rPr>
      </w:pPr>
      <w:r>
        <w:rPr>
          <w:rFonts w:ascii="Arial" w:cs="Arial" w:eastAsia="Arial" w:hAnsi="Arial"/>
          <w:sz w:val="22"/>
          <w:szCs w:val="22"/>
          <w:color w:val="auto"/>
        </w:rPr>
        <w:t>Title:</w:t>
        <w:tab/>
        <w:t>Vice President &amp; Treasurer</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I-7</w:t>
      </w:r>
    </w:p>
    <w:p>
      <w:pPr>
        <w:sectPr>
          <w:pgSz w:w="11900" w:h="16838" w:orient="portrait"/>
          <w:cols w:equalWidth="0" w:num="1">
            <w:col w:w="9800"/>
          </w:cols>
          <w:pgMar w:left="1440" w:top="267" w:right="659" w:bottom="1440" w:gutter="0" w:footer="0" w:header="0"/>
        </w:sectPr>
      </w:pPr>
    </w:p>
    <w:bookmarkStart w:id="187" w:name="page188"/>
    <w:bookmarkEnd w:id="187"/>
    <w:p>
      <w:pPr>
        <w:ind w:left="5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BEVCAN FRANCE SAS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CROWN EMBALLAGE FRANCE SA</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CROWN EUROPE SAS</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7620</wp:posOffset>
            </wp:positionV>
            <wp:extent cx="24523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Didier Callet</w:t>
      </w:r>
    </w:p>
    <w:p>
      <w:pPr>
        <w:spacing w:after="0" w:line="4"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22"/>
          <w:szCs w:val="22"/>
          <w:color w:val="auto"/>
        </w:rPr>
        <w:t>Title:</w:t>
        <w:tab/>
        <w:t>Président</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CROWN DÉVELOPPEMENT</w:t>
      </w:r>
    </w:p>
    <w:p>
      <w:pPr>
        <w:ind w:left="5620"/>
        <w:spacing w:after="0" w:line="238" w:lineRule="auto"/>
        <w:rPr>
          <w:sz w:val="20"/>
          <w:szCs w:val="20"/>
          <w:color w:val="auto"/>
        </w:rPr>
      </w:pPr>
      <w:r>
        <w:rPr>
          <w:rFonts w:ascii="Arial" w:cs="Arial" w:eastAsia="Arial" w:hAnsi="Arial"/>
          <w:sz w:val="22"/>
          <w:szCs w:val="22"/>
          <w:color w:val="auto"/>
        </w:rPr>
        <w:t>SOCIÉTÉ DE PARTICIPATIONS</w:t>
      </w:r>
    </w:p>
    <w:p>
      <w:pPr>
        <w:ind w:left="5620"/>
        <w:spacing w:after="0"/>
        <w:rPr>
          <w:sz w:val="20"/>
          <w:szCs w:val="20"/>
          <w:color w:val="auto"/>
        </w:rPr>
      </w:pPr>
      <w:r>
        <w:rPr>
          <w:rFonts w:ascii="Arial" w:cs="Arial" w:eastAsia="Arial" w:hAnsi="Arial"/>
          <w:sz w:val="22"/>
          <w:szCs w:val="22"/>
          <w:color w:val="auto"/>
        </w:rPr>
        <w:t>CARNAUDMETALBOX</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7620</wp:posOffset>
            </wp:positionV>
            <wp:extent cx="24523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Paul Browett</w:t>
      </w:r>
    </w:p>
    <w:p>
      <w:pPr>
        <w:spacing w:after="0" w:line="229"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22"/>
          <w:szCs w:val="22"/>
          <w:color w:val="auto"/>
        </w:rPr>
        <w:t>Title:</w:t>
        <w:tab/>
        <w:t>Président</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I-8</w:t>
      </w:r>
    </w:p>
    <w:p>
      <w:pPr>
        <w:sectPr>
          <w:pgSz w:w="11900" w:h="16838" w:orient="portrait"/>
          <w:cols w:equalWidth="0" w:num="1">
            <w:col w:w="9040"/>
          </w:cols>
          <w:pgMar w:left="1440" w:top="267" w:right="1419" w:bottom="1440" w:gutter="0" w:footer="0" w:header="0"/>
        </w:sectPr>
      </w:pPr>
    </w:p>
    <w:bookmarkStart w:id="188" w:name="page189"/>
    <w:bookmarkEnd w:id="188"/>
    <w:p>
      <w:pPr>
        <w:ind w:left="55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GUNTER SAS</w:t>
      </w:r>
    </w:p>
    <w:p>
      <w:pPr>
        <w:spacing w:after="0" w:line="35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7620</wp:posOffset>
            </wp:positionV>
            <wp:extent cx="25126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Name: Nils Stenger</w:t>
      </w:r>
    </w:p>
    <w:p>
      <w:pPr>
        <w:jc w:val="right"/>
        <w:ind w:right="579"/>
        <w:spacing w:after="0" w:line="234" w:lineRule="auto"/>
        <w:rPr>
          <w:sz w:val="20"/>
          <w:szCs w:val="20"/>
          <w:color w:val="auto"/>
        </w:rPr>
      </w:pPr>
      <w:r>
        <w:rPr>
          <w:rFonts w:ascii="Arial" w:cs="Arial" w:eastAsia="Arial" w:hAnsi="Arial"/>
          <w:sz w:val="22"/>
          <w:szCs w:val="22"/>
          <w:color w:val="auto"/>
        </w:rPr>
        <w:t>Gérant de la Société</w:t>
      </w:r>
    </w:p>
    <w:p>
      <w:pPr>
        <w:ind w:left="6060"/>
        <w:spacing w:after="0"/>
        <w:rPr>
          <w:sz w:val="20"/>
          <w:szCs w:val="20"/>
          <w:color w:val="auto"/>
        </w:rPr>
      </w:pPr>
      <w:r>
        <w:rPr>
          <w:rFonts w:ascii="Arial" w:cs="Arial" w:eastAsia="Arial" w:hAnsi="Arial"/>
          <w:sz w:val="22"/>
          <w:szCs w:val="22"/>
          <w:color w:val="auto"/>
        </w:rPr>
        <w:t>Title: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I-9</w:t>
      </w:r>
    </w:p>
    <w:p>
      <w:pPr>
        <w:sectPr>
          <w:pgSz w:w="11900" w:h="16838" w:orient="portrait"/>
          <w:cols w:equalWidth="0" w:num="1">
            <w:col w:w="9019"/>
          </w:cols>
          <w:pgMar w:left="1440" w:top="267" w:right="1440" w:bottom="1440" w:gutter="0" w:footer="0" w:header="0"/>
        </w:sectPr>
      </w:pPr>
    </w:p>
    <w:bookmarkStart w:id="189" w:name="page190"/>
    <w:bookmarkEnd w:id="189"/>
    <w:p>
      <w:pPr>
        <w:ind w:left="5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LITEC FRANCE SAS</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  Nils Stenger</w:t>
      </w:r>
    </w:p>
    <w:p>
      <w:pPr>
        <w:spacing w:after="0" w:line="4"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MIMA PACKAGING SYSTEMS SAS</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  Nils Stenger</w:t>
      </w:r>
    </w:p>
    <w:p>
      <w:pPr>
        <w:spacing w:after="0" w:line="4"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NORDIC SAS</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  Nils Stenger</w:t>
      </w:r>
    </w:p>
    <w:p>
      <w:pPr>
        <w:spacing w:after="0" w:line="4"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SOCIÉTÉ CIVILE IMMOBILIÉRE DES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BACQUETS</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  Nils Stenger</w:t>
      </w:r>
    </w:p>
    <w:p>
      <w:pPr>
        <w:spacing w:after="0" w:line="229"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Director</w:t>
      </w:r>
    </w:p>
    <w:p>
      <w:pPr>
        <w:spacing w:after="0" w:line="139"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I-10</w:t>
      </w:r>
    </w:p>
    <w:p>
      <w:pPr>
        <w:sectPr>
          <w:pgSz w:w="11900" w:h="16838" w:orient="portrait"/>
          <w:cols w:equalWidth="0" w:num="1">
            <w:col w:w="9220"/>
          </w:cols>
          <w:pgMar w:left="1440" w:top="267" w:right="1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SOCIÉTÉ CIVILE IMMOBILIÉRE ROUSSEAU-IVRY</w:t>
      </w:r>
    </w:p>
    <w:p>
      <w:pPr>
        <w:spacing w:after="0" w:line="382" w:lineRule="exact"/>
        <w:rPr>
          <w:sz w:val="20"/>
          <w:szCs w:val="20"/>
          <w:color w:val="auto"/>
        </w:rPr>
      </w:pPr>
    </w:p>
    <w:p>
      <w:pPr>
        <w:jc w:val="center"/>
        <w:ind w:left="1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-8890</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840"/>
        <w:spacing w:after="0" w:line="238" w:lineRule="auto"/>
        <w:rPr>
          <w:sz w:val="20"/>
          <w:szCs w:val="20"/>
          <w:color w:val="auto"/>
        </w:rPr>
      </w:pPr>
      <w:r>
        <w:rPr>
          <w:rFonts w:ascii="Arial" w:cs="Arial" w:eastAsia="Arial" w:hAnsi="Arial"/>
          <w:sz w:val="22"/>
          <w:szCs w:val="22"/>
          <w:color w:val="auto"/>
        </w:rPr>
        <w:t>Name:  Nils Stenger</w:t>
      </w:r>
    </w:p>
    <w:p>
      <w:pPr>
        <w:ind w:left="5840"/>
        <w:spacing w:after="0"/>
        <w:tabs>
          <w:tab w:leader="none" w:pos="654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SCYBELE SAS</w:t>
      </w:r>
    </w:p>
    <w:p>
      <w:pPr>
        <w:spacing w:after="0" w:line="233" w:lineRule="exact"/>
        <w:rPr>
          <w:sz w:val="20"/>
          <w:szCs w:val="20"/>
          <w:color w:val="auto"/>
        </w:rPr>
      </w:pPr>
    </w:p>
    <w:p>
      <w:pPr>
        <w:jc w:val="center"/>
        <w:ind w:left="1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-8890</wp:posOffset>
            </wp:positionV>
            <wp:extent cx="26587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840"/>
        <w:spacing w:after="0" w:line="238" w:lineRule="auto"/>
        <w:rPr>
          <w:sz w:val="20"/>
          <w:szCs w:val="20"/>
          <w:color w:val="auto"/>
        </w:rPr>
      </w:pPr>
      <w:r>
        <w:rPr>
          <w:rFonts w:ascii="Arial" w:cs="Arial" w:eastAsia="Arial" w:hAnsi="Arial"/>
          <w:sz w:val="22"/>
          <w:szCs w:val="22"/>
          <w:color w:val="auto"/>
        </w:rPr>
        <w:t>Name:  Nils Stenger</w:t>
      </w:r>
    </w:p>
    <w:p>
      <w:pPr>
        <w:ind w:left="5840"/>
        <w:spacing w:after="0"/>
        <w:tabs>
          <w:tab w:leader="none" w:pos="654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SPG FRANCE HOLDINGS SAS</w:t>
      </w:r>
    </w:p>
    <w:p>
      <w:pPr>
        <w:spacing w:after="0" w:line="382" w:lineRule="exact"/>
        <w:rPr>
          <w:sz w:val="20"/>
          <w:szCs w:val="20"/>
          <w:color w:val="auto"/>
        </w:rPr>
      </w:pPr>
    </w:p>
    <w:p>
      <w:pPr>
        <w:jc w:val="center"/>
        <w:ind w:left="1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-8890</wp:posOffset>
            </wp:positionV>
            <wp:extent cx="26587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840"/>
        <w:spacing w:after="0" w:line="238" w:lineRule="auto"/>
        <w:rPr>
          <w:sz w:val="20"/>
          <w:szCs w:val="20"/>
          <w:color w:val="auto"/>
        </w:rPr>
      </w:pPr>
      <w:r>
        <w:rPr>
          <w:rFonts w:ascii="Arial" w:cs="Arial" w:eastAsia="Arial" w:hAnsi="Arial"/>
          <w:sz w:val="22"/>
          <w:szCs w:val="22"/>
          <w:color w:val="auto"/>
        </w:rPr>
        <w:t>Name:  Nils Stenger</w:t>
      </w:r>
    </w:p>
    <w:p>
      <w:pPr>
        <w:ind w:left="5840"/>
        <w:spacing w:after="0"/>
        <w:tabs>
          <w:tab w:leader="none" w:pos="654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STRAPEX SAS</w:t>
      </w:r>
    </w:p>
    <w:p>
      <w:pPr>
        <w:spacing w:after="0" w:line="382" w:lineRule="exact"/>
        <w:rPr>
          <w:sz w:val="20"/>
          <w:szCs w:val="20"/>
          <w:color w:val="auto"/>
        </w:rPr>
      </w:pPr>
    </w:p>
    <w:p>
      <w:pPr>
        <w:jc w:val="center"/>
        <w:ind w:left="1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-8890</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840"/>
        <w:spacing w:after="0" w:line="238" w:lineRule="auto"/>
        <w:rPr>
          <w:sz w:val="20"/>
          <w:szCs w:val="20"/>
          <w:color w:val="auto"/>
        </w:rPr>
      </w:pPr>
      <w:r>
        <w:rPr>
          <w:rFonts w:ascii="Arial" w:cs="Arial" w:eastAsia="Arial" w:hAnsi="Arial"/>
          <w:sz w:val="22"/>
          <w:szCs w:val="22"/>
          <w:color w:val="auto"/>
        </w:rPr>
        <w:t>Name:  Nils Stenger</w:t>
      </w:r>
    </w:p>
    <w:p>
      <w:pPr>
        <w:ind w:left="5840"/>
        <w:spacing w:after="0"/>
        <w:tabs>
          <w:tab w:leader="none" w:pos="6540" w:val="left"/>
        </w:tabs>
        <w:rPr>
          <w:sz w:val="20"/>
          <w:szCs w:val="20"/>
          <w:color w:val="auto"/>
        </w:rPr>
      </w:pPr>
      <w:r>
        <w:rPr>
          <w:rFonts w:ascii="Arial" w:cs="Arial" w:eastAsia="Arial" w:hAnsi="Arial"/>
          <w:sz w:val="22"/>
          <w:szCs w:val="22"/>
          <w:color w:val="auto"/>
        </w:rPr>
        <w:t>Title:</w:t>
        <w:tab/>
        <w:t>Director</w:t>
      </w:r>
    </w:p>
    <w:p>
      <w:pPr>
        <w:spacing w:after="0" w:line="12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I-11</w:t>
      </w:r>
    </w:p>
    <w:p>
      <w:pPr>
        <w:sectPr>
          <w:pgSz w:w="11900" w:h="16838" w:orient="portrait"/>
          <w:cols w:equalWidth="0" w:num="1">
            <w:col w:w="10020"/>
          </w:cols>
          <w:pgMar w:left="1440" w:top="267" w:right="439" w:bottom="1440" w:gutter="0" w:footer="0" w:header="0"/>
        </w:sectPr>
      </w:pPr>
    </w:p>
    <w:bookmarkStart w:id="191" w:name="page192"/>
    <w:bookmarkEnd w:id="191"/>
    <w:p>
      <w:pPr>
        <w:ind w:left="48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FOODCAN GERMANY GMBH</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CROWN FOODCAN GMBH</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7620</wp:posOffset>
            </wp:positionV>
            <wp:extent cx="268414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John Beardsley</w:t>
      </w:r>
    </w:p>
    <w:p>
      <w:pPr>
        <w:spacing w:after="0" w:line="4" w:lineRule="exact"/>
        <w:rPr>
          <w:sz w:val="20"/>
          <w:szCs w:val="20"/>
          <w:color w:val="auto"/>
        </w:rPr>
      </w:pPr>
    </w:p>
    <w:p>
      <w:pPr>
        <w:ind w:left="5440"/>
        <w:spacing w:after="0"/>
        <w:tabs>
          <w:tab w:leader="none" w:pos="6160" w:val="left"/>
        </w:tabs>
        <w:rPr>
          <w:sz w:val="20"/>
          <w:szCs w:val="20"/>
          <w:color w:val="auto"/>
        </w:rPr>
      </w:pPr>
      <w:r>
        <w:rPr>
          <w:rFonts w:ascii="Arial" w:cs="Arial" w:eastAsia="Arial" w:hAnsi="Arial"/>
          <w:sz w:val="22"/>
          <w:szCs w:val="22"/>
          <w:color w:val="auto"/>
        </w:rPr>
        <w:t>Title:</w:t>
        <w:tab/>
        <w:t>Managing Director</w:t>
      </w:r>
    </w:p>
    <w:p>
      <w:pPr>
        <w:spacing w:after="0" w:line="33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CROWN COMMERCIAL</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VERMÖGENSVERWALTUNG GMBH</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7620</wp:posOffset>
            </wp:positionV>
            <wp:extent cx="26841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Rolf Willke</w:t>
      </w:r>
    </w:p>
    <w:p>
      <w:pPr>
        <w:spacing w:after="0" w:line="4" w:lineRule="exact"/>
        <w:rPr>
          <w:sz w:val="20"/>
          <w:szCs w:val="20"/>
          <w:color w:val="auto"/>
        </w:rPr>
      </w:pPr>
    </w:p>
    <w:p>
      <w:pPr>
        <w:ind w:left="5440"/>
        <w:spacing w:after="0"/>
        <w:tabs>
          <w:tab w:leader="none" w:pos="6160" w:val="left"/>
        </w:tabs>
        <w:rPr>
          <w:sz w:val="20"/>
          <w:szCs w:val="20"/>
          <w:color w:val="auto"/>
        </w:rPr>
      </w:pPr>
      <w:r>
        <w:rPr>
          <w:rFonts w:ascii="Arial" w:cs="Arial" w:eastAsia="Arial" w:hAnsi="Arial"/>
          <w:sz w:val="22"/>
          <w:szCs w:val="22"/>
          <w:color w:val="auto"/>
        </w:rPr>
        <w:t>Title:</w:t>
        <w:tab/>
        <w:t>Managing Director</w:t>
      </w:r>
    </w:p>
    <w:p>
      <w:pPr>
        <w:spacing w:after="0" w:line="337" w:lineRule="exact"/>
        <w:rPr>
          <w:sz w:val="20"/>
          <w:szCs w:val="20"/>
          <w:color w:val="auto"/>
        </w:rPr>
      </w:pPr>
    </w:p>
    <w:p>
      <w:pPr>
        <w:ind w:left="4880"/>
        <w:spacing w:after="0" w:line="348" w:lineRule="auto"/>
        <w:rPr>
          <w:sz w:val="20"/>
          <w:szCs w:val="20"/>
          <w:color w:val="auto"/>
        </w:rPr>
      </w:pPr>
      <w:r>
        <w:rPr>
          <w:rFonts w:ascii="Arial" w:cs="Arial" w:eastAsia="Arial" w:hAnsi="Arial"/>
          <w:sz w:val="22"/>
          <w:szCs w:val="22"/>
          <w:color w:val="auto"/>
        </w:rPr>
        <w:t>CROWN COMMERCIAL GERMANY GMBH &amp; CO. KG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-5715</wp:posOffset>
            </wp:positionV>
            <wp:extent cx="26841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440"/>
        <w:spacing w:after="0"/>
        <w:rPr>
          <w:sz w:val="20"/>
          <w:szCs w:val="20"/>
          <w:color w:val="auto"/>
        </w:rPr>
      </w:pPr>
      <w:r>
        <w:rPr>
          <w:rFonts w:ascii="Arial" w:cs="Arial" w:eastAsia="Arial" w:hAnsi="Arial"/>
          <w:sz w:val="22"/>
          <w:szCs w:val="22"/>
          <w:color w:val="auto"/>
        </w:rPr>
        <w:t>Name:  Rolf Willke</w:t>
      </w:r>
    </w:p>
    <w:p>
      <w:pPr>
        <w:spacing w:after="0" w:line="4" w:lineRule="exact"/>
        <w:rPr>
          <w:sz w:val="20"/>
          <w:szCs w:val="20"/>
          <w:color w:val="auto"/>
        </w:rPr>
      </w:pPr>
    </w:p>
    <w:p>
      <w:pPr>
        <w:ind w:left="5440"/>
        <w:spacing w:after="0"/>
        <w:tabs>
          <w:tab w:leader="none" w:pos="6160" w:val="left"/>
        </w:tabs>
        <w:rPr>
          <w:sz w:val="20"/>
          <w:szCs w:val="20"/>
          <w:color w:val="auto"/>
        </w:rPr>
      </w:pPr>
      <w:r>
        <w:rPr>
          <w:rFonts w:ascii="Arial" w:cs="Arial" w:eastAsia="Arial" w:hAnsi="Arial"/>
          <w:sz w:val="22"/>
          <w:szCs w:val="22"/>
          <w:color w:val="auto"/>
        </w:rPr>
        <w:t>Title:</w:t>
        <w:tab/>
        <w:t>Managing Director</w:t>
      </w:r>
    </w:p>
    <w:p>
      <w:pPr>
        <w:spacing w:after="0" w:line="33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CROWN CORK &amp; SEAL DEUTSCHLAND</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HOLDINGS GMBH</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7620</wp:posOffset>
            </wp:positionV>
            <wp:extent cx="26841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Rolf Willke</w:t>
      </w:r>
    </w:p>
    <w:p>
      <w:pPr>
        <w:spacing w:after="0" w:line="4" w:lineRule="exact"/>
        <w:rPr>
          <w:sz w:val="20"/>
          <w:szCs w:val="20"/>
          <w:color w:val="auto"/>
        </w:rPr>
      </w:pPr>
    </w:p>
    <w:p>
      <w:pPr>
        <w:ind w:left="5440"/>
        <w:spacing w:after="0"/>
        <w:tabs>
          <w:tab w:leader="none" w:pos="6140" w:val="left"/>
        </w:tabs>
        <w:rPr>
          <w:sz w:val="20"/>
          <w:szCs w:val="20"/>
          <w:color w:val="auto"/>
        </w:rPr>
      </w:pPr>
      <w:r>
        <w:rPr>
          <w:rFonts w:ascii="Arial" w:cs="Arial" w:eastAsia="Arial" w:hAnsi="Arial"/>
          <w:sz w:val="22"/>
          <w:szCs w:val="22"/>
          <w:color w:val="auto"/>
        </w:rPr>
        <w:t>Title:</w:t>
        <w:tab/>
        <w:t>Authorized Representative</w:t>
      </w:r>
    </w:p>
    <w:p>
      <w:pPr>
        <w:spacing w:after="0" w:line="12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I-12</w:t>
      </w:r>
    </w:p>
    <w:p>
      <w:pPr>
        <w:sectPr>
          <w:pgSz w:w="11900" w:h="16838" w:orient="portrait"/>
          <w:cols w:equalWidth="0" w:num="1">
            <w:col w:w="10040"/>
          </w:cols>
          <w:pgMar w:left="1440" w:top="267" w:right="419" w:bottom="1440" w:gutter="0" w:footer="0" w:header="0"/>
        </w:sectPr>
      </w:pPr>
    </w:p>
    <w:bookmarkStart w:id="192" w:name="page193"/>
    <w:bookmarkEnd w:id="192"/>
    <w:p>
      <w:pPr>
        <w:ind w:left="4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SPG PACKAGING SYSTEMS GMBH</w:t>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30187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Name:  Ellen Fleischmann</w:t>
      </w:r>
    </w:p>
    <w:p>
      <w:pPr>
        <w:spacing w:after="0" w:line="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22"/>
          <w:szCs w:val="22"/>
          <w:color w:val="auto"/>
        </w:rPr>
        <w:t>Title:</w:t>
        <w:tab/>
        <w:t>Business Unit Manager</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KIWIPLAN GMBH</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30187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Name:  Steve Whillis</w:t>
      </w:r>
    </w:p>
    <w:p>
      <w:pPr>
        <w:spacing w:after="0" w:line="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22"/>
          <w:szCs w:val="22"/>
          <w:color w:val="auto"/>
        </w:rPr>
        <w:t>Title:</w:t>
        <w:tab/>
        <w:t>Business Unit Manager – EMEA</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MEZGER HEFTSYSTEME GMBH</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30187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Name:  Ellen Fleischmann</w:t>
      </w:r>
    </w:p>
    <w:p>
      <w:pPr>
        <w:spacing w:after="0" w:line="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22"/>
          <w:szCs w:val="22"/>
          <w:color w:val="auto"/>
        </w:rPr>
        <w:t>Title:</w:t>
        <w:tab/>
        <w:t>Business Unit Manager</w:t>
      </w:r>
    </w:p>
    <w:p>
      <w:pPr>
        <w:spacing w:after="0" w:line="337" w:lineRule="exact"/>
        <w:rPr>
          <w:sz w:val="20"/>
          <w:szCs w:val="20"/>
          <w:color w:val="auto"/>
        </w:rPr>
      </w:pPr>
    </w:p>
    <w:p>
      <w:pPr>
        <w:ind w:left="4620"/>
        <w:spacing w:after="0" w:line="348" w:lineRule="auto"/>
        <w:rPr>
          <w:sz w:val="20"/>
          <w:szCs w:val="20"/>
          <w:color w:val="auto"/>
        </w:rPr>
      </w:pPr>
      <w:r>
        <w:rPr>
          <w:rFonts w:ascii="Arial" w:cs="Arial" w:eastAsia="Arial" w:hAnsi="Arial"/>
          <w:sz w:val="22"/>
          <w:szCs w:val="22"/>
          <w:color w:val="auto"/>
        </w:rPr>
        <w:t>SIGNODE PACKAGING EQUIPMENT GERMANY GMBH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-5715</wp:posOffset>
            </wp:positionV>
            <wp:extent cx="30187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color w:val="auto"/>
        </w:rPr>
        <w:t>Name:  Gynter Lorenzen</w:t>
      </w:r>
    </w:p>
    <w:p>
      <w:pPr>
        <w:spacing w:after="0" w:line="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22"/>
          <w:szCs w:val="22"/>
          <w:color w:val="auto"/>
        </w:rPr>
        <w:t>Title:</w:t>
        <w:tab/>
        <w:t>GESCHÄFTSFÜHRER</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SIGNODE SYSTEM GMBH</w:t>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30187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Name:  Oliver Schmid</w:t>
      </w:r>
    </w:p>
    <w:p>
      <w:pPr>
        <w:spacing w:after="0" w:line="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22"/>
          <w:szCs w:val="22"/>
          <w:color w:val="auto"/>
        </w:rPr>
        <w:t>Title:</w:t>
        <w:tab/>
        <w:t>GESCHÄFTSFÜHRER</w:t>
      </w:r>
    </w:p>
    <w:p>
      <w:pPr>
        <w:spacing w:after="0" w:line="12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I-13</w:t>
      </w:r>
    </w:p>
    <w:p>
      <w:pPr>
        <w:sectPr>
          <w:pgSz w:w="11900" w:h="16838" w:orient="portrait"/>
          <w:cols w:equalWidth="0" w:num="1">
            <w:col w:w="10020"/>
          </w:cols>
          <w:pgMar w:left="1440" w:top="267" w:right="439" w:bottom="1440" w:gutter="0" w:footer="0" w:header="0"/>
        </w:sectPr>
      </w:pPr>
    </w:p>
    <w:bookmarkStart w:id="193" w:name="page194"/>
    <w:bookmarkEnd w:id="193"/>
    <w:p>
      <w:pPr>
        <w:ind w:left="5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SPG GERMANY SERVICE</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MANAGEMENT GMBH</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Nils Stenger</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GESCHÄFTSFÜHRER</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SIGNODE INDUSTRIAL GROUP GMBH</w:t>
      </w:r>
    </w:p>
    <w:p>
      <w:pPr>
        <w:spacing w:after="0" w:line="355"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John Paulsen</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GESCHÄFTSFÜHRER</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SIGNODE SYSTEM PACKAGING GMBH &amp; CO</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KG</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Oliver Schmid</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19"/>
          <w:szCs w:val="19"/>
          <w:color w:val="auto"/>
        </w:rPr>
        <w:t>Title:</w:t>
        <w:tab/>
        <w:t>GESCHÄFTSFÜHRER of the General</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Partner, SIGNODE SYSTEM GMBH</w:t>
      </w:r>
    </w:p>
    <w:p>
      <w:pPr>
        <w:spacing w:after="0" w:line="350"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SMB SCHWEDE MASCHINENBAU GMBH</w:t>
      </w:r>
    </w:p>
    <w:p>
      <w:pPr>
        <w:spacing w:after="0" w:line="355"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Ellen Fleischmann</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Business Unit Manager</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SMP SCHWEDE MASCHINENBAU</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WEISCHLITZ GMBH</w:t>
      </w:r>
    </w:p>
    <w:p>
      <w:pPr>
        <w:spacing w:after="0" w:line="33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7620</wp:posOffset>
            </wp:positionV>
            <wp:extent cx="26841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Ellen Fleischmann</w:t>
      </w:r>
    </w:p>
    <w:p>
      <w:pPr>
        <w:spacing w:after="0" w:line="4"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22"/>
          <w:szCs w:val="22"/>
          <w:color w:val="auto"/>
        </w:rPr>
        <w:t>Title:</w:t>
        <w:tab/>
        <w:t>Business Unit Manager</w:t>
      </w:r>
    </w:p>
    <w:p>
      <w:pPr>
        <w:spacing w:after="0" w:line="36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I-14</w:t>
      </w:r>
    </w:p>
    <w:p>
      <w:pPr>
        <w:sectPr>
          <w:pgSz w:w="11900" w:h="16838" w:orient="portrait"/>
          <w:cols w:equalWidth="0" w:num="1">
            <w:col w:w="9900"/>
          </w:cols>
          <w:pgMar w:left="1440" w:top="267" w:right="55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LUX III, S.À.R.L.</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7620</wp:posOffset>
            </wp:positionV>
            <wp:extent cx="24523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Paul Browett</w:t>
      </w:r>
    </w:p>
    <w:p>
      <w:pPr>
        <w:spacing w:after="0" w:line="4"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22"/>
          <w:szCs w:val="22"/>
          <w:color w:val="auto"/>
        </w:rPr>
        <w:t>Title:</w:t>
        <w:tab/>
        <w:t>Manager A</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7620</wp:posOffset>
            </wp:positionV>
            <wp:extent cx="24523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Laurent Gérard</w:t>
      </w:r>
    </w:p>
    <w:p>
      <w:pPr>
        <w:spacing w:after="0" w:line="229"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22"/>
          <w:szCs w:val="22"/>
          <w:color w:val="auto"/>
        </w:rPr>
        <w:t>Title:</w:t>
        <w:tab/>
        <w:t>Manager B</w:t>
      </w:r>
    </w:p>
    <w:p>
      <w:pPr>
        <w:spacing w:after="0" w:line="139"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I-15</w:t>
      </w:r>
    </w:p>
    <w:p>
      <w:pPr>
        <w:sectPr>
          <w:pgSz w:w="11900" w:h="16838" w:orient="portrait"/>
          <w:cols w:equalWidth="0" w:num="1">
            <w:col w:w="9380"/>
          </w:cols>
          <w:pgMar w:left="1440" w:top="267" w:right="1079" w:bottom="1440" w:gutter="0" w:footer="0" w:header="0"/>
        </w:sectPr>
      </w:pPr>
    </w:p>
    <w:bookmarkStart w:id="195" w:name="page196"/>
    <w:bookmarkEnd w:id="195"/>
    <w:p>
      <w:pPr>
        <w:ind w:left="560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HOLDINGS</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LUX S.À.R.L.</w:t>
      </w:r>
    </w:p>
    <w:p>
      <w:pPr>
        <w:spacing w:after="0" w:line="33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880" w:type="dxa"/>
            <w:vAlign w:val="bottom"/>
            <w:tcBorders>
              <w:top w:val="single" w:sz="8" w:color="auto"/>
            </w:tcBorders>
            <w:gridSpan w:val="2"/>
          </w:tcPr>
          <w:p>
            <w:pPr>
              <w:spacing w:after="0" w:line="228" w:lineRule="exact"/>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48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A</w:t>
            </w:r>
          </w:p>
        </w:tc>
      </w:tr>
      <w:tr>
        <w:trPr>
          <w:trHeight w:val="598"/>
        </w:trPr>
        <w:tc>
          <w:tcPr>
            <w:tcW w:w="1360" w:type="dxa"/>
            <w:vAlign w:val="bottom"/>
            <w:gridSpan w:val="3"/>
          </w:tcPr>
          <w:p>
            <w:pPr>
              <w:spacing w:after="0"/>
              <w:rPr>
                <w:sz w:val="20"/>
                <w:szCs w:val="20"/>
                <w:color w:val="auto"/>
              </w:rPr>
            </w:pPr>
            <w:r>
              <w:rPr>
                <w:rFonts w:ascii="Arial" w:cs="Arial" w:eastAsia="Arial" w:hAnsi="Arial"/>
                <w:sz w:val="22"/>
                <w:szCs w:val="22"/>
                <w:color w:val="auto"/>
              </w:rPr>
              <w:t>By:</w:t>
            </w:r>
          </w:p>
        </w:tc>
        <w:tc>
          <w:tcPr>
            <w:tcW w:w="3080" w:type="dxa"/>
            <w:vAlign w:val="bottom"/>
          </w:tcPr>
          <w:p>
            <w:pPr>
              <w:spacing w:after="0"/>
              <w:rPr>
                <w:sz w:val="24"/>
                <w:szCs w:val="24"/>
                <w:color w:val="auto"/>
              </w:rPr>
            </w:pPr>
          </w:p>
        </w:tc>
      </w:tr>
      <w:tr>
        <w:trPr>
          <w:trHeight w:val="229"/>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spacing w:after="0" w:line="228" w:lineRule="exact"/>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line="228" w:lineRule="exact"/>
              <w:rPr>
                <w:sz w:val="20"/>
                <w:szCs w:val="20"/>
                <w:color w:val="auto"/>
              </w:rPr>
            </w:pPr>
            <w:r>
              <w:rPr>
                <w:rFonts w:ascii="Arial" w:cs="Arial" w:eastAsia="Arial" w:hAnsi="Arial"/>
                <w:sz w:val="22"/>
                <w:szCs w:val="22"/>
                <w:color w:val="auto"/>
              </w:rPr>
              <w:t>Jacques Lancelon</w:t>
            </w:r>
          </w:p>
        </w:tc>
      </w:tr>
      <w:tr>
        <w:trPr>
          <w:trHeight w:val="275"/>
        </w:trPr>
        <w:tc>
          <w:tcPr>
            <w:tcW w:w="48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B</w:t>
            </w:r>
          </w:p>
        </w:tc>
      </w:tr>
    </w:tbl>
    <w:p>
      <w:pPr>
        <w:spacing w:after="0" w:line="3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SIGNODE INDUSTRIAL GROUP LUX S.A.</w:t>
      </w:r>
    </w:p>
    <w:p>
      <w:pPr>
        <w:spacing w:after="0" w:line="35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880" w:type="dxa"/>
            <w:vAlign w:val="bottom"/>
            <w:tcBorders>
              <w:top w:val="single" w:sz="8" w:color="auto"/>
            </w:tcBorders>
            <w:gridSpan w:val="2"/>
          </w:tcPr>
          <w:p>
            <w:pPr>
              <w:spacing w:after="0" w:line="228" w:lineRule="exact"/>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48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A</w:t>
            </w:r>
          </w:p>
        </w:tc>
      </w:tr>
      <w:tr>
        <w:trPr>
          <w:trHeight w:val="598"/>
        </w:trPr>
        <w:tc>
          <w:tcPr>
            <w:tcW w:w="1360" w:type="dxa"/>
            <w:vAlign w:val="bottom"/>
            <w:gridSpan w:val="3"/>
          </w:tcPr>
          <w:p>
            <w:pPr>
              <w:spacing w:after="0"/>
              <w:rPr>
                <w:sz w:val="20"/>
                <w:szCs w:val="20"/>
                <w:color w:val="auto"/>
              </w:rPr>
            </w:pPr>
            <w:r>
              <w:rPr>
                <w:rFonts w:ascii="Arial" w:cs="Arial" w:eastAsia="Arial" w:hAnsi="Arial"/>
                <w:sz w:val="22"/>
                <w:szCs w:val="22"/>
                <w:color w:val="auto"/>
              </w:rPr>
              <w:t>By:</w:t>
            </w:r>
          </w:p>
        </w:tc>
        <w:tc>
          <w:tcPr>
            <w:tcW w:w="3080" w:type="dxa"/>
            <w:vAlign w:val="bottom"/>
          </w:tcPr>
          <w:p>
            <w:pPr>
              <w:spacing w:after="0"/>
              <w:rPr>
                <w:sz w:val="24"/>
                <w:szCs w:val="24"/>
                <w:color w:val="auto"/>
              </w:rPr>
            </w:pPr>
          </w:p>
        </w:tc>
      </w:tr>
      <w:tr>
        <w:trPr>
          <w:trHeight w:val="229"/>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spacing w:after="0" w:line="228" w:lineRule="exact"/>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line="228" w:lineRule="exact"/>
              <w:rPr>
                <w:sz w:val="20"/>
                <w:szCs w:val="20"/>
                <w:color w:val="auto"/>
              </w:rPr>
            </w:pPr>
            <w:r>
              <w:rPr>
                <w:rFonts w:ascii="Arial" w:cs="Arial" w:eastAsia="Arial" w:hAnsi="Arial"/>
                <w:sz w:val="22"/>
                <w:szCs w:val="22"/>
                <w:color w:val="auto"/>
              </w:rPr>
              <w:t>Jacques Lancelon</w:t>
            </w:r>
          </w:p>
        </w:tc>
      </w:tr>
      <w:tr>
        <w:trPr>
          <w:trHeight w:val="275"/>
        </w:trPr>
        <w:tc>
          <w:tcPr>
            <w:tcW w:w="48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B</w:t>
            </w:r>
          </w:p>
        </w:tc>
      </w:tr>
    </w:tbl>
    <w:p>
      <w:pPr>
        <w:spacing w:after="0" w:line="3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SPG INDUSTRIAL PACKAGING S.À.R.L.</w:t>
      </w:r>
    </w:p>
    <w:p>
      <w:pPr>
        <w:spacing w:after="0" w:line="35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880" w:type="dxa"/>
            <w:vAlign w:val="bottom"/>
            <w:tcBorders>
              <w:top w:val="single" w:sz="8" w:color="auto"/>
            </w:tcBorders>
            <w:gridSpan w:val="2"/>
          </w:tcPr>
          <w:p>
            <w:pPr>
              <w:spacing w:after="0" w:line="228" w:lineRule="exact"/>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line="228" w:lineRule="exact"/>
              <w:rPr>
                <w:sz w:val="20"/>
                <w:szCs w:val="20"/>
                <w:color w:val="auto"/>
              </w:rPr>
            </w:pPr>
            <w:r>
              <w:rPr>
                <w:rFonts w:ascii="Arial" w:cs="Arial" w:eastAsia="Arial" w:hAnsi="Arial"/>
                <w:sz w:val="22"/>
                <w:szCs w:val="22"/>
                <w:color w:val="auto"/>
              </w:rPr>
              <w:t>Nils Stenger</w:t>
            </w:r>
          </w:p>
        </w:tc>
      </w:tr>
      <w:tr>
        <w:trPr>
          <w:trHeight w:val="275"/>
        </w:trPr>
        <w:tc>
          <w:tcPr>
            <w:tcW w:w="48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A</w:t>
            </w:r>
          </w:p>
        </w:tc>
      </w:tr>
      <w:tr>
        <w:trPr>
          <w:trHeight w:val="598"/>
        </w:trPr>
        <w:tc>
          <w:tcPr>
            <w:tcW w:w="1360" w:type="dxa"/>
            <w:vAlign w:val="bottom"/>
            <w:gridSpan w:val="3"/>
          </w:tcPr>
          <w:p>
            <w:pPr>
              <w:spacing w:after="0"/>
              <w:rPr>
                <w:sz w:val="20"/>
                <w:szCs w:val="20"/>
                <w:color w:val="auto"/>
              </w:rPr>
            </w:pPr>
            <w:r>
              <w:rPr>
                <w:rFonts w:ascii="Arial" w:cs="Arial" w:eastAsia="Arial" w:hAnsi="Arial"/>
                <w:sz w:val="22"/>
                <w:szCs w:val="22"/>
                <w:color w:val="auto"/>
              </w:rPr>
              <w:t>By:</w:t>
            </w:r>
          </w:p>
        </w:tc>
        <w:tc>
          <w:tcPr>
            <w:tcW w:w="3080" w:type="dxa"/>
            <w:vAlign w:val="bottom"/>
          </w:tcPr>
          <w:p>
            <w:pPr>
              <w:spacing w:after="0"/>
              <w:rPr>
                <w:sz w:val="24"/>
                <w:szCs w:val="24"/>
                <w:color w:val="auto"/>
              </w:rPr>
            </w:pPr>
          </w:p>
        </w:tc>
      </w:tr>
      <w:tr>
        <w:trPr>
          <w:trHeight w:val="268"/>
        </w:trPr>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3080" w:type="dxa"/>
            <w:vAlign w:val="bottom"/>
            <w:tcBorders>
              <w:top w:val="single" w:sz="8" w:color="auto"/>
            </w:tcBorders>
          </w:tcPr>
          <w:p>
            <w:pPr>
              <w:ind w:left="300"/>
              <w:spacing w:after="0"/>
              <w:rPr>
                <w:sz w:val="20"/>
                <w:szCs w:val="20"/>
                <w:color w:val="auto"/>
              </w:rPr>
            </w:pPr>
            <w:r>
              <w:rPr>
                <w:rFonts w:ascii="Arial" w:cs="Arial" w:eastAsia="Arial" w:hAnsi="Arial"/>
                <w:sz w:val="22"/>
                <w:szCs w:val="22"/>
                <w:color w:val="auto"/>
              </w:rPr>
              <w:t>Jacques Lancelon</w:t>
            </w:r>
          </w:p>
        </w:tc>
      </w:tr>
      <w:tr>
        <w:trPr>
          <w:trHeight w:val="478"/>
        </w:trPr>
        <w:tc>
          <w:tcPr>
            <w:tcW w:w="48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80" w:type="dxa"/>
            <w:vAlign w:val="bottom"/>
          </w:tcPr>
          <w:p>
            <w:pPr>
              <w:ind w:left="280"/>
              <w:spacing w:after="0"/>
              <w:rPr>
                <w:sz w:val="20"/>
                <w:szCs w:val="20"/>
                <w:color w:val="auto"/>
              </w:rPr>
            </w:pPr>
            <w:r>
              <w:rPr>
                <w:rFonts w:ascii="Arial" w:cs="Arial" w:eastAsia="Arial" w:hAnsi="Arial"/>
                <w:sz w:val="22"/>
                <w:szCs w:val="22"/>
                <w:color w:val="auto"/>
              </w:rPr>
              <w:t>Manager B</w:t>
            </w:r>
          </w:p>
        </w:tc>
      </w:tr>
    </w:tbl>
    <w:p>
      <w:pPr>
        <w:spacing w:after="0" w:line="11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I-16</w:t>
      </w:r>
    </w:p>
    <w:p>
      <w:pPr>
        <w:sectPr>
          <w:pgSz w:w="11900" w:h="16838" w:orient="portrait"/>
          <w:cols w:equalWidth="0" w:num="1">
            <w:col w:w="10040"/>
          </w:cols>
          <w:pgMar w:left="1440" w:top="267" w:right="419" w:bottom="1440" w:gutter="0" w:footer="0" w:header="0"/>
        </w:sectPr>
      </w:pPr>
    </w:p>
    <w:bookmarkStart w:id="196" w:name="page197"/>
    <w:bookmarkEnd w:id="196"/>
    <w:p>
      <w:pPr>
        <w:jc w:val="right"/>
        <w:ind w:right="12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MIMA FILMS S.À.R.L.</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Laurent Gérard</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Jacques Lancelon</w:t>
      </w:r>
    </w:p>
    <w:p>
      <w:pPr>
        <w:spacing w:after="0" w:line="38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Nils Stenger</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I-17</w:t>
      </w:r>
    </w:p>
    <w:p>
      <w:pPr>
        <w:sectPr>
          <w:pgSz w:w="11900" w:h="16838" w:orient="portrait"/>
          <w:cols w:equalWidth="0" w:num="1">
            <w:col w:w="9019"/>
          </w:cols>
          <w:pgMar w:left="1440" w:top="267" w:right="1440" w:bottom="1440" w:gutter="0" w:footer="0" w:header="0"/>
        </w:sectPr>
      </w:pPr>
    </w:p>
    <w:bookmarkStart w:id="197" w:name="page198"/>
    <w:bookmarkEnd w:id="197"/>
    <w:p>
      <w:pPr>
        <w:ind w:left="51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ENVASES MEXICO, S.A. DE C.V.</w:t>
      </w:r>
    </w:p>
    <w:p>
      <w:pPr>
        <w:spacing w:after="0" w:line="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FÁBRICAS MONTERREY, S.A. DE C.V.</w:t>
      </w:r>
    </w:p>
    <w:p>
      <w:pPr>
        <w:ind w:left="5160"/>
        <w:spacing w:after="0" w:line="230" w:lineRule="auto"/>
        <w:rPr>
          <w:sz w:val="20"/>
          <w:szCs w:val="20"/>
          <w:color w:val="auto"/>
        </w:rPr>
      </w:pPr>
      <w:r>
        <w:rPr>
          <w:rFonts w:ascii="Arial" w:cs="Arial" w:eastAsia="Arial" w:hAnsi="Arial"/>
          <w:sz w:val="22"/>
          <w:szCs w:val="22"/>
          <w:color w:val="auto"/>
        </w:rPr>
        <w:t>CIERRES HERMÉTICOS, S.A. DE C.V.</w:t>
      </w:r>
    </w:p>
    <w:p>
      <w:pPr>
        <w:ind w:left="5160"/>
        <w:spacing w:after="0" w:line="231" w:lineRule="auto"/>
        <w:rPr>
          <w:sz w:val="20"/>
          <w:szCs w:val="20"/>
          <w:color w:val="auto"/>
        </w:rPr>
      </w:pPr>
      <w:r>
        <w:rPr>
          <w:rFonts w:ascii="Arial" w:cs="Arial" w:eastAsia="Arial" w:hAnsi="Arial"/>
          <w:sz w:val="22"/>
          <w:szCs w:val="22"/>
          <w:color w:val="auto"/>
        </w:rPr>
        <w:t>CROWN FAMOSA, S.A. DE C.V.</w:t>
      </w:r>
    </w:p>
    <w:p>
      <w:pPr>
        <w:ind w:left="5160"/>
        <w:spacing w:after="0" w:line="230" w:lineRule="auto"/>
        <w:rPr>
          <w:sz w:val="20"/>
          <w:szCs w:val="20"/>
          <w:color w:val="auto"/>
        </w:rPr>
      </w:pPr>
      <w:r>
        <w:rPr>
          <w:rFonts w:ascii="Arial" w:cs="Arial" w:eastAsia="Arial" w:hAnsi="Arial"/>
          <w:sz w:val="22"/>
          <w:szCs w:val="22"/>
          <w:color w:val="auto"/>
        </w:rPr>
        <w:t>PROLATAMEX, S.A. DE C.V.</w:t>
      </w:r>
    </w:p>
    <w:p>
      <w:pPr>
        <w:ind w:left="5160"/>
        <w:spacing w:after="0" w:line="231" w:lineRule="auto"/>
        <w:rPr>
          <w:sz w:val="20"/>
          <w:szCs w:val="20"/>
          <w:color w:val="auto"/>
        </w:rPr>
      </w:pPr>
      <w:r>
        <w:rPr>
          <w:rFonts w:ascii="Arial" w:cs="Arial" w:eastAsia="Arial" w:hAnsi="Arial"/>
          <w:sz w:val="22"/>
          <w:szCs w:val="22"/>
          <w:color w:val="auto"/>
        </w:rPr>
        <w:t>SILICES DE VERACRUZ, S.A. DE C.V.</w:t>
      </w:r>
    </w:p>
    <w:p>
      <w:pPr>
        <w:ind w:left="5160"/>
        <w:spacing w:after="0" w:line="231" w:lineRule="auto"/>
        <w:rPr>
          <w:sz w:val="20"/>
          <w:szCs w:val="20"/>
          <w:color w:val="auto"/>
        </w:rPr>
      </w:pPr>
      <w:r>
        <w:rPr>
          <w:rFonts w:ascii="Arial" w:cs="Arial" w:eastAsia="Arial" w:hAnsi="Arial"/>
          <w:sz w:val="22"/>
          <w:szCs w:val="22"/>
          <w:color w:val="auto"/>
        </w:rPr>
        <w:t>GLASS &amp; SILICE, S.A. DE C.V.</w:t>
      </w:r>
    </w:p>
    <w:p>
      <w:pPr>
        <w:ind w:left="5160"/>
        <w:spacing w:after="0" w:line="230" w:lineRule="auto"/>
        <w:rPr>
          <w:sz w:val="20"/>
          <w:szCs w:val="20"/>
          <w:color w:val="auto"/>
        </w:rPr>
      </w:pPr>
      <w:r>
        <w:rPr>
          <w:rFonts w:ascii="Arial" w:cs="Arial" w:eastAsia="Arial" w:hAnsi="Arial"/>
          <w:sz w:val="22"/>
          <w:szCs w:val="22"/>
          <w:color w:val="auto"/>
        </w:rPr>
        <w:t>SILICE DEL ISTMO, S.A. DE C.V.</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VICHISA, S.A. DE C.V.</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27787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640"/>
        <w:spacing w:after="0"/>
        <w:tabs>
          <w:tab w:leader="none" w:pos="6360" w:val="left"/>
        </w:tabs>
        <w:rPr>
          <w:sz w:val="20"/>
          <w:szCs w:val="20"/>
          <w:color w:val="auto"/>
        </w:rPr>
      </w:pPr>
      <w:r>
        <w:rPr>
          <w:rFonts w:ascii="Arial" w:cs="Arial" w:eastAsia="Arial" w:hAnsi="Arial"/>
          <w:sz w:val="22"/>
          <w:szCs w:val="22"/>
          <w:color w:val="auto"/>
        </w:rPr>
        <w:t>Title:</w:t>
        <w:tab/>
        <w:t>Vice President &amp; Treasurer</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CROWN MEXICAN HOLDINGS,</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DE R.L. DE C.V.</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27787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Kevin C. Clothier</w:t>
      </w:r>
    </w:p>
    <w:p>
      <w:pPr>
        <w:spacing w:after="0" w:line="4" w:lineRule="exact"/>
        <w:rPr>
          <w:sz w:val="20"/>
          <w:szCs w:val="20"/>
          <w:color w:val="auto"/>
        </w:rPr>
      </w:pPr>
    </w:p>
    <w:p>
      <w:pPr>
        <w:ind w:left="5640"/>
        <w:spacing w:after="0"/>
        <w:tabs>
          <w:tab w:leader="none" w:pos="6360" w:val="left"/>
        </w:tabs>
        <w:rPr>
          <w:sz w:val="20"/>
          <w:szCs w:val="20"/>
          <w:color w:val="auto"/>
        </w:rPr>
      </w:pPr>
      <w:r>
        <w:rPr>
          <w:rFonts w:ascii="Arial" w:cs="Arial" w:eastAsia="Arial" w:hAnsi="Arial"/>
          <w:sz w:val="22"/>
          <w:szCs w:val="22"/>
          <w:color w:val="auto"/>
        </w:rPr>
        <w:t>Title:</w:t>
        <w:tab/>
        <w:t>Vice President &amp; Treasurer</w:t>
      </w: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I-18</w:t>
      </w:r>
    </w:p>
    <w:p>
      <w:pPr>
        <w:sectPr>
          <w:pgSz w:w="11900" w:h="16838" w:orient="portrait"/>
          <w:cols w:equalWidth="0" w:num="1">
            <w:col w:w="9140"/>
          </w:cols>
          <w:pgMar w:left="1440" w:top="267" w:right="1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VERPAKKING NEDERLAND B.V.</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7620</wp:posOffset>
            </wp:positionV>
            <wp:extent cx="23666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Name:  John Beardsley</w:t>
      </w:r>
    </w:p>
    <w:p>
      <w:pPr>
        <w:spacing w:after="0" w:line="229"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22"/>
          <w:szCs w:val="22"/>
          <w:color w:val="auto"/>
        </w:rPr>
        <w:t>Title:</w:t>
        <w:tab/>
        <w:t>President</w:t>
      </w:r>
    </w:p>
    <w:p>
      <w:pPr>
        <w:spacing w:after="0" w:line="13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I-19</w:t>
      </w:r>
    </w:p>
    <w:p>
      <w:pPr>
        <w:sectPr>
          <w:pgSz w:w="11900" w:h="16838" w:orient="portrait"/>
          <w:cols w:equalWidth="0" w:num="1">
            <w:col w:w="9680"/>
          </w:cols>
          <w:pgMar w:left="1440" w:top="267" w:right="779" w:bottom="1440" w:gutter="0" w:footer="0" w:header="0"/>
        </w:sectPr>
      </w:pPr>
    </w:p>
    <w:bookmarkStart w:id="199" w:name="page200"/>
    <w:bookmarkEnd w:id="199"/>
    <w:p>
      <w:pPr>
        <w:ind w:left="5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FAMOSA B.V.</w:t>
      </w:r>
    </w:p>
    <w:p>
      <w:pPr>
        <w:ind w:left="5620"/>
        <w:spacing w:after="0" w:line="238" w:lineRule="auto"/>
        <w:rPr>
          <w:sz w:val="20"/>
          <w:szCs w:val="20"/>
          <w:color w:val="auto"/>
        </w:rPr>
      </w:pPr>
      <w:r>
        <w:rPr>
          <w:rFonts w:ascii="Arial" w:cs="Arial" w:eastAsia="Arial" w:hAnsi="Arial"/>
          <w:sz w:val="22"/>
          <w:szCs w:val="22"/>
          <w:color w:val="auto"/>
        </w:rPr>
        <w:t>SIVESA B.V.</w:t>
      </w:r>
    </w:p>
    <w:p>
      <w:pPr>
        <w:ind w:left="5620"/>
        <w:spacing w:after="0"/>
        <w:rPr>
          <w:sz w:val="20"/>
          <w:szCs w:val="20"/>
          <w:color w:val="auto"/>
        </w:rPr>
      </w:pPr>
      <w:r>
        <w:rPr>
          <w:rFonts w:ascii="Arial" w:cs="Arial" w:eastAsia="Arial" w:hAnsi="Arial"/>
          <w:sz w:val="22"/>
          <w:szCs w:val="22"/>
          <w:color w:val="auto"/>
        </w:rPr>
        <w:t>SISA MEXICO B.V.</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Name:  Paul Browett</w:t>
      </w:r>
    </w:p>
    <w:p>
      <w:pPr>
        <w:spacing w:after="0" w:line="38"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President</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I-20</w:t>
      </w:r>
    </w:p>
    <w:p>
      <w:pPr>
        <w:sectPr>
          <w:pgSz w:w="11900" w:h="16838" w:orient="portrait"/>
          <w:cols w:equalWidth="0" w:num="1">
            <w:col w:w="9019"/>
          </w:cols>
          <w:pgMar w:left="1440" w:top="267" w:right="1440" w:bottom="1440" w:gutter="0" w:footer="0" w:header="0"/>
        </w:sectPr>
      </w:pPr>
    </w:p>
    <w:bookmarkStart w:id="200" w:name="page201"/>
    <w:bookmarkEnd w:id="200"/>
    <w:p>
      <w:pPr>
        <w:ind w:left="572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FOOD ESPAÑA, S.A.U.</w:t>
      </w:r>
    </w:p>
    <w:p>
      <w:pPr>
        <w:spacing w:after="0" w:line="36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19"/>
          <w:szCs w:val="19"/>
          <w:color w:val="auto"/>
        </w:rPr>
        <w:t>Name:  Jean-François Lelouch</w:t>
      </w:r>
    </w:p>
    <w:p>
      <w:pPr>
        <w:spacing w:after="0" w:line="38" w:lineRule="exact"/>
        <w:rPr>
          <w:sz w:val="20"/>
          <w:szCs w:val="20"/>
          <w:color w:val="auto"/>
        </w:rPr>
      </w:pPr>
    </w:p>
    <w:p>
      <w:pPr>
        <w:ind w:left="6220"/>
        <w:spacing w:after="0"/>
        <w:tabs>
          <w:tab w:leader="none" w:pos="6920" w:val="left"/>
        </w:tabs>
        <w:rPr>
          <w:sz w:val="20"/>
          <w:szCs w:val="20"/>
          <w:color w:val="auto"/>
        </w:rPr>
      </w:pPr>
      <w:r>
        <w:rPr>
          <w:rFonts w:ascii="Arial" w:cs="Arial" w:eastAsia="Arial" w:hAnsi="Arial"/>
          <w:sz w:val="22"/>
          <w:szCs w:val="22"/>
          <w:color w:val="auto"/>
        </w:rPr>
        <w:t>Title:</w:t>
        <w:tab/>
        <w:t>Sole Director</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I-21</w:t>
      </w:r>
    </w:p>
    <w:p>
      <w:pPr>
        <w:sectPr>
          <w:pgSz w:w="11900" w:h="16838" w:orient="portrait"/>
          <w:cols w:equalWidth="0" w:num="1">
            <w:col w:w="9019"/>
          </w:cols>
          <w:pgMar w:left="1440" w:top="267" w:right="1440" w:bottom="1440" w:gutter="0" w:footer="0" w:header="0"/>
        </w:sectPr>
      </w:pPr>
    </w:p>
    <w:bookmarkStart w:id="201" w:name="page202"/>
    <w:bookmarkEnd w:id="201"/>
    <w:p>
      <w:pPr>
        <w:ind w:left="5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PACKAGING EUROPEAN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HOLDINGS GMBH</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6000" w:type="dxa"/>
        <w:tblCellMar>
          <w:top w:w="0" w:type="dxa"/>
          <w:left w:w="0" w:type="dxa"/>
          <w:bottom w:w="0" w:type="dxa"/>
          <w:right w:w="0" w:type="dxa"/>
        </w:tblCellMar>
      </w:tblPr>
      <w:tr>
        <w:trPr>
          <w:trHeight w:val="275"/>
        </w:trPr>
        <w:tc>
          <w:tcPr>
            <w:tcW w:w="8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3180" w:type="dxa"/>
            <w:vAlign w:val="bottom"/>
            <w:tcBorders>
              <w:top w:val="single" w:sz="8" w:color="auto"/>
            </w:tcBorders>
          </w:tcPr>
          <w:p>
            <w:pPr>
              <w:ind w:left="300"/>
              <w:spacing w:after="0"/>
              <w:rPr>
                <w:sz w:val="20"/>
                <w:szCs w:val="20"/>
                <w:color w:val="auto"/>
              </w:rPr>
            </w:pPr>
            <w:r>
              <w:rPr>
                <w:rFonts w:ascii="Arial" w:cs="Arial" w:eastAsia="Arial" w:hAnsi="Arial"/>
                <w:sz w:val="22"/>
                <w:szCs w:val="22"/>
                <w:color w:val="auto"/>
              </w:rPr>
              <w:t>Laurent Watteaux</w:t>
            </w:r>
          </w:p>
        </w:tc>
      </w:tr>
      <w:tr>
        <w:trPr>
          <w:trHeight w:val="472"/>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3180" w:type="dxa"/>
            <w:vAlign w:val="bottom"/>
          </w:tcPr>
          <w:p>
            <w:pPr>
              <w:ind w:left="300"/>
              <w:spacing w:after="0"/>
              <w:rPr>
                <w:sz w:val="20"/>
                <w:szCs w:val="20"/>
                <w:color w:val="auto"/>
              </w:rPr>
            </w:pPr>
            <w:r>
              <w:rPr>
                <w:rFonts w:ascii="Arial" w:cs="Arial" w:eastAsia="Arial" w:hAnsi="Arial"/>
                <w:sz w:val="22"/>
                <w:szCs w:val="22"/>
                <w:color w:val="auto"/>
              </w:rPr>
              <w:t>Managing Officer</w:t>
            </w:r>
          </w:p>
        </w:tc>
      </w:tr>
    </w:tbl>
    <w:p>
      <w:pPr>
        <w:spacing w:after="0" w:line="11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I-22</w:t>
      </w:r>
    </w:p>
    <w:p>
      <w:pPr>
        <w:sectPr>
          <w:pgSz w:w="11900" w:h="16838" w:orient="portrait"/>
          <w:cols w:equalWidth="0" w:num="1">
            <w:col w:w="10040"/>
          </w:cols>
          <w:pgMar w:left="1440" w:top="267" w:right="419" w:bottom="1440" w:gutter="0" w:footer="0" w:header="0"/>
        </w:sectPr>
      </w:pPr>
    </w:p>
    <w:bookmarkStart w:id="202" w:name="page203"/>
    <w:bookmarkEnd w:id="202"/>
    <w:p>
      <w:pPr>
        <w:ind w:left="48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EUROPEAN</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DIVISION GMBH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w:t>
      </w:r>
    </w:p>
    <w:tbl>
      <w:tblPr>
        <w:tblLayout w:type="fixed"/>
        <w:tblInd w:w="5460" w:type="dxa"/>
        <w:tblCellMar>
          <w:top w:w="0" w:type="dxa"/>
          <w:left w:w="0" w:type="dxa"/>
          <w:bottom w:w="0" w:type="dxa"/>
          <w:right w:w="0" w:type="dxa"/>
        </w:tblCellMar>
      </w:tblPr>
      <w:tr>
        <w:trPr>
          <w:trHeight w:val="229"/>
        </w:trPr>
        <w:tc>
          <w:tcPr>
            <w:tcW w:w="920" w:type="dxa"/>
            <w:vAlign w:val="bottom"/>
            <w:tcBorders>
              <w:top w:val="single" w:sz="8" w:color="auto"/>
            </w:tcBorders>
          </w:tcPr>
          <w:p>
            <w:pPr>
              <w:spacing w:after="0" w:line="228" w:lineRule="exact"/>
              <w:rPr>
                <w:sz w:val="20"/>
                <w:szCs w:val="20"/>
                <w:color w:val="auto"/>
              </w:rPr>
            </w:pPr>
            <w:r>
              <w:rPr>
                <w:rFonts w:ascii="Arial" w:cs="Arial" w:eastAsia="Arial" w:hAnsi="Arial"/>
                <w:sz w:val="22"/>
                <w:szCs w:val="22"/>
                <w:color w:val="auto"/>
              </w:rPr>
              <w:t>Name:</w:t>
            </w:r>
          </w:p>
        </w:tc>
        <w:tc>
          <w:tcPr>
            <w:tcW w:w="3660" w:type="dxa"/>
            <w:vAlign w:val="bottom"/>
            <w:tcBorders>
              <w:top w:val="single" w:sz="8" w:color="auto"/>
            </w:tcBorders>
          </w:tcPr>
          <w:p>
            <w:pPr>
              <w:ind w:left="360"/>
              <w:spacing w:after="0" w:line="228" w:lineRule="exact"/>
              <w:rPr>
                <w:sz w:val="20"/>
                <w:szCs w:val="20"/>
                <w:color w:val="auto"/>
              </w:rPr>
            </w:pPr>
            <w:r>
              <w:rPr>
                <w:rFonts w:ascii="Arial" w:cs="Arial" w:eastAsia="Arial" w:hAnsi="Arial"/>
                <w:sz w:val="22"/>
                <w:szCs w:val="22"/>
                <w:color w:val="auto"/>
              </w:rPr>
              <w:t>John Beardsley</w:t>
            </w: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ind w:left="360"/>
              <w:spacing w:after="0"/>
              <w:rPr>
                <w:sz w:val="20"/>
                <w:szCs w:val="20"/>
                <w:color w:val="auto"/>
              </w:rPr>
            </w:pPr>
            <w:r>
              <w:rPr>
                <w:rFonts w:ascii="Arial" w:cs="Arial" w:eastAsia="Arial" w:hAnsi="Arial"/>
                <w:sz w:val="22"/>
                <w:szCs w:val="22"/>
                <w:color w:val="auto"/>
              </w:rPr>
              <w:t>Managing Officer</w:t>
            </w:r>
          </w:p>
        </w:tc>
      </w:tr>
    </w:tbl>
    <w:p>
      <w:pPr>
        <w:spacing w:after="0" w:line="11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I-23</w:t>
      </w:r>
    </w:p>
    <w:p>
      <w:pPr>
        <w:sectPr>
          <w:pgSz w:w="11900" w:h="16838" w:orient="portrait"/>
          <w:cols w:equalWidth="0" w:num="1">
            <w:col w:w="10040"/>
          </w:cols>
          <w:pgMar w:left="1440" w:top="267" w:right="41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GMBH</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24872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  Lennart Bángman</w:t>
      </w:r>
    </w:p>
    <w:p>
      <w:pPr>
        <w:spacing w:after="0" w:line="4"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22"/>
          <w:szCs w:val="22"/>
          <w:color w:val="auto"/>
        </w:rPr>
        <w:t>Title:</w:t>
        <w:tab/>
        <w:t>Managing Director</w:t>
      </w:r>
    </w:p>
    <w:p>
      <w:pPr>
        <w:spacing w:after="0" w:line="364"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I-24</w:t>
      </w:r>
    </w:p>
    <w:p>
      <w:pPr>
        <w:sectPr>
          <w:pgSz w:w="11900" w:h="16838" w:orient="portrait"/>
          <w:cols w:equalWidth="0" w:num="1">
            <w:col w:w="9400"/>
          </w:cols>
          <w:pgMar w:left="1440" w:top="267" w:right="1059" w:bottom="1440" w:gutter="0" w:footer="0" w:header="0"/>
        </w:sectPr>
      </w:pPr>
    </w:p>
    <w:bookmarkStart w:id="204" w:name="page205"/>
    <w:bookmarkEnd w:id="204"/>
    <w:p>
      <w:pPr>
        <w:ind w:left="52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CARNAUDMETALBOX ENGINEERING LIMITED</w:t>
      </w:r>
    </w:p>
    <w:p>
      <w:pPr>
        <w:spacing w:after="0" w:line="1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CARNAUDMETALBOX GROUP UK LIMITED</w:t>
      </w:r>
    </w:p>
    <w:p>
      <w:pPr>
        <w:ind w:left="5240"/>
        <w:spacing w:after="0" w:line="230" w:lineRule="auto"/>
        <w:rPr>
          <w:sz w:val="20"/>
          <w:szCs w:val="20"/>
          <w:color w:val="auto"/>
        </w:rPr>
      </w:pPr>
      <w:r>
        <w:rPr>
          <w:rFonts w:ascii="Arial" w:cs="Arial" w:eastAsia="Arial" w:hAnsi="Arial"/>
          <w:sz w:val="22"/>
          <w:szCs w:val="22"/>
          <w:color w:val="auto"/>
        </w:rPr>
        <w:t>CARNAUDMETALBOX OVERSEAS LIMITED</w:t>
      </w:r>
    </w:p>
    <w:p>
      <w:pPr>
        <w:ind w:left="5240"/>
        <w:spacing w:after="0" w:line="231" w:lineRule="auto"/>
        <w:rPr>
          <w:sz w:val="20"/>
          <w:szCs w:val="20"/>
          <w:color w:val="auto"/>
        </w:rPr>
      </w:pPr>
      <w:r>
        <w:rPr>
          <w:rFonts w:ascii="Arial" w:cs="Arial" w:eastAsia="Arial" w:hAnsi="Arial"/>
          <w:sz w:val="22"/>
          <w:szCs w:val="22"/>
          <w:color w:val="auto"/>
        </w:rPr>
        <w:t>CROWN AEROSOLS UK LIMITED</w:t>
      </w:r>
    </w:p>
    <w:p>
      <w:pPr>
        <w:ind w:left="5240"/>
        <w:spacing w:after="0" w:line="230" w:lineRule="auto"/>
        <w:rPr>
          <w:sz w:val="20"/>
          <w:szCs w:val="20"/>
          <w:color w:val="auto"/>
        </w:rPr>
      </w:pPr>
      <w:r>
        <w:rPr>
          <w:rFonts w:ascii="Arial" w:cs="Arial" w:eastAsia="Arial" w:hAnsi="Arial"/>
          <w:sz w:val="22"/>
          <w:szCs w:val="22"/>
          <w:color w:val="auto"/>
        </w:rPr>
        <w:t>CROWN PROMOTIONAL PACKAGING</w:t>
      </w:r>
    </w:p>
    <w:p>
      <w:pPr>
        <w:ind w:left="5240"/>
        <w:spacing w:after="0" w:line="231" w:lineRule="auto"/>
        <w:rPr>
          <w:sz w:val="20"/>
          <w:szCs w:val="20"/>
          <w:color w:val="auto"/>
        </w:rPr>
      </w:pPr>
      <w:r>
        <w:rPr>
          <w:rFonts w:ascii="Arial" w:cs="Arial" w:eastAsia="Arial" w:hAnsi="Arial"/>
          <w:sz w:val="22"/>
          <w:szCs w:val="22"/>
          <w:color w:val="auto"/>
        </w:rPr>
        <w:t>UK LIMITED</w:t>
      </w:r>
    </w:p>
    <w:p>
      <w:pPr>
        <w:ind w:left="5240"/>
        <w:spacing w:after="0" w:line="231" w:lineRule="auto"/>
        <w:rPr>
          <w:sz w:val="20"/>
          <w:szCs w:val="20"/>
          <w:color w:val="auto"/>
        </w:rPr>
      </w:pPr>
      <w:r>
        <w:rPr>
          <w:rFonts w:ascii="Arial" w:cs="Arial" w:eastAsia="Arial" w:hAnsi="Arial"/>
          <w:sz w:val="22"/>
          <w:szCs w:val="22"/>
          <w:color w:val="auto"/>
        </w:rPr>
        <w:t>CROWN PACKAGING MANUFACTURING</w:t>
      </w:r>
    </w:p>
    <w:p>
      <w:pPr>
        <w:ind w:left="5240"/>
        <w:spacing w:after="0"/>
        <w:rPr>
          <w:sz w:val="20"/>
          <w:szCs w:val="20"/>
          <w:color w:val="auto"/>
        </w:rPr>
      </w:pPr>
      <w:r>
        <w:rPr>
          <w:rFonts w:ascii="Arial" w:cs="Arial" w:eastAsia="Arial" w:hAnsi="Arial"/>
          <w:sz w:val="22"/>
          <w:szCs w:val="22"/>
          <w:color w:val="auto"/>
        </w:rPr>
        <w:t>UK LIMITED</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7620</wp:posOffset>
            </wp:positionV>
            <wp:extent cx="26587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Name:  Paul Browett</w:t>
      </w:r>
    </w:p>
    <w:p>
      <w:pPr>
        <w:spacing w:after="0" w:line="229" w:lineRule="exact"/>
        <w:rPr>
          <w:sz w:val="20"/>
          <w:szCs w:val="20"/>
          <w:color w:val="auto"/>
        </w:rPr>
      </w:pPr>
    </w:p>
    <w:p>
      <w:pPr>
        <w:ind w:left="5840"/>
        <w:spacing w:after="0"/>
        <w:tabs>
          <w:tab w:leader="none" w:pos="6540" w:val="left"/>
        </w:tabs>
        <w:rPr>
          <w:sz w:val="20"/>
          <w:szCs w:val="20"/>
          <w:color w:val="auto"/>
        </w:rPr>
      </w:pPr>
      <w:r>
        <w:rPr>
          <w:rFonts w:ascii="Arial" w:cs="Arial" w:eastAsia="Arial" w:hAnsi="Arial"/>
          <w:sz w:val="22"/>
          <w:szCs w:val="22"/>
          <w:color w:val="auto"/>
        </w:rPr>
        <w:t>Title:</w:t>
        <w:tab/>
        <w:t>Director</w:t>
      </w:r>
    </w:p>
    <w:p>
      <w:pPr>
        <w:spacing w:after="0" w:line="13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I-25</w:t>
      </w:r>
    </w:p>
    <w:p>
      <w:pPr>
        <w:sectPr>
          <w:pgSz w:w="11900" w:h="16838" w:orient="portrait"/>
          <w:cols w:equalWidth="0" w:num="1">
            <w:col w:w="9960"/>
          </w:cols>
          <w:pgMar w:left="1440" w:top="267" w:right="499" w:bottom="1440" w:gutter="0" w:footer="0" w:header="0"/>
        </w:sectPr>
      </w:pPr>
    </w:p>
    <w:bookmarkStart w:id="205" w:name="page206"/>
    <w:bookmarkEnd w:id="205"/>
    <w:p>
      <w:pPr>
        <w:ind w:left="562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DISTRIBUTION</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UK LIMITED</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Aidan Ruddock</w:t>
      </w:r>
    </w:p>
    <w:p>
      <w:pPr>
        <w:spacing w:after="0" w:line="229" w:lineRule="exact"/>
        <w:rPr>
          <w:sz w:val="20"/>
          <w:szCs w:val="20"/>
          <w:color w:val="auto"/>
        </w:rPr>
      </w:pPr>
    </w:p>
    <w:p>
      <w:pPr>
        <w:ind w:left="6220"/>
        <w:spacing w:after="0"/>
        <w:tabs>
          <w:tab w:leader="none" w:pos="6920" w:val="left"/>
        </w:tabs>
        <w:rPr>
          <w:sz w:val="20"/>
          <w:szCs w:val="20"/>
          <w:color w:val="auto"/>
        </w:rPr>
      </w:pPr>
      <w:r>
        <w:rPr>
          <w:rFonts w:ascii="Arial" w:cs="Arial" w:eastAsia="Arial" w:hAnsi="Arial"/>
          <w:sz w:val="22"/>
          <w:szCs w:val="22"/>
          <w:color w:val="auto"/>
        </w:rPr>
        <w:t>Title:</w:t>
        <w:tab/>
        <w:t>Director</w:t>
      </w:r>
    </w:p>
    <w:p>
      <w:pPr>
        <w:spacing w:after="0" w:line="139"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I-26</w:t>
      </w:r>
    </w:p>
    <w:p>
      <w:pPr>
        <w:sectPr>
          <w:pgSz w:w="11900" w:h="16838" w:orient="portrait"/>
          <w:cols w:equalWidth="0" w:num="1">
            <w:col w:w="9300"/>
          </w:cols>
          <w:pgMar w:left="1440" w:top="267" w:right="1159" w:bottom="1440" w:gutter="0" w:footer="0" w:header="0"/>
        </w:sectPr>
      </w:pPr>
    </w:p>
    <w:bookmarkStart w:id="206" w:name="page207"/>
    <w:bookmarkEnd w:id="206"/>
    <w:p>
      <w:pPr>
        <w:ind w:left="5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SPG PACKAGING UK LTD.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Nils Stenger</w:t>
      </w:r>
    </w:p>
    <w:p>
      <w:pPr>
        <w:spacing w:after="0" w:line="4" w:lineRule="exact"/>
        <w:rPr>
          <w:sz w:val="20"/>
          <w:szCs w:val="20"/>
          <w:color w:val="auto"/>
        </w:rPr>
      </w:pPr>
    </w:p>
    <w:p>
      <w:pPr>
        <w:ind w:left="6220"/>
        <w:spacing w:after="0"/>
        <w:tabs>
          <w:tab w:leader="none" w:pos="6920" w:val="left"/>
        </w:tabs>
        <w:rPr>
          <w:sz w:val="20"/>
          <w:szCs w:val="20"/>
          <w:color w:val="auto"/>
        </w:rPr>
      </w:pPr>
      <w:r>
        <w:rPr>
          <w:rFonts w:ascii="Arial" w:cs="Arial" w:eastAsia="Arial" w:hAnsi="Arial"/>
          <w:sz w:val="22"/>
          <w:szCs w:val="22"/>
          <w:color w:val="auto"/>
        </w:rPr>
        <w:t>Title:</w:t>
        <w:tab/>
        <w:t>Director</w:t>
      </w:r>
    </w:p>
    <w:p>
      <w:pPr>
        <w:spacing w:after="0" w:line="337" w:lineRule="exact"/>
        <w:rPr>
          <w:sz w:val="20"/>
          <w:szCs w:val="20"/>
          <w:color w:val="auto"/>
        </w:rPr>
      </w:pPr>
    </w:p>
    <w:p>
      <w:pPr>
        <w:jc w:val="right"/>
        <w:ind w:right="339"/>
        <w:spacing w:after="0"/>
        <w:rPr>
          <w:sz w:val="20"/>
          <w:szCs w:val="20"/>
          <w:color w:val="auto"/>
        </w:rPr>
      </w:pPr>
      <w:r>
        <w:rPr>
          <w:rFonts w:ascii="Arial" w:cs="Arial" w:eastAsia="Arial" w:hAnsi="Arial"/>
          <w:sz w:val="22"/>
          <w:szCs w:val="22"/>
          <w:color w:val="auto"/>
        </w:rPr>
        <w:t>STRAPEX HOLDINGS LIMITED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Nils Stenger</w:t>
      </w:r>
    </w:p>
    <w:p>
      <w:pPr>
        <w:spacing w:after="0" w:line="229" w:lineRule="exact"/>
        <w:rPr>
          <w:sz w:val="20"/>
          <w:szCs w:val="20"/>
          <w:color w:val="auto"/>
        </w:rPr>
      </w:pPr>
    </w:p>
    <w:p>
      <w:pPr>
        <w:ind w:left="6220"/>
        <w:spacing w:after="0"/>
        <w:tabs>
          <w:tab w:leader="none" w:pos="6920" w:val="left"/>
        </w:tabs>
        <w:rPr>
          <w:sz w:val="20"/>
          <w:szCs w:val="20"/>
          <w:color w:val="auto"/>
        </w:rPr>
      </w:pPr>
      <w:r>
        <w:rPr>
          <w:rFonts w:ascii="Arial" w:cs="Arial" w:eastAsia="Arial" w:hAnsi="Arial"/>
          <w:sz w:val="22"/>
          <w:szCs w:val="22"/>
          <w:color w:val="auto"/>
        </w:rPr>
        <w:t>Title:</w:t>
        <w:tab/>
        <w:t>Director</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I-27</w:t>
      </w:r>
    </w:p>
    <w:p>
      <w:pPr>
        <w:sectPr>
          <w:pgSz w:w="11900" w:h="16838" w:orient="portrait"/>
          <w:cols w:equalWidth="0" w:num="1">
            <w:col w:w="9019"/>
          </w:cols>
          <w:pgMar w:left="1440" w:top="267" w:right="1440" w:bottom="1440" w:gutter="0" w:footer="0" w:header="0"/>
        </w:sectPr>
      </w:pPr>
    </w:p>
    <w:bookmarkStart w:id="207" w:name="page208"/>
    <w:bookmarkEnd w:id="207"/>
    <w:p>
      <w:pPr>
        <w:jc w:val="right"/>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UK HOLDINGS LIMITED</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John Beardsley</w:t>
      </w:r>
    </w:p>
    <w:p>
      <w:pPr>
        <w:spacing w:after="0" w:line="229" w:lineRule="exact"/>
        <w:rPr>
          <w:sz w:val="20"/>
          <w:szCs w:val="20"/>
          <w:color w:val="auto"/>
        </w:rPr>
      </w:pPr>
    </w:p>
    <w:p>
      <w:pPr>
        <w:ind w:left="6220"/>
        <w:spacing w:after="0"/>
        <w:tabs>
          <w:tab w:leader="none" w:pos="6920" w:val="left"/>
        </w:tabs>
        <w:rPr>
          <w:sz w:val="20"/>
          <w:szCs w:val="20"/>
          <w:color w:val="auto"/>
        </w:rPr>
      </w:pPr>
      <w:r>
        <w:rPr>
          <w:rFonts w:ascii="Arial" w:cs="Arial" w:eastAsia="Arial" w:hAnsi="Arial"/>
          <w:sz w:val="22"/>
          <w:szCs w:val="22"/>
          <w:color w:val="auto"/>
        </w:rPr>
        <w:t>Title:</w:t>
        <w:tab/>
        <w:t>Director</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I-28</w:t>
      </w:r>
    </w:p>
    <w:p>
      <w:pPr>
        <w:sectPr>
          <w:pgSz w:w="11900" w:h="16838" w:orient="portrait"/>
          <w:cols w:equalWidth="0" w:num="1">
            <w:col w:w="9019"/>
          </w:cols>
          <w:pgMar w:left="1440" w:top="267" w:right="1440" w:bottom="1440" w:gutter="0" w:footer="0" w:header="0"/>
        </w:sectPr>
      </w:pPr>
    </w:p>
    <w:bookmarkStart w:id="208" w:name="page209"/>
    <w:bookmarkEnd w:id="208"/>
    <w:p>
      <w:pPr>
        <w:ind w:left="562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MEXICO</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DE R.L. DE C.V.</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7620</wp:posOffset>
            </wp:positionV>
            <wp:extent cx="24180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w:t>
      </w:r>
    </w:p>
    <w:p>
      <w:pPr>
        <w:spacing w:after="0" w:line="229"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I-29</w:t>
      </w:r>
    </w:p>
    <w:sectPr>
      <w:pgSz w:w="11900" w:h="16838" w:orient="portrait"/>
      <w:cols w:equalWidth="0" w:num="1">
        <w:col w:w="9620"/>
      </w:cols>
      <w:pgMar w:left="1440" w:top="26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1)"/>
      <w:numFmt w:val="lowerLetter"/>
      <w:start w:val="4"/>
    </w:lvl>
  </w:abstractNum>
  <w:abstractNum w:abstractNumId="2">
    <w:nsid w:val="39EE015C"/>
    <w:multiLevelType w:val="hybridMultilevel"/>
    <w:lvl w:ilvl="0">
      <w:lvlJc w:val="left"/>
      <w:lvlText w:val="(%1)"/>
      <w:numFmt w:val="decimal"/>
      <w:start w:val="1"/>
    </w:lvl>
  </w:abstractNum>
  <w:abstractNum w:abstractNumId="3">
    <w:nsid w:val="57FC4FBB"/>
    <w:multiLevelType w:val="hybridMultilevel"/>
    <w:lvl w:ilvl="0">
      <w:lvlJc w:val="left"/>
      <w:lvlText w:val="%1"/>
      <w:numFmt w:val="lowerLetter"/>
      <w:start w:val="1"/>
    </w:lvl>
    <w:lvl w:ilvl="1">
      <w:lvlJc w:val="left"/>
      <w:lvlText w:val="(%2)"/>
      <w:numFmt w:val="decimal"/>
      <w:start w:val="1"/>
    </w:lvl>
  </w:abstractNum>
  <w:abstractNum w:abstractNumId="4">
    <w:nsid w:val="CC1016F"/>
    <w:multiLevelType w:val="hybridMultilevel"/>
    <w:lvl w:ilvl="0">
      <w:lvlJc w:val="left"/>
      <w:lvlText w:val="(%1)"/>
      <w:numFmt w:val="lowerLetter"/>
      <w:start w:val="2"/>
    </w:lvl>
    <w:lvl w:ilvl="1">
      <w:lvlJc w:val="left"/>
      <w:lvlText w:val="(%2)"/>
      <w:numFmt w:val="decimal"/>
      <w:start w:val="4"/>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decimal"/>
      <w:start w:val="4"/>
    </w:lvl>
  </w:abstractNum>
  <w:abstractNum w:abstractNumId="7">
    <w:nsid w:val="26F324BA"/>
    <w:multiLevelType w:val="hybridMultilevel"/>
    <w:lvl w:ilvl="0">
      <w:lvlJc w:val="left"/>
      <w:lvlText w:val="(%1)"/>
      <w:numFmt w:val="decimal"/>
      <w:start w:val="1"/>
    </w:lvl>
  </w:abstractNum>
  <w:abstractNum w:abstractNumId="8">
    <w:nsid w:val="7F01579B"/>
    <w:multiLevelType w:val="hybridMultilevel"/>
    <w:lvl w:ilvl="0">
      <w:lvlJc w:val="left"/>
      <w:lvlText w:val="(%1)"/>
      <w:numFmt w:val="decimal"/>
      <w:start w:val="6"/>
    </w:lvl>
  </w:abstractNum>
  <w:abstractNum w:abstractNumId="9">
    <w:nsid w:val="49DA307D"/>
    <w:multiLevelType w:val="hybridMultilevel"/>
    <w:lvl w:ilvl="0">
      <w:lvlJc w:val="left"/>
      <w:lvlText w:val="(%1)"/>
      <w:numFmt w:val="decimal"/>
      <w:start w:val="1"/>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1)"/>
      <w:numFmt w:val="decimal"/>
      <w:start w:val="1"/>
    </w:lvl>
  </w:abstractNum>
  <w:abstractNum w:abstractNumId="12">
    <w:nsid w:val="50801EE1"/>
    <w:multiLevelType w:val="hybridMultilevel"/>
    <w:lvl w:ilvl="0">
      <w:lvlJc w:val="left"/>
      <w:lvlText w:val="(%1)"/>
      <w:numFmt w:val="decimal"/>
      <w:start w:val="1"/>
    </w:lvl>
  </w:abstractNum>
  <w:abstractNum w:abstractNumId="13">
    <w:nsid w:val="488AC1A"/>
    <w:multiLevelType w:val="hybridMultilevel"/>
    <w:lvl w:ilvl="0">
      <w:lvlJc w:val="left"/>
      <w:lvlText w:val="(%1)"/>
      <w:numFmt w:val="decimal"/>
      <w:start w:val="3"/>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decimal"/>
      <w:start w:val="1"/>
    </w:lvl>
  </w:abstractNum>
  <w:abstractNum w:abstractNumId="17">
    <w:nsid w:val="6FC75AF8"/>
    <w:multiLevelType w:val="hybridMultilevel"/>
    <w:lvl w:ilvl="0">
      <w:lvlJc w:val="left"/>
      <w:lvlText w:val="%1"/>
      <w:numFmt w:val="lowerLetter"/>
      <w:start w:val="1"/>
    </w:lvl>
    <w:lvl w:ilvl="1">
      <w:lvlJc w:val="left"/>
      <w:lvlText w:val="(%2)"/>
      <w:numFmt w:val="decimal"/>
      <w:start w:val="2"/>
    </w:lvl>
  </w:abstractNum>
  <w:abstractNum w:abstractNumId="18">
    <w:nsid w:val="6A5F7029"/>
    <w:multiLevelType w:val="hybridMultilevel"/>
    <w:lvl w:ilvl="0">
      <w:lvlJc w:val="left"/>
      <w:lvlText w:val="(%1)"/>
      <w:numFmt w:val="lowerLetter"/>
      <w:start w:val="1"/>
    </w:lvl>
    <w:lvl w:ilvl="1">
      <w:lvlJc w:val="left"/>
      <w:lvlText w:val="(%2)"/>
      <w:numFmt w:val="decimal"/>
      <w:start w:val="3"/>
    </w:lvl>
  </w:abstractNum>
  <w:abstractNum w:abstractNumId="19">
    <w:nsid w:val="7D5E18F8"/>
    <w:multiLevelType w:val="hybridMultilevel"/>
    <w:lvl w:ilvl="0">
      <w:lvlJc w:val="left"/>
      <w:lvlText w:val="(%1)"/>
      <w:numFmt w:val="lowerLetter"/>
      <w:start w:val="35"/>
    </w:lvl>
    <w:lvl w:ilvl="1">
      <w:lvlJc w:val="left"/>
      <w:lvlText w:val="(%2)"/>
      <w:numFmt w:val="decimal"/>
      <w:start w:val="8"/>
    </w:lvl>
  </w:abstractNum>
  <w:abstractNum w:abstractNumId="20">
    <w:nsid w:val="5F3534A4"/>
    <w:multiLevelType w:val="hybridMultilevel"/>
    <w:lvl w:ilvl="0">
      <w:lvlJc w:val="left"/>
      <w:lvlText w:val="(%1)"/>
      <w:numFmt w:val="decimal"/>
      <w:start w:val="9"/>
    </w:lvl>
  </w:abstractNum>
  <w:abstractNum w:abstractNumId="21">
    <w:nsid w:val="73A1821B"/>
    <w:multiLevelType w:val="hybridMultilevel"/>
    <w:lvl w:ilvl="0">
      <w:lvlJc w:val="left"/>
      <w:lvlText w:val="(%1)"/>
      <w:numFmt w:val="decimal"/>
      <w:start w:val="16"/>
    </w:lvl>
  </w:abstractNum>
  <w:abstractNum w:abstractNumId="22">
    <w:nsid w:val="7DE67713"/>
    <w:multiLevelType w:val="hybridMultilevel"/>
    <w:lvl w:ilvl="0">
      <w:lvlJc w:val="left"/>
      <w:lvlText w:val="(%1)"/>
      <w:numFmt w:val="decimal"/>
      <w:start w:val="1"/>
    </w:lvl>
  </w:abstractNum>
  <w:abstractNum w:abstractNumId="23">
    <w:nsid w:val="555C55B5"/>
    <w:multiLevelType w:val="hybridMultilevel"/>
    <w:lvl w:ilvl="0">
      <w:lvlJc w:val="left"/>
      <w:lvlText w:val="(%1)"/>
      <w:numFmt w:val="decimal"/>
      <w:start w:val="1"/>
    </w:lvl>
  </w:abstractNum>
  <w:abstractNum w:abstractNumId="24">
    <w:nsid w:val="3FA62ACA"/>
    <w:multiLevelType w:val="hybridMultilevel"/>
    <w:lvl w:ilvl="0">
      <w:lvlJc w:val="left"/>
      <w:lvlText w:val="(%1)"/>
      <w:numFmt w:val="decimal"/>
      <w:start w:val="1"/>
    </w:lvl>
  </w:abstractNum>
  <w:abstractNum w:abstractNumId="25">
    <w:nsid w:val="14FCE74E"/>
    <w:multiLevelType w:val="hybridMultilevel"/>
    <w:lvl w:ilvl="0">
      <w:lvlJc w:val="left"/>
      <w:lvlText w:val="(%1)"/>
      <w:numFmt w:val="lowerLetter"/>
      <w:start w:val="1"/>
    </w:lvl>
  </w:abstractNum>
  <w:abstractNum w:abstractNumId="26">
    <w:nsid w:val="6A3DD3E8"/>
    <w:multiLevelType w:val="hybridMultilevel"/>
    <w:lvl w:ilvl="0">
      <w:lvlJc w:val="left"/>
      <w:lvlText w:val="(%1)"/>
      <w:numFmt w:val="lowerLetter"/>
      <w:start w:val="1"/>
    </w:lvl>
  </w:abstractNum>
  <w:abstractNum w:abstractNumId="27">
    <w:nsid w:val="71C91298"/>
    <w:multiLevelType w:val="hybridMultilevel"/>
    <w:lvl w:ilvl="0">
      <w:lvlJc w:val="left"/>
      <w:lvlText w:val="%1"/>
      <w:numFmt w:val="lowerLetter"/>
      <w:start w:val="1"/>
    </w:lvl>
    <w:lvl w:ilvl="1">
      <w:lvlJc w:val="left"/>
      <w:lvlText w:val="(%2)"/>
      <w:numFmt w:val="lowerLetter"/>
      <w:start w:val="2"/>
    </w:lvl>
  </w:abstractNum>
  <w:abstractNum w:abstractNumId="28">
    <w:nsid w:val="9DAF632"/>
    <w:multiLevelType w:val="hybridMultilevel"/>
    <w:lvl w:ilvl="0">
      <w:lvlJc w:val="left"/>
      <w:lvlText w:val="(%1)"/>
      <w:numFmt w:val="lowerLetter"/>
      <w:start w:val="24"/>
    </w:lvl>
    <w:lvl w:ilvl="1">
      <w:lvlJc w:val="left"/>
      <w:lvlText w:val="(%2)"/>
      <w:numFmt w:val="lowerLetter"/>
      <w:start w:val="3"/>
    </w:lvl>
  </w:abstractNum>
  <w:abstractNum w:abstractNumId="29">
    <w:nsid w:val="53299938"/>
    <w:multiLevelType w:val="hybridMultilevel"/>
    <w:lvl w:ilvl="0">
      <w:lvlJc w:val="left"/>
      <w:lvlText w:val="(%1)"/>
      <w:numFmt w:val="lowerLetter"/>
      <w:start w:val="6"/>
    </w:lvl>
  </w:abstractNum>
  <w:abstractNum w:abstractNumId="30">
    <w:nsid w:val="1FBFE8E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31">
    <w:nsid w:val="5092CA79"/>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32">
    <w:nsid w:val="1D545C4D"/>
    <w:multiLevelType w:val="hybridMultilevel"/>
    <w:lvl w:ilvl="0">
      <w:lvlJc w:val="left"/>
      <w:lvlText w:val="(%1)"/>
      <w:numFmt w:val="lowerRoman"/>
      <w:start w:val="3"/>
    </w:lvl>
    <w:lvl w:ilvl="1">
      <w:lvlJc w:val="left"/>
      <w:lvlText w:val="(%2)"/>
      <w:numFmt w:val="upperLetter"/>
      <w:start w:val="1"/>
    </w:lvl>
  </w:abstractNum>
  <w:abstractNum w:abstractNumId="33">
    <w:nsid w:val="59ADEA3D"/>
    <w:multiLevelType w:val="hybridMultilevel"/>
    <w:lvl w:ilvl="0">
      <w:lvlJc w:val="left"/>
      <w:lvlText w:val="(%1)"/>
      <w:numFmt w:val="lowerLetter"/>
      <w:start w:val="22"/>
    </w:lvl>
    <w:lvl w:ilvl="1">
      <w:lvlJc w:val="left"/>
      <w:lvlText w:val="(%2)"/>
      <w:numFmt w:val="lowerLetter"/>
      <w:start w:val="3"/>
    </w:lvl>
  </w:abstractNum>
  <w:abstractNum w:abstractNumId="34">
    <w:nsid w:val="288F1A34"/>
    <w:multiLevelType w:val="hybridMultilevel"/>
    <w:lvl w:ilvl="0">
      <w:lvlJc w:val="left"/>
      <w:lvlText w:val="(%1)"/>
      <w:numFmt w:val="lowerRoman"/>
      <w:start w:val="1"/>
    </w:lvl>
    <w:lvl w:ilvl="1">
      <w:lvlJc w:val="left"/>
      <w:lvlText w:val="(%2)"/>
      <w:numFmt w:val="upperLetter"/>
      <w:start w:val="1"/>
    </w:lvl>
  </w:abstractNum>
  <w:abstractNum w:abstractNumId="35">
    <w:nsid w:val="2A155DBC"/>
    <w:multiLevelType w:val="hybridMultilevel"/>
    <w:lvl w:ilvl="0">
      <w:lvlJc w:val="left"/>
      <w:lvlText w:val="(%1)"/>
      <w:numFmt w:val="upperLetter"/>
      <w:start w:val="2"/>
    </w:lvl>
  </w:abstractNum>
  <w:abstractNum w:abstractNumId="36">
    <w:nsid w:val="1D9F6E5F"/>
    <w:multiLevelType w:val="hybridMultilevel"/>
    <w:lvl w:ilvl="0">
      <w:lvlJc w:val="left"/>
      <w:lvlText w:val="(%1)"/>
      <w:numFmt w:val="lowerRoman"/>
      <w:start w:val="2"/>
    </w:lvl>
    <w:lvl w:ilvl="1">
      <w:lvlJc w:val="left"/>
      <w:lvlText w:val="(%2)"/>
      <w:numFmt w:val="upperLetter"/>
      <w:start w:val="1"/>
    </w:lvl>
  </w:abstractNum>
  <w:abstractNum w:abstractNumId="37">
    <w:nsid w:val="97E1B4E"/>
    <w:multiLevelType w:val="hybridMultilevel"/>
    <w:lvl w:ilvl="0">
      <w:lvlJc w:val="left"/>
      <w:lvlText w:val="(%1)"/>
      <w:numFmt w:val="lowerRoman"/>
      <w:start w:val="3"/>
    </w:lvl>
    <w:lvl w:ilvl="1">
      <w:lvlJc w:val="left"/>
      <w:lvlText w:val="(%2)"/>
      <w:numFmt w:val="lowerLetter"/>
      <w:start w:val="5"/>
    </w:lvl>
  </w:abstractNum>
  <w:abstractNum w:abstractNumId="38">
    <w:nsid w:val="51088277"/>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39">
    <w:nsid w:val="1CA0C5FA"/>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5"/>
    </w:lvl>
  </w:abstractNum>
  <w:abstractNum w:abstractNumId="40">
    <w:nsid w:val="53584BCB"/>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41">
    <w:nsid w:val="415E286C"/>
    <w:multiLevelType w:val="hybridMultilevel"/>
    <w:lvl w:ilvl="0">
      <w:lvlJc w:val="left"/>
      <w:lvlText w:val="(%1)"/>
      <w:numFmt w:val="decimal"/>
      <w:start w:val="1"/>
    </w:lvl>
  </w:abstractNum>
  <w:abstractNum w:abstractNumId="42">
    <w:nsid w:val="7C58FD05"/>
    <w:multiLevelType w:val="hybridMultilevel"/>
    <w:lvl w:ilvl="0">
      <w:lvlJc w:val="left"/>
      <w:lvlText w:val="(%1)"/>
      <w:numFmt w:val="decimal"/>
      <w:start w:val="2"/>
    </w:lvl>
  </w:abstractNum>
  <w:abstractNum w:abstractNumId="43">
    <w:nsid w:val="23D86AAC"/>
    <w:multiLevelType w:val="hybridMultilevel"/>
    <w:lvl w:ilvl="0">
      <w:lvlJc w:val="left"/>
      <w:lvlText w:val="(%1)"/>
      <w:numFmt w:val="lowerRoman"/>
      <w:start w:val="3"/>
    </w:lvl>
    <w:lvl w:ilvl="1">
      <w:lvlJc w:val="left"/>
      <w:lvlText w:val="(%2)"/>
      <w:numFmt w:val="lowerLetter"/>
      <w:start w:val="6"/>
    </w:lvl>
  </w:abstractNum>
  <w:abstractNum w:abstractNumId="44">
    <w:nsid w:val="45E6D486"/>
    <w:multiLevelType w:val="hybridMultilevel"/>
    <w:lvl w:ilvl="0">
      <w:lvlJc w:val="left"/>
      <w:lvlText w:val="(%1)"/>
      <w:numFmt w:val="lowerLetter"/>
      <w:start w:val="8"/>
    </w:lvl>
  </w:abstractNum>
  <w:abstractNum w:abstractNumId="45">
    <w:nsid w:val="5C10FE21"/>
    <w:multiLevelType w:val="hybridMultilevel"/>
    <w:lvl w:ilvl="0">
      <w:lvlJc w:val="left"/>
      <w:lvlText w:val="(%1)"/>
      <w:numFmt w:val="decimal"/>
      <w:start w:val="1"/>
    </w:lvl>
  </w:abstractNum>
  <w:abstractNum w:abstractNumId="46">
    <w:nsid w:val="E7FFA2B"/>
    <w:multiLevelType w:val="hybridMultilevel"/>
    <w:lvl w:ilvl="0">
      <w:lvlJc w:val="left"/>
      <w:lvlText w:val="(%1)"/>
      <w:numFmt w:val="lowerLetter"/>
      <w:start w:val="1"/>
    </w:lvl>
  </w:abstractNum>
  <w:abstractNum w:abstractNumId="47">
    <w:nsid w:val="3C5991AA"/>
    <w:multiLevelType w:val="hybridMultilevel"/>
    <w:lvl w:ilvl="0">
      <w:lvlJc w:val="left"/>
      <w:lvlText w:val="(%1)"/>
      <w:numFmt w:val="lowerLetter"/>
      <w:start w:val="2"/>
    </w:lvl>
  </w:abstractNum>
  <w:abstractNum w:abstractNumId="48">
    <w:nsid w:val="4BD8591A"/>
    <w:multiLevelType w:val="hybridMultilevel"/>
    <w:lvl w:ilvl="0">
      <w:lvlJc w:val="left"/>
      <w:lvlText w:val="(%1)"/>
      <w:numFmt w:val="lowerLetter"/>
      <w:start w:val="1"/>
    </w:lvl>
  </w:abstractNum>
  <w:abstractNum w:abstractNumId="49">
    <w:nsid w:val="78DF6A55"/>
    <w:multiLevelType w:val="hybridMultilevel"/>
    <w:lvl w:ilvl="0">
      <w:lvlJc w:val="left"/>
      <w:lvlText w:val="%1"/>
      <w:numFmt w:val="decimal"/>
      <w:start w:val="1"/>
    </w:lvl>
    <w:lvl w:ilvl="1">
      <w:lvlJc w:val="left"/>
      <w:lvlText w:val="(%2)"/>
      <w:numFmt w:val="lowerLetter"/>
      <w:start w:val="1"/>
    </w:lvl>
  </w:abstractNum>
  <w:abstractNum w:abstractNumId="50">
    <w:nsid w:val="39B7AAA2"/>
    <w:multiLevelType w:val="hybridMultilevel"/>
    <w:lvl w:ilvl="0">
      <w:lvlJc w:val="left"/>
      <w:lvlText w:val="(%1)"/>
      <w:numFmt w:val="decimal"/>
      <w:start w:val="1"/>
    </w:lvl>
    <w:lvl w:ilvl="1">
      <w:lvlJc w:val="left"/>
      <w:lvlText w:val="%2"/>
      <w:numFmt w:val="lowerLetter"/>
      <w:start w:val="1"/>
    </w:lvl>
  </w:abstractNum>
  <w:abstractNum w:abstractNumId="51">
    <w:nsid w:val="2B0D8DBE"/>
    <w:multiLevelType w:val="hybridMultilevel"/>
    <w:lvl w:ilvl="0">
      <w:lvlJc w:val="left"/>
      <w:lvlText w:val="(%1)"/>
      <w:numFmt w:val="decimal"/>
      <w:start w:val="5"/>
    </w:lvl>
    <w:lvl w:ilvl="1">
      <w:lvlJc w:val="left"/>
      <w:lvlText w:val="(%2)"/>
      <w:numFmt w:val="lowerLetter"/>
      <w:start w:val="3"/>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3"/>
    </w:lvl>
  </w:abstractNum>
  <w:abstractNum w:abstractNumId="54">
    <w:nsid w:val="69E373"/>
    <w:multiLevelType w:val="hybridMultilevel"/>
    <w:lvl w:ilvl="0">
      <w:lvlJc w:val="left"/>
      <w:lvlText w:val="(%1)"/>
      <w:numFmt w:val="lowerLetter"/>
      <w:start w:val="4"/>
    </w:lvl>
  </w:abstractNum>
  <w:abstractNum w:abstractNumId="55">
    <w:nsid w:val="2C27173B"/>
    <w:multiLevelType w:val="hybridMultilevel"/>
    <w:lvl w:ilvl="0">
      <w:lvlJc w:val="left"/>
      <w:lvlText w:val="%1"/>
      <w:numFmt w:val="lowerRoman"/>
      <w:start w:val="1"/>
    </w:lvl>
    <w:lvl w:ilvl="1">
      <w:lvlJc w:val="left"/>
      <w:lvlText w:val="(%2)"/>
      <w:numFmt w:val="lowerLetter"/>
      <w:start w:val="1"/>
    </w:lvl>
  </w:abstractNum>
  <w:abstractNum w:abstractNumId="56">
    <w:nsid w:val="4C9B0904"/>
    <w:multiLevelType w:val="hybridMultilevel"/>
    <w:lvl w:ilvl="0">
      <w:lvlJc w:val="left"/>
      <w:lvlText w:val="(%1)"/>
      <w:numFmt w:val="lowerRoman"/>
      <w:start w:val="1"/>
    </w:lvl>
    <w:lvl w:ilvl="1">
      <w:lvlJc w:val="left"/>
      <w:lvlText w:val="%2"/>
      <w:numFmt w:val="lowerLetter"/>
      <w:start w:val="1"/>
    </w:lvl>
  </w:abstractNum>
  <w:abstractNum w:abstractNumId="57">
    <w:nsid w:val="6AA7B75C"/>
    <w:multiLevelType w:val="hybridMultilevel"/>
    <w:lvl w:ilvl="0">
      <w:lvlJc w:val="left"/>
      <w:lvlText w:val="(%1)"/>
      <w:numFmt w:val="lowerRoman"/>
      <w:start w:val="4"/>
    </w:lvl>
  </w:abstractNum>
  <w:abstractNum w:abstractNumId="58">
    <w:nsid w:val="1DF029D3"/>
    <w:multiLevelType w:val="hybridMultilevel"/>
    <w:lvl w:ilvl="0">
      <w:lvlJc w:val="left"/>
      <w:lvlText w:val="%1"/>
      <w:numFmt w:val="decimal"/>
      <w:start w:val="1"/>
    </w:lvl>
    <w:lvl w:ilvl="1">
      <w:lvlJc w:val="left"/>
      <w:lvlText w:val="(%2)"/>
      <w:numFmt w:val="lowerLetter"/>
      <w:start w:val="1"/>
    </w:lvl>
  </w:abstractNum>
  <w:abstractNum w:abstractNumId="59">
    <w:nsid w:val="5675FF36"/>
    <w:multiLevelType w:val="hybridMultilevel"/>
    <w:lvl w:ilvl="0">
      <w:lvlJc w:val="left"/>
      <w:lvlText w:val="(%1)"/>
      <w:numFmt w:val="decimal"/>
      <w:start w:val="1"/>
    </w:lvl>
    <w:lvl w:ilvl="1">
      <w:lvlJc w:val="left"/>
      <w:lvlText w:val="%2"/>
      <w:numFmt w:val="lowerLetter"/>
      <w:start w:val="1"/>
    </w:lvl>
  </w:abstractNum>
  <w:abstractNum w:abstractNumId="60">
    <w:nsid w:val="3DD15094"/>
    <w:multiLevelType w:val="hybridMultilevel"/>
    <w:lvl w:ilvl="0">
      <w:lvlJc w:val="left"/>
      <w:lvlText w:val="(%1)"/>
      <w:numFmt w:val="lowerLetter"/>
      <w:start w:val="2"/>
    </w:lvl>
  </w:abstractNum>
  <w:abstractNum w:abstractNumId="61">
    <w:nsid w:val="3DB012B3"/>
    <w:multiLevelType w:val="hybridMultilevel"/>
    <w:lvl w:ilvl="0">
      <w:lvlJc w:val="left"/>
      <w:lvlText w:val="(%1)"/>
      <w:numFmt w:val="lowerLetter"/>
      <w:start w:val="4"/>
    </w:lvl>
  </w:abstractNum>
  <w:abstractNum w:abstractNumId="62">
    <w:nsid w:val="2708C9AF"/>
    <w:multiLevelType w:val="hybridMultilevel"/>
    <w:lvl w:ilvl="0">
      <w:lvlJc w:val="left"/>
      <w:lvlText w:val="(%1)"/>
      <w:numFmt w:val="lowerLetter"/>
      <w:start w:val="1"/>
    </w:lvl>
    <w:lvl w:ilvl="1">
      <w:lvlJc w:val="left"/>
      <w:lvlText w:val="(%2)"/>
      <w:numFmt w:val="upperLetter"/>
      <w:start w:val="1"/>
    </w:lvl>
  </w:abstractNum>
  <w:abstractNum w:abstractNumId="63">
    <w:nsid w:val="5B25ACE2"/>
    <w:multiLevelType w:val="hybridMultilevel"/>
    <w:lvl w:ilvl="0">
      <w:lvlJc w:val="left"/>
      <w:lvlText w:val="(%1)"/>
      <w:numFmt w:val="lowerLetter"/>
      <w:start w:val="2"/>
    </w:lvl>
  </w:abstractNum>
  <w:abstractNum w:abstractNumId="64">
    <w:nsid w:val="175DFCF0"/>
    <w:multiLevelType w:val="hybridMultilevel"/>
    <w:lvl w:ilvl="0">
      <w:lvlJc w:val="left"/>
      <w:lvlText w:val="(%1)"/>
      <w:numFmt w:val="lowerLetter"/>
      <w:start w:val="1"/>
    </w:lvl>
  </w:abstractNum>
  <w:abstractNum w:abstractNumId="65">
    <w:nsid w:val="4F97E3E4"/>
    <w:multiLevelType w:val="hybridMultilevel"/>
    <w:lvl w:ilvl="0">
      <w:lvlJc w:val="left"/>
      <w:lvlText w:val="(%1)"/>
      <w:numFmt w:val="decimal"/>
      <w:start w:val="1"/>
    </w:lvl>
  </w:abstractNum>
  <w:abstractNum w:abstractNumId="66">
    <w:nsid w:val="53B0A9E"/>
    <w:multiLevelType w:val="hybridMultilevel"/>
    <w:lvl w:ilvl="0">
      <w:lvlJc w:val="left"/>
      <w:lvlText w:val="(%1)"/>
      <w:numFmt w:val="decimal"/>
      <w:start w:val="6"/>
    </w:lvl>
  </w:abstractNum>
  <w:abstractNum w:abstractNumId="67">
    <w:nsid w:val="34FD6B4F"/>
    <w:multiLevelType w:val="hybridMultilevel"/>
    <w:lvl w:ilvl="0">
      <w:lvlJc w:val="left"/>
      <w:lvlText w:val="(%1)"/>
      <w:numFmt w:val="lowerLetter"/>
      <w:start w:val="2"/>
    </w:lvl>
  </w:abstractNum>
  <w:abstractNum w:abstractNumId="68">
    <w:nsid w:val="5915FF32"/>
    <w:multiLevelType w:val="hybridMultilevel"/>
    <w:lvl w:ilvl="0">
      <w:lvlJc w:val="left"/>
      <w:lvlText w:val="(%1)"/>
      <w:numFmt w:val="lowerLetter"/>
      <w:start w:val="4"/>
    </w:lvl>
  </w:abstractNum>
  <w:abstractNum w:abstractNumId="69">
    <w:nsid w:val="56438D15"/>
    <w:multiLevelType w:val="hybridMultilevel"/>
    <w:lvl w:ilvl="0">
      <w:lvlJc w:val="left"/>
      <w:lvlText w:val="%1"/>
      <w:numFmt w:val="decimal"/>
      <w:start w:val="1"/>
    </w:lvl>
    <w:lvl w:ilvl="1">
      <w:lvlJc w:val="left"/>
      <w:lvlText w:val="(%2)"/>
      <w:numFmt w:val="lowerLetter"/>
      <w:start w:val="1"/>
    </w:lvl>
  </w:abstractNum>
  <w:abstractNum w:abstractNumId="70">
    <w:nsid w:val="519E3149"/>
    <w:multiLevelType w:val="hybridMultilevel"/>
    <w:lvl w:ilvl="0">
      <w:lvlJc w:val="left"/>
      <w:lvlText w:val="(%1)"/>
      <w:numFmt w:val="decimal"/>
      <w:start w:val="1"/>
    </w:lvl>
    <w:lvl w:ilvl="1">
      <w:lvlJc w:val="left"/>
      <w:lvlText w:val="%2"/>
      <w:numFmt w:val="lowerLetter"/>
      <w:start w:val="1"/>
    </w:lvl>
  </w:abstractNum>
  <w:abstractNum w:abstractNumId="71">
    <w:nsid w:val="2C6E4AFD"/>
    <w:multiLevelType w:val="hybridMultilevel"/>
    <w:lvl w:ilvl="0">
      <w:lvlJc w:val="left"/>
      <w:lvlText w:val="(%1)"/>
      <w:numFmt w:val="upperLetter"/>
      <w:start w:val="2"/>
    </w:lvl>
  </w:abstractNum>
  <w:abstractNum w:abstractNumId="72">
    <w:nsid w:val="17A1B582"/>
    <w:multiLevelType w:val="hybridMultilevel"/>
    <w:lvl w:ilvl="0">
      <w:lvlJc w:val="left"/>
      <w:lvlText w:val="(%1)"/>
      <w:numFmt w:val="decimal"/>
      <w:start w:val="2"/>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decimal"/>
      <w:start w:val="1"/>
    </w:lvl>
  </w:abstractNum>
  <w:abstractNum w:abstractNumId="75">
    <w:nsid w:val="5D888A08"/>
    <w:multiLevelType w:val="hybridMultilevel"/>
    <w:lvl w:ilvl="0">
      <w:lvlJc w:val="left"/>
      <w:lvlText w:val="(%1)"/>
      <w:numFmt w:val="lowerLetter"/>
      <w:start w:val="3"/>
    </w:lvl>
  </w:abstractNum>
  <w:abstractNum w:abstractNumId="76">
    <w:nsid w:val="2A082C70"/>
    <w:multiLevelType w:val="hybridMultilevel"/>
    <w:lvl w:ilvl="0">
      <w:lvlJc w:val="left"/>
      <w:lvlText w:val="(%1)"/>
      <w:numFmt w:val="decimal"/>
      <w:start w:val="1"/>
    </w:lvl>
  </w:abstractNum>
  <w:abstractNum w:abstractNumId="77">
    <w:nsid w:val="5EC6AFD4"/>
    <w:multiLevelType w:val="hybridMultilevel"/>
    <w:lvl w:ilvl="0">
      <w:lvlJc w:val="left"/>
      <w:lvlText w:val="(%1)"/>
      <w:numFmt w:val="decimal"/>
      <w:start w:val="6"/>
    </w:lvl>
  </w:abstractNum>
  <w:abstractNum w:abstractNumId="78">
    <w:nsid w:val="19E21BB2"/>
    <w:multiLevelType w:val="hybridMultilevel"/>
    <w:lvl w:ilvl="0">
      <w:lvlJc w:val="left"/>
      <w:lvlText w:val="(%1)"/>
      <w:numFmt w:val="decimal"/>
      <w:start w:val="1"/>
    </w:lvl>
  </w:abstractNum>
  <w:abstractNum w:abstractNumId="79">
    <w:nsid w:val="75E0858A"/>
    <w:multiLevelType w:val="hybridMultilevel"/>
    <w:lvl w:ilvl="0">
      <w:lvlJc w:val="left"/>
      <w:lvlText w:val="%1"/>
      <w:numFmt w:val="decimal"/>
      <w:start w:val="1"/>
    </w:lvl>
    <w:lvl w:ilvl="1">
      <w:lvlJc w:val="left"/>
      <w:lvlText w:val="(%2)"/>
      <w:numFmt w:val="decimal"/>
      <w:start w:val="3"/>
    </w:lvl>
  </w:abstractNum>
  <w:abstractNum w:abstractNumId="80">
    <w:nsid w:val="57A61A29"/>
    <w:multiLevelType w:val="hybridMultilevel"/>
    <w:lvl w:ilvl="0">
      <w:lvlJc w:val="left"/>
      <w:lvlText w:val="(%1)"/>
      <w:numFmt w:val="decimal"/>
      <w:start w:val="1"/>
    </w:lvl>
    <w:lvl w:ilvl="1">
      <w:lvlJc w:val="left"/>
      <w:lvlText w:val="(%2)"/>
      <w:numFmt w:val="decimal"/>
      <w:start w:val="5"/>
    </w:lvl>
  </w:abstractNum>
  <w:abstractNum w:abstractNumId="81">
    <w:nsid w:val="5399C654"/>
    <w:multiLevelType w:val="hybridMultilevel"/>
    <w:lvl w:ilvl="0">
      <w:lvlJc w:val="left"/>
      <w:lvlText w:val="(%1)"/>
      <w:numFmt w:val="lowerRoman"/>
      <w:start w:val="3"/>
    </w:lvl>
    <w:lvl w:ilvl="1">
      <w:lvlJc w:val="left"/>
      <w:lvlText w:val="(%2)"/>
      <w:numFmt w:val="decimal"/>
      <w:start w:val="8"/>
    </w:lvl>
  </w:abstractNum>
  <w:abstractNum w:abstractNumId="82">
    <w:nsid w:val="20EE1348"/>
    <w:multiLevelType w:val="hybridMultilevel"/>
    <w:lvl w:ilvl="0">
      <w:lvlJc w:val="left"/>
      <w:lvlText w:val="(%1)"/>
      <w:numFmt w:val="decimal"/>
      <w:start w:val="1"/>
    </w:lvl>
  </w:abstractNum>
  <w:abstractNum w:abstractNumId="83">
    <w:nsid w:val="4427069A"/>
    <w:multiLevelType w:val="hybridMultilevel"/>
    <w:lvl w:ilvl="0">
      <w:lvlJc w:val="left"/>
      <w:lvlText w:val="(%1)"/>
      <w:numFmt w:val="decimal"/>
      <w:start w:val="2"/>
    </w:lvl>
  </w:abstractNum>
  <w:abstractNum w:abstractNumId="84">
    <w:nsid w:val="B37E80A"/>
    <w:multiLevelType w:val="hybridMultilevel"/>
    <w:lvl w:ilvl="0">
      <w:lvlJc w:val="left"/>
      <w:lvlText w:val="%1"/>
      <w:numFmt w:val="lowerLetter"/>
      <w:start w:val="1"/>
    </w:lvl>
    <w:lvl w:ilvl="1">
      <w:lvlJc w:val="left"/>
      <w:lvlText w:val="(%2)"/>
      <w:numFmt w:val="lowerLetter"/>
      <w:start w:val="1"/>
    </w:lvl>
  </w:abstractNum>
  <w:abstractNum w:abstractNumId="85">
    <w:nsid w:val="2157F6BC"/>
    <w:multiLevelType w:val="hybridMultilevel"/>
    <w:lvl w:ilvl="0">
      <w:lvlJc w:val="left"/>
      <w:lvlText w:val="(%1)"/>
      <w:numFmt w:val="lowerLetter"/>
      <w:start w:val="1"/>
    </w:lvl>
    <w:lvl w:ilvl="1">
      <w:lvlJc w:val="left"/>
      <w:lvlText w:val="%2"/>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decimal"/>
      <w:start w:val="1"/>
    </w:lvl>
  </w:abstractNum>
  <w:abstractNum w:abstractNumId="88">
    <w:nsid w:val="BFFAE18"/>
    <w:multiLevelType w:val="hybridMultilevel"/>
    <w:lvl w:ilvl="0">
      <w:lvlJc w:val="left"/>
      <w:lvlText w:val="(%1)"/>
      <w:numFmt w:val="decimal"/>
      <w:start w:val="5"/>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decimal"/>
      <w:start w:val="1"/>
    </w:lvl>
    <w:lvl w:ilvl="1">
      <w:lvlJc w:val="left"/>
      <w:lvlText w:val="(%2)"/>
      <w:numFmt w:val="lowerLetter"/>
      <w:start w:val="2"/>
    </w:lvl>
  </w:abstractNum>
  <w:abstractNum w:abstractNumId="91">
    <w:nsid w:val="49D0FEAC"/>
    <w:multiLevelType w:val="hybridMultilevel"/>
    <w:lvl w:ilvl="0">
      <w:lvlJc w:val="left"/>
      <w:lvlText w:val="(%1)"/>
      <w:numFmt w:val="decimal"/>
      <w:start w:val="1"/>
    </w:lvl>
    <w:lvl w:ilvl="1">
      <w:lvlJc w:val="left"/>
      <w:lvlText w:val="(%2)"/>
      <w:numFmt w:val="lowerLetter"/>
      <w:start w:val="3"/>
    </w:lvl>
  </w:abstractNum>
  <w:abstractNum w:abstractNumId="92">
    <w:nsid w:val="4BEE5A5B"/>
    <w:multiLevelType w:val="hybridMultilevel"/>
    <w:lvl w:ilvl="0">
      <w:lvlJc w:val="left"/>
      <w:lvlText w:val="(%1)"/>
      <w:numFmt w:val="decimal"/>
      <w:start w:val="1"/>
    </w:lvl>
  </w:abstractNum>
  <w:abstractNum w:abstractNumId="93">
    <w:nsid w:val="5551B9F3"/>
    <w:multiLevelType w:val="hybridMultilevel"/>
    <w:lvl w:ilvl="0">
      <w:lvlJc w:val="left"/>
      <w:lvlText w:val="(%1)"/>
      <w:numFmt w:val="decimal"/>
      <w:start w:val="2"/>
    </w:lvl>
    <w:lvl w:ilvl="1">
      <w:lvlJc w:val="left"/>
      <w:lvlText w:val="(%2)"/>
      <w:numFmt w:val="lowerLetter"/>
      <w:start w:val="4"/>
    </w:lvl>
  </w:abstractNum>
  <w:abstractNum w:abstractNumId="94">
    <w:nsid w:val="24F6AB8E"/>
    <w:multiLevelType w:val="hybridMultilevel"/>
    <w:lvl w:ilvl="0">
      <w:lvlJc w:val="left"/>
      <w:lvlText w:val="(%1)"/>
      <w:numFmt w:val="decimal"/>
      <w:start w:val="1"/>
    </w:lvl>
  </w:abstractNum>
  <w:abstractNum w:abstractNumId="95">
    <w:nsid w:val="634C574C"/>
    <w:multiLevelType w:val="hybridMultilevel"/>
    <w:lvl w:ilvl="0">
      <w:lvlJc w:val="left"/>
      <w:lvlText w:val="(%1)"/>
      <w:numFmt w:val="decimal"/>
      <w:start w:val="3"/>
    </w:lvl>
  </w:abstractNum>
  <w:abstractNum w:abstractNumId="96">
    <w:nsid w:val="24E99DD7"/>
    <w:multiLevelType w:val="hybridMultilevel"/>
    <w:lvl w:ilvl="0">
      <w:lvlJc w:val="left"/>
      <w:lvlText w:val="(%1)"/>
      <w:numFmt w:val="decimal"/>
      <w:start w:val="10"/>
    </w:lvl>
  </w:abstractNum>
  <w:abstractNum w:abstractNumId="97">
    <w:nsid w:val="2A31B62D"/>
    <w:multiLevelType w:val="hybridMultilevel"/>
    <w:lvl w:ilvl="0">
      <w:lvlJc w:val="left"/>
      <w:lvlText w:val="§"/>
      <w:numFmt w:val="bullet"/>
      <w:start w:val="1"/>
    </w:lvl>
  </w:abstractNum>
  <w:abstractNum w:abstractNumId="98">
    <w:nsid w:val="1849C29B"/>
    <w:multiLevelType w:val="hybridMultilevel"/>
    <w:lvl w:ilvl="0">
      <w:lvlJc w:val="left"/>
      <w:lvlText w:val="(%1)"/>
      <w:numFmt w:val="decimal"/>
      <w:start w:val="1"/>
    </w:lvl>
  </w:abstractNum>
  <w:abstractNum w:abstractNumId="99">
    <w:nsid w:val="7DFF9D09"/>
    <w:multiLevelType w:val="hybridMultilevel"/>
    <w:lvl w:ilvl="0">
      <w:lvlJc w:val="left"/>
      <w:lvlText w:val="(%1)"/>
      <w:numFmt w:val="decimal"/>
      <w:start w:val="1"/>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upperLetter"/>
      <w:start w:val="1"/>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decimal"/>
      <w:start w:val="1"/>
    </w:lvl>
    <w:lvl w:ilvl="1">
      <w:lvlJc w:val="left"/>
      <w:lvlText w:val="(%2)"/>
      <w:numFmt w:val="lowerLetter"/>
      <w:start w:val="2"/>
    </w:lvl>
  </w:abstractNum>
  <w:abstractNum w:abstractNumId="105">
    <w:nsid w:val="7AB49DAF"/>
    <w:multiLevelType w:val="hybridMultilevel"/>
    <w:lvl w:ilvl="0">
      <w:lvlJc w:val="left"/>
      <w:lvlText w:val="(%1)"/>
      <w:numFmt w:val="decimal"/>
      <w:start w:val="1"/>
    </w:lvl>
    <w:lvl w:ilvl="1">
      <w:lvlJc w:val="left"/>
      <w:lvlText w:val="%2"/>
      <w:numFmt w:val="lowerLetter"/>
      <w:start w:val="1"/>
    </w:lvl>
  </w:abstractNum>
  <w:abstractNum w:abstractNumId="106">
    <w:nsid w:val="759F82CD"/>
    <w:multiLevelType w:val="hybridMultilevel"/>
    <w:lvl w:ilvl="0">
      <w:lvlJc w:val="left"/>
      <w:lvlText w:val="(%1)"/>
      <w:numFmt w:val="decimal"/>
      <w:start w:val="9"/>
    </w:lvl>
    <w:lvl w:ilvl="1">
      <w:lvlJc w:val="left"/>
      <w:lvlText w:val="(%2)"/>
      <w:numFmt w:val="lowerLetter"/>
      <w:start w:val="3"/>
    </w:lvl>
  </w:abstractNum>
  <w:abstractNum w:abstractNumId="107">
    <w:nsid w:val="61E74EA3"/>
    <w:multiLevelType w:val="hybridMultilevel"/>
    <w:lvl w:ilvl="0">
      <w:lvlJc w:val="left"/>
      <w:lvlText w:val="(%1)"/>
      <w:numFmt w:val="lowerLetter"/>
      <w:start w:val="1"/>
    </w:lvl>
  </w:abstractNum>
  <w:abstractNum w:abstractNumId="108">
    <w:nsid w:val="597B4D84"/>
    <w:multiLevelType w:val="hybridMultilevel"/>
    <w:lvl w:ilvl="0">
      <w:lvlJc w:val="left"/>
      <w:lvlText w:val="(%1)"/>
      <w:numFmt w:val="decimal"/>
      <w:start w:val="1"/>
    </w:lvl>
  </w:abstractNum>
  <w:abstractNum w:abstractNumId="109">
    <w:nsid w:val="F819E7F"/>
    <w:multiLevelType w:val="hybridMultilevel"/>
    <w:lvl w:ilvl="0">
      <w:lvlJc w:val="left"/>
      <w:lvlText w:val="%1"/>
      <w:numFmt w:val="lowerLetter"/>
      <w:start w:val="1"/>
    </w:lvl>
    <w:lvl w:ilvl="1">
      <w:lvlJc w:val="left"/>
      <w:lvlText w:val="(%2)"/>
      <w:numFmt w:val="decimal"/>
      <w:start w:val="2"/>
    </w:lvl>
  </w:abstractNum>
  <w:abstractNum w:abstractNumId="110">
    <w:nsid w:val="57C7D42D"/>
    <w:multiLevelType w:val="hybridMultilevel"/>
    <w:lvl w:ilvl="0">
      <w:lvlJc w:val="left"/>
      <w:lvlText w:val="(%1)"/>
      <w:numFmt w:val="lowerLetter"/>
      <w:start w:val="2"/>
    </w:lvl>
    <w:lvl w:ilvl="1">
      <w:lvlJc w:val="left"/>
      <w:lvlText w:val="%2"/>
      <w:numFmt w:val="decimal"/>
      <w:start w:val="1"/>
    </w:lvl>
  </w:abstractNum>
  <w:abstractNum w:abstractNumId="111">
    <w:nsid w:val="312167AD"/>
    <w:multiLevelType w:val="hybridMultilevel"/>
    <w:lvl w:ilvl="0">
      <w:lvlJc w:val="left"/>
      <w:lvlText w:val="(%1)"/>
      <w:numFmt w:val="decimal"/>
      <w:start w:val="1"/>
    </w:lvl>
  </w:abstractNum>
  <w:abstractNum w:abstractNumId="112">
    <w:nsid w:val="631B64D4"/>
    <w:multiLevelType w:val="hybridMultilevel"/>
    <w:lvl w:ilvl="0">
      <w:lvlJc w:val="left"/>
      <w:lvlText w:val="(%1)"/>
      <w:numFmt w:val="decimal"/>
      <w:start w:val="3"/>
    </w:lvl>
  </w:abstractNum>
  <w:abstractNum w:abstractNumId="113">
    <w:nsid w:val="78B5E776"/>
    <w:multiLevelType w:val="hybridMultilevel"/>
    <w:lvl w:ilvl="0">
      <w:lvlJc w:val="left"/>
      <w:lvlText w:val="(%1)"/>
      <w:numFmt w:val="decimal"/>
      <w:start w:val="1"/>
    </w:lvl>
  </w:abstractNum>
  <w:abstractNum w:abstractNumId="114">
    <w:nsid w:val="75486E47"/>
    <w:multiLevelType w:val="hybridMultilevel"/>
    <w:lvl w:ilvl="0">
      <w:lvlJc w:val="left"/>
      <w:lvlText w:val="(%1)"/>
      <w:numFmt w:val="decimal"/>
      <w:start w:val="5"/>
    </w:lvl>
  </w:abstractNum>
  <w:abstractNum w:abstractNumId="115">
    <w:nsid w:val="6E534CDE"/>
    <w:multiLevelType w:val="hybridMultilevel"/>
    <w:lvl w:ilvl="0">
      <w:lvlJc w:val="left"/>
      <w:lvlText w:val="(%1)"/>
      <w:numFmt w:val="lowerRoman"/>
      <w:start w:val="1"/>
    </w:lvl>
  </w:abstractNum>
  <w:abstractNum w:abstractNumId="116">
    <w:nsid w:val="1A0DDE32"/>
    <w:multiLevelType w:val="hybridMultilevel"/>
    <w:lvl w:ilvl="0">
      <w:lvlJc w:val="left"/>
      <w:lvlText w:val="%1"/>
      <w:numFmt w:val="decimal"/>
      <w:start w:val="1"/>
    </w:lvl>
    <w:lvl w:ilvl="1">
      <w:lvlJc w:val="left"/>
      <w:lvlText w:val="(%2)"/>
      <w:numFmt w:val="lowerLetter"/>
      <w:start w:val="1"/>
    </w:lvl>
  </w:abstractNum>
  <w:abstractNum w:abstractNumId="117">
    <w:nsid w:val="65968C1C"/>
    <w:multiLevelType w:val="hybridMultilevel"/>
    <w:lvl w:ilvl="0">
      <w:lvlJc w:val="left"/>
      <w:lvlText w:val="(%1)"/>
      <w:numFmt w:val="decimal"/>
      <w:start w:val="1"/>
    </w:lvl>
    <w:lvl w:ilvl="1">
      <w:lvlJc w:val="left"/>
      <w:lvlText w:val="(%2)"/>
      <w:numFmt w:val="lowerLetter"/>
      <w:start w:val="2"/>
    </w:lvl>
  </w:abstractNum>
  <w:abstractNum w:abstractNumId="118">
    <w:nsid w:val="46263DEC"/>
    <w:multiLevelType w:val="hybridMultilevel"/>
    <w:lvl w:ilvl="0">
      <w:lvlJc w:val="left"/>
      <w:lvlText w:val="(%1)"/>
      <w:numFmt w:val="lowerLetter"/>
      <w:start w:val="4"/>
    </w:lvl>
  </w:abstractNum>
  <w:abstractNum w:abstractNumId="119">
    <w:nsid w:val="260D8C4A"/>
    <w:multiLevelType w:val="hybridMultilevel"/>
    <w:lvl w:ilvl="0">
      <w:lvlJc w:val="left"/>
      <w:lvlText w:val="%1"/>
      <w:numFmt w:val="decimal"/>
      <w:start w:val="1"/>
    </w:lvl>
    <w:lvl w:ilvl="1">
      <w:lvlJc w:val="left"/>
      <w:lvlText w:val="(%2)"/>
      <w:numFmt w:val="lowerLetter"/>
      <w:start w:val="1"/>
    </w:lvl>
  </w:abstractNum>
  <w:abstractNum w:abstractNumId="120">
    <w:nsid w:val="73D4D3C4"/>
    <w:multiLevelType w:val="hybridMultilevel"/>
    <w:lvl w:ilvl="0">
      <w:lvlJc w:val="left"/>
      <w:lvlText w:val="(%1)"/>
      <w:numFmt w:val="decimal"/>
      <w:start w:val="1"/>
    </w:lvl>
    <w:lvl w:ilvl="1">
      <w:lvlJc w:val="left"/>
      <w:lvlText w:val="%2"/>
      <w:numFmt w:val="lowerLetter"/>
      <w:start w:val="1"/>
    </w:lvl>
  </w:abstractNum>
  <w:abstractNum w:abstractNumId="121">
    <w:nsid w:val="746F2E30"/>
    <w:multiLevelType w:val="hybridMultilevel"/>
    <w:lvl w:ilvl="0">
      <w:lvlJc w:val="left"/>
      <w:lvlText w:val="(%1)"/>
      <w:numFmt w:val="decimal"/>
      <w:start w:val="5"/>
    </w:lvl>
  </w:abstractNum>
  <w:abstractNum w:abstractNumId="122">
    <w:nsid w:val="6FDE8AF6"/>
    <w:multiLevelType w:val="hybridMultilevel"/>
    <w:lvl w:ilvl="0">
      <w:lvlJc w:val="left"/>
      <w:lvlText w:val="(%1)"/>
      <w:numFmt w:val="decimal"/>
      <w:start w:val="6"/>
    </w:lvl>
  </w:abstractNum>
  <w:abstractNum w:abstractNumId="123">
    <w:nsid w:val="3FC32E20"/>
    <w:multiLevelType w:val="hybridMultilevel"/>
    <w:lvl w:ilvl="0">
      <w:lvlJc w:val="left"/>
      <w:lvlText w:val="(%1)"/>
      <w:numFmt w:val="decimal"/>
      <w:start w:val="9"/>
    </w:lvl>
  </w:abstractNum>
  <w:abstractNum w:abstractNumId="124">
    <w:nsid w:val="49C0E823"/>
    <w:multiLevelType w:val="hybridMultilevel"/>
    <w:lvl w:ilvl="0">
      <w:lvlJc w:val="left"/>
      <w:lvlText w:val="(%1)"/>
      <w:numFmt w:val="lowerLetter"/>
      <w:start w:val="2"/>
    </w:lvl>
  </w:abstractNum>
  <w:abstractNum w:abstractNumId="125">
    <w:nsid w:val="14D53685"/>
    <w:multiLevelType w:val="hybridMultilevel"/>
    <w:lvl w:ilvl="0">
      <w:lvlJc w:val="left"/>
      <w:lvlText w:val="(%1)"/>
      <w:numFmt w:val="decimal"/>
      <w:start w:val="1"/>
    </w:lvl>
  </w:abstractNum>
  <w:abstractNum w:abstractNumId="126">
    <w:nsid w:val="230F856C"/>
    <w:multiLevelType w:val="hybridMultilevel"/>
    <w:lvl w:ilvl="0">
      <w:lvlJc w:val="left"/>
      <w:lvlText w:val="(%1)"/>
      <w:numFmt w:val="decimal"/>
      <w:start w:val="1"/>
    </w:lvl>
  </w:abstractNum>
  <w:abstractNum w:abstractNumId="127">
    <w:nsid w:val="6EAA85FB"/>
    <w:multiLevelType w:val="hybridMultilevel"/>
    <w:lvl w:ilvl="0">
      <w:lvlJc w:val="left"/>
      <w:lvlText w:val="(%1)"/>
      <w:numFmt w:val="decimal"/>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decimal"/>
      <w:start w:val="1"/>
    </w:lvl>
    <w:lvl w:ilvl="1">
      <w:lvlJc w:val="left"/>
      <w:lvlText w:val="(%2)"/>
      <w:numFmt w:val="lowerLetter"/>
      <w:start w:val="1"/>
    </w:lvl>
  </w:abstractNum>
  <w:abstractNum w:abstractNumId="130">
    <w:nsid w:val="6CAA2304"/>
    <w:multiLevelType w:val="hybridMultilevel"/>
    <w:lvl w:ilvl="0">
      <w:lvlJc w:val="left"/>
      <w:lvlText w:val="(%1)"/>
      <w:numFmt w:val="decimal"/>
      <w:start w:val="1"/>
    </w:lvl>
    <w:lvl w:ilvl="1">
      <w:lvlJc w:val="left"/>
      <w:lvlText w:val="%2"/>
      <w:numFmt w:val="lowerLetter"/>
      <w:start w:val="1"/>
    </w:lvl>
  </w:abstractNum>
  <w:abstractNum w:abstractNumId="131">
    <w:nsid w:val="3F7C2FF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32">
    <w:nsid w:val="25413BEC"/>
    <w:multiLevelType w:val="hybridMultilevel"/>
    <w:lvl w:ilvl="0">
      <w:lvlJc w:val="left"/>
      <w:lvlText w:val="(%1)"/>
      <w:numFmt w:val="decimal"/>
      <w:start w:val="2"/>
    </w:lvl>
    <w:lvl w:ilvl="1">
      <w:lvlJc w:val="left"/>
      <w:lvlText w:val="(%2)"/>
      <w:numFmt w:val="lowerLetter"/>
      <w:start w:val="3"/>
    </w:lvl>
    <w:lvl w:ilvl="2">
      <w:lvlJc w:val="left"/>
      <w:lvlText w:val="%3"/>
      <w:numFmt w:val="upperLetter"/>
      <w:start w:val="1"/>
    </w:lvl>
  </w:abstractNum>
  <w:abstractNum w:abstractNumId="133">
    <w:nsid w:val="17180B0B"/>
    <w:multiLevelType w:val="hybridMultilevel"/>
    <w:lvl w:ilvl="0">
      <w:lvlJc w:val="left"/>
      <w:lvlText w:val="(%1)"/>
      <w:numFmt w:val="lowerLetter"/>
      <w:start w:val="4"/>
    </w:lvl>
  </w:abstractNum>
  <w:abstractNum w:abstractNumId="134">
    <w:nsid w:val="579328B9"/>
    <w:multiLevelType w:val="hybridMultilevel"/>
    <w:lvl w:ilvl="0">
      <w:lvlJc w:val="left"/>
      <w:lvlText w:val="%1."/>
      <w:numFmt w:val="decimal"/>
      <w:start w:val="1"/>
    </w:lvl>
  </w:abstractNum>
  <w:abstractNum w:abstractNumId="135">
    <w:nsid w:val="5D205E20"/>
    <w:multiLevelType w:val="hybridMultilevel"/>
    <w:lvl w:ilvl="0">
      <w:lvlJc w:val="left"/>
      <w:lvlText w:val="1"/>
      <w:numFmt w:val="bullet"/>
      <w:start w:val="1"/>
    </w:lvl>
  </w:abstractNum>
  <w:abstractNum w:abstractNumId="136">
    <w:nsid w:val="11CCA8BA"/>
    <w:multiLevelType w:val="hybridMultilevel"/>
    <w:lvl w:ilvl="0">
      <w:lvlJc w:val="left"/>
      <w:lvlText w:val="2"/>
      <w:numFmt w:val="bullet"/>
      <w:start w:val="1"/>
    </w:lvl>
  </w:abstractNum>
  <w:abstractNum w:abstractNumId="137">
    <w:nsid w:val="4D32AB86"/>
    <w:multiLevelType w:val="hybridMultilevel"/>
    <w:lvl w:ilvl="0">
      <w:lvlJc w:val="left"/>
      <w:lvlText w:val="%1."/>
      <w:numFmt w:val="decimal"/>
      <w:start w:val="5"/>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Roman"/>
      <w:start w:val="1"/>
    </w:lvl>
    <w:lvl w:ilvl="1">
      <w:lvlJc w:val="left"/>
      <w:lvlText w:val="%2."/>
      <w:numFmt w:val="decimal"/>
      <w:start w:val="6"/>
    </w:lvl>
  </w:abstractNum>
  <w:abstractNum w:abstractNumId="140">
    <w:nsid w:val="5CB44A05"/>
    <w:multiLevelType w:val="hybridMultilevel"/>
    <w:lvl w:ilvl="0">
      <w:lvlJc w:val="left"/>
      <w:lvlText w:val="(%1)"/>
      <w:numFmt w:val="lowerRoman"/>
      <w:start w:val="1"/>
    </w:lvl>
    <w:lvl w:ilvl="1">
      <w:lvlJc w:val="left"/>
      <w:lvlText w:val="%2"/>
      <w:numFmt w:val="decimal"/>
      <w:start w:val="1"/>
    </w:lvl>
  </w:abstractNum>
  <w:abstractNum w:abstractNumId="141">
    <w:nsid w:val="16CF80F1"/>
    <w:multiLevelType w:val="hybridMultilevel"/>
    <w:lvl w:ilvl="0">
      <w:lvlJc w:val="left"/>
      <w:lvlText w:val="%1."/>
      <w:numFmt w:val="decimal"/>
      <w:start w:val="7"/>
    </w:lvl>
  </w:abstractNum>
  <w:abstractNum w:abstractNumId="142">
    <w:nsid w:val="1C695DEC"/>
    <w:multiLevelType w:val="hybridMultilevel"/>
    <w:lvl w:ilvl="0">
      <w:lvlJc w:val="left"/>
      <w:lvlText w:val="%1."/>
      <w:numFmt w:val="decimal"/>
      <w:start w:val="13"/>
    </w:lvl>
  </w:abstractNum>
  <w:abstractNum w:abstractNumId="143">
    <w:nsid w:val="3FCFAED9"/>
    <w:multiLevelType w:val="hybridMultilevel"/>
    <w:lvl w:ilvl="0">
      <w:lvlJc w:val="left"/>
      <w:lvlText w:val="(%1)"/>
      <w:numFmt w:val="decimal"/>
      <w:start w:val="1"/>
    </w:lvl>
  </w:abstractNum>
  <w:abstractNum w:abstractNumId="144">
    <w:nsid w:val="F856867"/>
    <w:multiLevelType w:val="hybridMultilevel"/>
    <w:lvl w:ilvl="0">
      <w:lvlJc w:val="left"/>
      <w:lvlText w:val="(%1)"/>
      <w:numFmt w:val="decimal"/>
      <w:start w:val="3"/>
    </w:lvl>
  </w:abstractNum>
  <w:abstractNum w:abstractNumId="145">
    <w:nsid w:val="11B1CC33"/>
    <w:multiLevelType w:val="hybridMultilevel"/>
    <w:lvl w:ilvl="0">
      <w:lvlJc w:val="left"/>
      <w:lvlText w:val="%1."/>
      <w:numFmt w:val="decimal"/>
      <w:start w:val="16"/>
    </w:lvl>
  </w:abstractNum>
  <w:abstractNum w:abstractNumId="146">
    <w:nsid w:val="2E22FBB7"/>
    <w:multiLevelType w:val="hybridMultilevel"/>
    <w:lvl w:ilvl="0">
      <w:lvlJc w:val="left"/>
      <w:lvlText w:val="%1."/>
      <w:numFmt w:val="decimal"/>
      <w:start w:val="22"/>
    </w:lvl>
  </w:abstractNum>
  <w:abstractNum w:abstractNumId="147">
    <w:nsid w:val="29934699"/>
    <w:multiLevelType w:val="hybridMultilevel"/>
    <w:lvl w:ilvl="0">
      <w:lvlJc w:val="left"/>
      <w:lvlText w:val="*"/>
      <w:numFmt w:val="bullet"/>
      <w:start w:val="1"/>
    </w:lvl>
  </w:abstractNum>
  <w:abstractNum w:abstractNumId="148">
    <w:nsid w:val="77485850"/>
    <w:multiLevelType w:val="hybridMultilevel"/>
    <w:lvl w:ilvl="0">
      <w:lvlJc w:val="left"/>
      <w:lvlText w:val="%1."/>
      <w:numFmt w:val="decimal"/>
      <w:start w:val="1"/>
    </w:lvl>
  </w:abstractNum>
  <w:abstractNum w:abstractNumId="149">
    <w:nsid w:val="744939A3"/>
    <w:multiLevelType w:val="hybridMultilevel"/>
    <w:lvl w:ilvl="0">
      <w:lvlJc w:val="left"/>
      <w:lvlText w:val="3"/>
      <w:numFmt w:val="bullet"/>
      <w:start w:val="1"/>
    </w:lvl>
  </w:abstractNum>
  <w:abstractNum w:abstractNumId="150">
    <w:nsid w:val="4FA0D2E3"/>
    <w:multiLevelType w:val="hybridMultilevel"/>
    <w:lvl w:ilvl="0">
      <w:lvlJc w:val="left"/>
      <w:lvlText w:val="4"/>
      <w:numFmt w:val="bullet"/>
      <w:start w:val="1"/>
    </w:lvl>
  </w:abstractNum>
  <w:abstractNum w:abstractNumId="151">
    <w:nsid w:val="6B1D2C14"/>
    <w:multiLevelType w:val="hybridMultilevel"/>
    <w:lvl w:ilvl="0">
      <w:lvlJc w:val="left"/>
      <w:lvlText w:val="%1."/>
      <w:numFmt w:val="decimal"/>
      <w:start w:val="5"/>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Roman"/>
      <w:start w:val="1"/>
    </w:lvl>
    <w:lvl w:ilvl="1">
      <w:lvlJc w:val="left"/>
      <w:lvlText w:val="%2."/>
      <w:numFmt w:val="decimal"/>
      <w:start w:val="6"/>
    </w:lvl>
  </w:abstractNum>
  <w:abstractNum w:abstractNumId="154">
    <w:nsid w:val="2AE05A34"/>
    <w:multiLevelType w:val="hybridMultilevel"/>
    <w:lvl w:ilvl="0">
      <w:lvlJc w:val="left"/>
      <w:lvlText w:val="(%1)"/>
      <w:numFmt w:val="lowerRoman"/>
      <w:start w:val="1"/>
    </w:lvl>
    <w:lvl w:ilvl="1">
      <w:lvlJc w:val="left"/>
      <w:lvlText w:val="%2"/>
      <w:numFmt w:val="decimal"/>
      <w:start w:val="1"/>
    </w:lvl>
  </w:abstractNum>
  <w:abstractNum w:abstractNumId="155">
    <w:nsid w:val="32794FF7"/>
    <w:multiLevelType w:val="hybridMultilevel"/>
    <w:lvl w:ilvl="0">
      <w:lvlJc w:val="left"/>
      <w:lvlText w:val="%1."/>
      <w:numFmt w:val="decimal"/>
      <w:start w:val="7"/>
    </w:lvl>
  </w:abstractNum>
  <w:abstractNum w:abstractNumId="156">
    <w:nsid w:val="5454945E"/>
    <w:multiLevelType w:val="hybridMultilevel"/>
    <w:lvl w:ilvl="0">
      <w:lvlJc w:val="left"/>
      <w:lvlText w:val="%1."/>
      <w:numFmt w:val="decimal"/>
      <w:start w:val="13"/>
    </w:lvl>
  </w:abstractNum>
  <w:abstractNum w:abstractNumId="157">
    <w:nsid w:val="4DEFDFA0"/>
    <w:multiLevelType w:val="hybridMultilevel"/>
    <w:lvl w:ilvl="0">
      <w:lvlJc w:val="left"/>
      <w:lvlText w:val="(%1)"/>
      <w:numFmt w:val="decimal"/>
      <w:start w:val="1"/>
    </w:lvl>
  </w:abstractNum>
  <w:abstractNum w:abstractNumId="158">
    <w:nsid w:val="2123D5F2"/>
    <w:multiLevelType w:val="hybridMultilevel"/>
    <w:lvl w:ilvl="0">
      <w:lvlJc w:val="left"/>
      <w:lvlText w:val="(%1)"/>
      <w:numFmt w:val="decimal"/>
      <w:start w:val="3"/>
    </w:lvl>
  </w:abstractNum>
  <w:abstractNum w:abstractNumId="159">
    <w:nsid w:val="135B8110"/>
    <w:multiLevelType w:val="hybridMultilevel"/>
    <w:lvl w:ilvl="0">
      <w:lvlJc w:val="left"/>
      <w:lvlText w:val="%1."/>
      <w:numFmt w:val="decimal"/>
      <w:start w:val="16"/>
    </w:lvl>
  </w:abstractNum>
  <w:abstractNum w:abstractNumId="160">
    <w:nsid w:val="94927A8"/>
    <w:multiLevelType w:val="hybridMultilevel"/>
    <w:lvl w:ilvl="0">
      <w:lvlJc w:val="left"/>
      <w:lvlText w:val="%1."/>
      <w:numFmt w:val="decimal"/>
      <w:start w:val="22"/>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1)"/>
      <w:numFmt w:val="upperLetter"/>
      <w:start w:val="2"/>
    </w:lvl>
  </w:abstractNum>
  <w:abstractNum w:abstractNumId="163">
    <w:nsid w:val="2E8A6394"/>
    <w:multiLevelType w:val="hybridMultilevel"/>
    <w:lvl w:ilvl="0">
      <w:lvlJc w:val="left"/>
      <w:lvlText w:val="(%1)"/>
      <w:numFmt w:val="upperLetter"/>
      <w:start w:val="7"/>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decimal"/>
      <w:start w:val="2"/>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1)"/>
      <w:numFmt w:val="lowerLetter"/>
      <w:start w:val="2"/>
    </w:lvl>
  </w:abstractNum>
  <w:abstractNum w:abstractNumId="168">
    <w:nsid w:val="779D8544"/>
    <w:multiLevelType w:val="hybridMultilevel"/>
    <w:lvl w:ilvl="0">
      <w:lvlJc w:val="left"/>
      <w:lvlText w:val="(%1)"/>
      <w:numFmt w:val="lowerLetter"/>
      <w:start w:val="3"/>
    </w:lvl>
  </w:abstractNum>
  <w:abstractNum w:abstractNumId="169">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70">
    <w:nsid w:val="21FAA2F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71">
    <w:nsid w:val="5451CF49"/>
    <w:multiLevelType w:val="hybridMultilevel"/>
    <w:lvl w:ilvl="0">
      <w:lvlJc w:val="left"/>
      <w:lvlText w:val="(%1)"/>
      <w:numFmt w:val="lowerLetter"/>
      <w:start w:val="3"/>
    </w:lvl>
  </w:abstractNum>
  <w:abstractNum w:abstractNumId="172">
    <w:nsid w:val="6181EF69"/>
    <w:multiLevelType w:val="hybridMultilevel"/>
    <w:lvl w:ilvl="0">
      <w:lvlJc w:val="left"/>
      <w:lvlText w:val="%1."/>
      <w:numFmt w:val="decimal"/>
      <w:start w:val="1"/>
    </w:lvl>
    <w:lvl w:ilvl="1">
      <w:lvlJc w:val="left"/>
      <w:lvlText w:val="(%2)"/>
      <w:numFmt w:val="lowerLetter"/>
      <w:start w:val="1"/>
    </w:lvl>
  </w:abstractNum>
  <w:abstractNum w:abstractNumId="173">
    <w:nsid w:val="3E6400E6"/>
    <w:multiLevelType w:val="hybridMultilevel"/>
    <w:lvl w:ilvl="0">
      <w:lvlJc w:val="left"/>
      <w:lvlText w:val="(%1)"/>
      <w:numFmt w:val="lowerLetter"/>
      <w:start w:val="2"/>
    </w:lvl>
  </w:abstractNum>
  <w:abstractNum w:abstractNumId="174">
    <w:nsid w:val="14217E23"/>
    <w:multiLevelType w:val="hybridMultilevel"/>
    <w:lvl w:ilvl="0">
      <w:lvlJc w:val="left"/>
      <w:lvlText w:val="%1."/>
      <w:numFmt w:val="decimal"/>
      <w:start w:val="1"/>
    </w:lvl>
    <w:lvl w:ilvl="1">
      <w:lvlJc w:val="left"/>
      <w:lvlText w:val="(%2)"/>
      <w:numFmt w:val="lowerLetter"/>
      <w:start w:val="1"/>
    </w:lvl>
  </w:abstractNum>
  <w:abstractNum w:abstractNumId="175">
    <w:nsid w:val="710757D0"/>
    <w:multiLevelType w:val="hybridMultilevel"/>
    <w:lvl w:ilvl="0">
      <w:lvlJc w:val="left"/>
      <w:lvlText w:val="%1"/>
      <w:numFmt w:val="lowerRoman"/>
      <w:start w:val="1"/>
    </w:lvl>
    <w:lvl w:ilvl="1">
      <w:lvlJc w:val="left"/>
      <w:lvlText w:val="(%2)"/>
      <w:numFmt w:val="lowerLetter"/>
      <w:start w:val="2"/>
    </w:lvl>
  </w:abstractNum>
  <w:abstractNum w:abstractNumId="176">
    <w:nsid w:val="5015CD1A"/>
    <w:multiLevelType w:val="hybridMultilevel"/>
    <w:lvl w:ilvl="0">
      <w:lvlJc w:val="left"/>
      <w:lvlText w:val="(%1)"/>
      <w:numFmt w:val="lowerRoman"/>
      <w:start w:val="4"/>
    </w:lvl>
    <w:lvl w:ilvl="1">
      <w:lvlJc w:val="left"/>
      <w:lvlText w:val="(%2)"/>
      <w:numFmt w:val="lowerLetter"/>
      <w:start w:val="3"/>
    </w:lvl>
  </w:abstractNum>
  <w:abstractNum w:abstractNumId="177">
    <w:nsid w:val="424479DA"/>
    <w:multiLevelType w:val="hybridMultilevel"/>
    <w:lvl w:ilvl="0">
      <w:lvlJc w:val="left"/>
      <w:lvlText w:val="%1."/>
      <w:numFmt w:val="decimal"/>
      <w:start w:val="2"/>
    </w:lvl>
    <w:lvl w:ilvl="1">
      <w:lvlJc w:val="left"/>
      <w:lvlText w:val="(%2)"/>
      <w:numFmt w:val="lowerLetter"/>
      <w:start w:val="1"/>
    </w:lvl>
  </w:abstractNum>
  <w:abstractNum w:abstractNumId="178">
    <w:nsid w:val="1A9A9E69"/>
    <w:multiLevelType w:val="hybridMultilevel"/>
    <w:lvl w:ilvl="0">
      <w:lvlJc w:val="left"/>
      <w:lvlText w:val="(%1)"/>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2019-12-28T03:46:45Z</dcterms:created>
  <dcterms:modified xsi:type="dcterms:W3CDTF">2019-12-28T03:46:45Z</dcterms:modified>
</cp:coreProperties>
</file>