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740"/>
        <w:spacing w:after="0"/>
        <w:rPr>
          <w:sz w:val="20"/>
          <w:szCs w:val="20"/>
          <w:color w:val="auto"/>
        </w:rPr>
      </w:pPr>
      <w:r>
        <w:rPr>
          <w:rFonts w:ascii="Arial" w:cs="Arial" w:eastAsia="Arial" w:hAnsi="Arial"/>
          <w:sz w:val="32"/>
          <w:szCs w:val="32"/>
          <w:b w:val="1"/>
          <w:bCs w:val="1"/>
          <w:color w:val="auto"/>
        </w:rPr>
        <w:t>____________</w:t>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6" w:lineRule="exact"/>
        <w:rPr>
          <w:sz w:val="24"/>
          <w:szCs w:val="24"/>
          <w:color w:val="auto"/>
        </w:rPr>
      </w:pPr>
    </w:p>
    <w:p>
      <w:pPr>
        <w:ind w:left="4740"/>
        <w:spacing w:after="0"/>
        <w:rPr>
          <w:sz w:val="20"/>
          <w:szCs w:val="20"/>
          <w:color w:val="auto"/>
        </w:rPr>
      </w:pPr>
      <w:r>
        <w:rPr>
          <w:rFonts w:ascii="Arial" w:cs="Arial" w:eastAsia="Arial" w:hAnsi="Arial"/>
          <w:sz w:val="32"/>
          <w:szCs w:val="32"/>
          <w:b w:val="1"/>
          <w:bCs w:val="1"/>
          <w:color w:val="auto"/>
        </w:rPr>
        <w:t>____________</w:t>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6, 2019</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CROWN HOLDINGS,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3200" w:type="dxa"/>
            <w:vAlign w:val="bottom"/>
          </w:tcPr>
          <w:p>
            <w:pPr>
              <w:jc w:val="center"/>
              <w:ind w:right="890"/>
              <w:spacing w:after="0"/>
              <w:rPr>
                <w:sz w:val="20"/>
                <w:szCs w:val="20"/>
                <w:color w:val="auto"/>
              </w:rPr>
            </w:pPr>
            <w:r>
              <w:rPr>
                <w:rFonts w:ascii="Arial" w:cs="Arial" w:eastAsia="Arial" w:hAnsi="Arial"/>
                <w:sz w:val="18"/>
                <w:szCs w:val="18"/>
                <w:b w:val="1"/>
                <w:bCs w:val="1"/>
                <w:color w:val="auto"/>
                <w:w w:val="88"/>
              </w:rPr>
              <w:t>Pennsylvania</w:t>
            </w:r>
          </w:p>
        </w:tc>
        <w:tc>
          <w:tcPr>
            <w:tcW w:w="3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000-50189</w:t>
            </w:r>
          </w:p>
        </w:tc>
        <w:tc>
          <w:tcPr>
            <w:tcW w:w="252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75-3099507</w:t>
            </w:r>
          </w:p>
        </w:tc>
      </w:tr>
      <w:tr>
        <w:trPr>
          <w:trHeight w:val="256"/>
        </w:trPr>
        <w:tc>
          <w:tcPr>
            <w:tcW w:w="3200" w:type="dxa"/>
            <w:vAlign w:val="bottom"/>
          </w:tcPr>
          <w:p>
            <w:pPr>
              <w:jc w:val="center"/>
              <w:ind w:right="870"/>
              <w:spacing w:after="0"/>
              <w:rPr>
                <w:sz w:val="20"/>
                <w:szCs w:val="20"/>
                <w:color w:val="auto"/>
              </w:rPr>
            </w:pPr>
            <w:r>
              <w:rPr>
                <w:rFonts w:ascii="Arial" w:cs="Arial" w:eastAsia="Arial" w:hAnsi="Arial"/>
                <w:sz w:val="18"/>
                <w:szCs w:val="18"/>
                <w:color w:val="auto"/>
                <w:w w:val="92"/>
              </w:rPr>
              <w:t>(State or Other Jurisdiction of</w:t>
            </w:r>
          </w:p>
        </w:tc>
        <w:tc>
          <w:tcPr>
            <w:tcW w:w="3140" w:type="dxa"/>
            <w:vAlign w:val="bottom"/>
          </w:tcPr>
          <w:p>
            <w:pPr>
              <w:jc w:val="center"/>
              <w:ind w:right="130"/>
              <w:spacing w:after="0"/>
              <w:rPr>
                <w:sz w:val="20"/>
                <w:szCs w:val="20"/>
                <w:color w:val="auto"/>
              </w:rPr>
            </w:pPr>
            <w:r>
              <w:rPr>
                <w:rFonts w:ascii="Arial" w:cs="Arial" w:eastAsia="Arial" w:hAnsi="Arial"/>
                <w:sz w:val="18"/>
                <w:szCs w:val="18"/>
                <w:color w:val="auto"/>
                <w:w w:val="91"/>
              </w:rPr>
              <w:t>(Commission</w:t>
            </w:r>
          </w:p>
        </w:tc>
        <w:tc>
          <w:tcPr>
            <w:tcW w:w="2520" w:type="dxa"/>
            <w:vAlign w:val="bottom"/>
          </w:tcPr>
          <w:p>
            <w:pPr>
              <w:jc w:val="center"/>
              <w:ind w:left="1110"/>
              <w:spacing w:after="0"/>
              <w:rPr>
                <w:sz w:val="20"/>
                <w:szCs w:val="20"/>
                <w:color w:val="auto"/>
              </w:rPr>
            </w:pPr>
            <w:r>
              <w:rPr>
                <w:rFonts w:ascii="Arial" w:cs="Arial" w:eastAsia="Arial" w:hAnsi="Arial"/>
                <w:sz w:val="18"/>
                <w:szCs w:val="18"/>
                <w:color w:val="auto"/>
                <w:w w:val="93"/>
              </w:rPr>
              <w:t>(I.R.S. Employer</w:t>
            </w:r>
          </w:p>
        </w:tc>
      </w:tr>
      <w:tr>
        <w:trPr>
          <w:trHeight w:val="230"/>
        </w:trPr>
        <w:tc>
          <w:tcPr>
            <w:tcW w:w="3200" w:type="dxa"/>
            <w:vAlign w:val="bottom"/>
          </w:tcPr>
          <w:p>
            <w:pPr>
              <w:jc w:val="center"/>
              <w:ind w:right="890"/>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right="130"/>
              <w:spacing w:after="0"/>
              <w:rPr>
                <w:sz w:val="20"/>
                <w:szCs w:val="20"/>
                <w:color w:val="auto"/>
              </w:rPr>
            </w:pPr>
            <w:r>
              <w:rPr>
                <w:rFonts w:ascii="Arial" w:cs="Arial" w:eastAsia="Arial" w:hAnsi="Arial"/>
                <w:sz w:val="18"/>
                <w:szCs w:val="18"/>
                <w:color w:val="auto"/>
                <w:w w:val="92"/>
              </w:rPr>
              <w:t>File Number)</w:t>
            </w:r>
          </w:p>
        </w:tc>
        <w:tc>
          <w:tcPr>
            <w:tcW w:w="2520" w:type="dxa"/>
            <w:vAlign w:val="bottom"/>
          </w:tcPr>
          <w:p>
            <w:pPr>
              <w:jc w:val="center"/>
              <w:ind w:left="109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0" w:lineRule="exact"/>
        <w:rPr>
          <w:sz w:val="24"/>
          <w:szCs w:val="24"/>
          <w:color w:val="auto"/>
        </w:rPr>
      </w:pPr>
    </w:p>
    <w:p>
      <w:pPr>
        <w:spacing w:after="0" w:line="2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Soliciting material pursuant to Rule 14a-12 under the Exchange Act (17CFR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spacing w:after="0" w:line="272" w:lineRule="auto"/>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Arial" w:cs="Arial" w:eastAsia="Arial" w:hAnsi="Arial"/>
          <w:sz w:val="18"/>
          <w:szCs w:val="18"/>
          <w:b w:val="1"/>
          <w:bCs w:val="1"/>
          <w:color w:val="auto"/>
        </w:rPr>
        <w:t>o</w:t>
      </w:r>
    </w:p>
    <w:p>
      <w:pPr>
        <w:spacing w:after="0" w:line="3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68" w:right="259" w:bottom="1440" w:gutter="0" w:footer="0" w:header="0"/>
        </w:sectPr>
      </w:pPr>
    </w:p>
    <w:bookmarkStart w:id="1" w:name="page2"/>
    <w:bookmarkEnd w:id="1"/>
    <w:p>
      <w:pPr>
        <w:jc w:val="right"/>
        <w:ind w:right="3419"/>
        <w:spacing w:after="0"/>
        <w:rPr>
          <w:sz w:val="20"/>
          <w:szCs w:val="20"/>
          <w:color w:val="auto"/>
        </w:rPr>
      </w:pPr>
      <w:r>
        <w:rPr>
          <w:rFonts w:ascii="Arial" w:cs="Arial" w:eastAsia="Arial" w:hAnsi="Arial"/>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color w:val="auto"/>
        </w:rPr>
        <w:t>Item 2.02. RESULTS OF OPERATIONS AND FINANCIAL CONDITION</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Item 9.01. FINANCIAL STATEMENTS AND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EX-99 PRESS RELEASE</w:t>
      </w:r>
    </w:p>
    <w:p>
      <w:pPr>
        <w:sectPr>
          <w:pgSz w:w="11900" w:h="16838" w:orient="portrait"/>
          <w:cols w:equalWidth="0" w:num="1">
            <w:col w:w="10219"/>
          </w:cols>
          <w:pgMar w:left="240" w:top="1104" w:right="1440" w:bottom="4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19"/>
          </w:cols>
          <w:pgMar w:left="240" w:top="1104" w:right="1440" w:bottom="415"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91"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On February 6, 2019 Crown Holdings, Inc. issued a press release announcing its earnings for the third quarter ended December 31, 2018. A copy of the press release is attached hereto as Exhibit 99 and incorporated herein by reference.</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(c)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furnished as an exhibit to this report.</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99. Crown Holdings, Inc. press release dated February 6, 2019.</w:t>
      </w:r>
    </w:p>
    <w:p>
      <w:pPr>
        <w:sectPr>
          <w:pgSz w:w="11900" w:h="16838" w:orient="portrait"/>
          <w:cols w:equalWidth="0" w:num="1">
            <w:col w:w="11420"/>
          </w:cols>
          <w:pgMar w:left="240" w:top="10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44" w:right="239" w:bottom="1440" w:gutter="0" w:footer="0" w:header="0"/>
          <w:type w:val="continuous"/>
        </w:sectPr>
      </w:pPr>
    </w:p>
    <w:bookmarkStart w:id="3" w:name="page4"/>
    <w:bookmarkEnd w:id="3"/>
    <w:p>
      <w:pPr>
        <w:jc w:val="center"/>
        <w:ind w:right="-19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24765</wp:posOffset>
            </wp:positionV>
            <wp:extent cx="3310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David A. Beaver</w:t>
      </w:r>
    </w:p>
    <w:p>
      <w:pPr>
        <w:spacing w:after="0" w:line="44"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6, 2019</w:t>
      </w:r>
    </w:p>
    <w:p>
      <w:pPr>
        <w:sectPr>
          <w:pgSz w:w="11900" w:h="16838" w:orient="portrait"/>
          <w:cols w:equalWidth="0" w:num="1">
            <w:col w:w="11240"/>
          </w:cols>
          <w:pgMar w:left="240" w:top="1090" w:right="419" w:bottom="10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240" w:top="1090" w:right="419" w:bottom="1037" w:gutter="0" w:footer="0" w:header="0"/>
          <w:type w:val="continuous"/>
        </w:sectPr>
      </w:pPr>
    </w:p>
    <w:bookmarkStart w:id="4" w:name="page5"/>
    <w:bookmarkEnd w:id="4"/>
    <w:p>
      <w:pPr>
        <w:ind w:left="4160"/>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100" w:type="dxa"/>
            <w:vAlign w:val="bottom"/>
          </w:tcPr>
          <w:p>
            <w:pPr>
              <w:spacing w:after="0"/>
              <w:rPr>
                <w:sz w:val="20"/>
                <w:szCs w:val="20"/>
                <w:color w:val="auto"/>
              </w:rPr>
            </w:pPr>
            <w:r>
              <w:rPr>
                <w:rFonts w:ascii="Arial" w:cs="Arial" w:eastAsia="Arial" w:hAnsi="Arial"/>
                <w:sz w:val="22"/>
                <w:szCs w:val="22"/>
                <w:color w:val="auto"/>
              </w:rPr>
              <w:t>Exhibit Number</w:t>
            </w:r>
          </w:p>
        </w:tc>
        <w:tc>
          <w:tcPr>
            <w:tcW w:w="6060" w:type="dxa"/>
            <w:vAlign w:val="bottom"/>
          </w:tcPr>
          <w:p>
            <w:pPr>
              <w:spacing w:after="0"/>
              <w:rPr>
                <w:sz w:val="20"/>
                <w:szCs w:val="20"/>
                <w:color w:val="auto"/>
              </w:rPr>
            </w:pPr>
            <w:r>
              <w:rPr>
                <w:rFonts w:ascii="Arial" w:cs="Arial" w:eastAsia="Arial" w:hAnsi="Arial"/>
                <w:sz w:val="22"/>
                <w:szCs w:val="22"/>
                <w:color w:val="auto"/>
              </w:rPr>
              <w:t>Description</w:t>
            </w:r>
          </w:p>
        </w:tc>
      </w:tr>
      <w:tr>
        <w:trPr>
          <w:trHeight w:val="544"/>
        </w:trPr>
        <w:tc>
          <w:tcPr>
            <w:tcW w:w="2100" w:type="dxa"/>
            <w:vAlign w:val="bottom"/>
          </w:tcPr>
          <w:p>
            <w:pPr>
              <w:spacing w:after="0"/>
              <w:rPr>
                <w:sz w:val="20"/>
                <w:szCs w:val="20"/>
                <w:color w:val="auto"/>
              </w:rPr>
            </w:pPr>
            <w:r>
              <w:rPr>
                <w:rFonts w:ascii="Arial" w:cs="Arial" w:eastAsia="Arial" w:hAnsi="Arial"/>
                <w:sz w:val="22"/>
                <w:szCs w:val="22"/>
                <w:color w:val="auto"/>
              </w:rPr>
              <w:t>99</w:t>
            </w:r>
          </w:p>
        </w:tc>
        <w:tc>
          <w:tcPr>
            <w:tcW w:w="6060" w:type="dxa"/>
            <w:vAlign w:val="bottom"/>
            <w:tcBorders>
              <w:bottom w:val="single" w:sz="8" w:color="0000FF"/>
            </w:tcBorders>
          </w:tcPr>
          <w:p>
            <w:pPr>
              <w:spacing w:after="0"/>
              <w:rPr>
                <w:rFonts w:ascii="Arial" w:cs="Arial" w:eastAsia="Arial" w:hAnsi="Arial"/>
                <w:sz w:val="22"/>
                <w:szCs w:val="22"/>
                <w:color w:val="0000FF"/>
                <w:w w:val="87"/>
              </w:rPr>
            </w:pPr>
            <w:hyperlink w:anchor="page6">
              <w:r>
                <w:rPr>
                  <w:rFonts w:ascii="Arial" w:cs="Arial" w:eastAsia="Arial" w:hAnsi="Arial"/>
                  <w:sz w:val="22"/>
                  <w:szCs w:val="22"/>
                  <w:color w:val="0000FF"/>
                  <w:w w:val="87"/>
                </w:rPr>
                <w:t>Press release, dated February 6, 2019, issued by Crown Holdings, Inc.</w:t>
              </w:r>
            </w:hyperlink>
          </w:p>
        </w:tc>
      </w:tr>
    </w:tbl>
    <w:p>
      <w:pPr>
        <w:spacing w:after="0" w:line="200" w:lineRule="exact"/>
        <w:rPr>
          <w:sz w:val="20"/>
          <w:szCs w:val="20"/>
          <w:color w:val="auto"/>
        </w:rPr>
      </w:pPr>
    </w:p>
    <w:p>
      <w:pPr>
        <w:sectPr>
          <w:pgSz w:w="11900" w:h="16838" w:orient="portrait"/>
          <w:cols w:equalWidth="0" w:num="1">
            <w:col w:w="9699"/>
          </w:cols>
          <w:pgMar w:left="760" w:top="1050" w:right="1440" w:bottom="7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699"/>
          </w:cols>
          <w:pgMar w:left="760" w:top="1050" w:right="1440" w:bottom="726" w:gutter="0" w:footer="0" w:header="0"/>
          <w:type w:val="continuous"/>
        </w:sectPr>
      </w:pPr>
    </w:p>
    <w:bookmarkStart w:id="5" w:name="page6"/>
    <w:bookmarkEnd w:id="5"/>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323850</wp:posOffset>
            </wp:positionV>
            <wp:extent cx="58572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5724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CROWN HOLDINGS, INC. REPORTS FOURTH QUARTER 2018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165735</wp:posOffset>
            </wp:positionV>
            <wp:extent cx="585724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5724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Yardley, PA - February 6, 2019. </w:t>
      </w:r>
      <w:r>
        <w:rPr>
          <w:rFonts w:ascii="Arial" w:cs="Arial" w:eastAsia="Arial" w:hAnsi="Arial"/>
          <w:sz w:val="18"/>
          <w:szCs w:val="18"/>
          <w:color w:val="auto"/>
        </w:rPr>
        <w:t>Crown Holdings, Inc. (NYSE: CCK) today announced its financial results for the fourth quarter and year ended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25" w:lineRule="exact"/>
        <w:rPr>
          <w:sz w:val="20"/>
          <w:szCs w:val="20"/>
          <w:color w:val="auto"/>
        </w:rPr>
      </w:pPr>
    </w:p>
    <w:p>
      <w:pPr>
        <w:ind w:left="560" w:hanging="255"/>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Earnings per share $0.40 for the quarter versus a loss of $0.67 in 2017</w:t>
      </w:r>
    </w:p>
    <w:p>
      <w:pPr>
        <w:spacing w:after="0" w:line="27" w:lineRule="exact"/>
        <w:rPr>
          <w:rFonts w:ascii="Arial" w:cs="Arial" w:eastAsia="Arial" w:hAnsi="Arial"/>
          <w:sz w:val="18"/>
          <w:szCs w:val="18"/>
          <w:color w:val="auto"/>
        </w:rPr>
      </w:pPr>
    </w:p>
    <w:p>
      <w:pPr>
        <w:ind w:left="560" w:hanging="255"/>
        <w:spacing w:after="0"/>
        <w:tabs>
          <w:tab w:leader="none" w:pos="5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Adjusted earnings per share $1.00 for the quarter versus $0.84 in 2017; $5.20 full year versus $4.24 in 2017, an improvement of 23%</w:t>
      </w:r>
    </w:p>
    <w:p>
      <w:pPr>
        <w:spacing w:after="0" w:line="20" w:lineRule="exact"/>
        <w:rPr>
          <w:rFonts w:ascii="Arial" w:cs="Arial" w:eastAsia="Arial" w:hAnsi="Arial"/>
          <w:sz w:val="17"/>
          <w:szCs w:val="17"/>
          <w:color w:val="auto"/>
        </w:rPr>
      </w:pPr>
    </w:p>
    <w:p>
      <w:pPr>
        <w:ind w:left="560" w:hanging="255"/>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Full year free cash flow of $636 million, or $4.75 per diluted share</w:t>
      </w:r>
    </w:p>
    <w:p>
      <w:pPr>
        <w:spacing w:after="0" w:line="9" w:lineRule="exact"/>
        <w:rPr>
          <w:rFonts w:ascii="Arial" w:cs="Arial" w:eastAsia="Arial" w:hAnsi="Arial"/>
          <w:sz w:val="18"/>
          <w:szCs w:val="18"/>
          <w:color w:val="auto"/>
        </w:rPr>
      </w:pPr>
    </w:p>
    <w:p>
      <w:pPr>
        <w:ind w:left="560" w:hanging="255"/>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Deleveraging plans on target</w:t>
      </w:r>
    </w:p>
    <w:p>
      <w:pPr>
        <w:spacing w:after="0" w:line="9" w:lineRule="exact"/>
        <w:rPr>
          <w:rFonts w:ascii="Arial" w:cs="Arial" w:eastAsia="Arial" w:hAnsi="Arial"/>
          <w:sz w:val="18"/>
          <w:szCs w:val="18"/>
          <w:color w:val="auto"/>
        </w:rPr>
      </w:pPr>
    </w:p>
    <w:p>
      <w:pPr>
        <w:ind w:left="560" w:hanging="255"/>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Transit Packaging performance on plan</w:t>
      </w:r>
    </w:p>
    <w:p>
      <w:pPr>
        <w:spacing w:after="0" w:line="9" w:lineRule="exact"/>
        <w:rPr>
          <w:rFonts w:ascii="Arial" w:cs="Arial" w:eastAsia="Arial" w:hAnsi="Arial"/>
          <w:sz w:val="18"/>
          <w:szCs w:val="18"/>
          <w:color w:val="auto"/>
        </w:rPr>
      </w:pPr>
    </w:p>
    <w:p>
      <w:pPr>
        <w:ind w:left="560" w:hanging="255"/>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Global beverage can volumes grew 5% in the quarter and 4% for the year</w:t>
      </w:r>
    </w:p>
    <w:p>
      <w:pPr>
        <w:spacing w:after="0" w:line="9" w:lineRule="exact"/>
        <w:rPr>
          <w:rFonts w:ascii="Arial" w:cs="Arial" w:eastAsia="Arial" w:hAnsi="Arial"/>
          <w:sz w:val="18"/>
          <w:szCs w:val="18"/>
          <w:color w:val="auto"/>
        </w:rPr>
      </w:pPr>
    </w:p>
    <w:p>
      <w:pPr>
        <w:ind w:left="560" w:hanging="255"/>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Reaffirm 2019 free cash flow target of $775 million</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sales in the fourth quarter were $2,734 million compared to $2,168 million in the fourth quarter of 2017 reflecting the impact of the Signode acquisition, increased beverage can volumes and the pass through of higher material costs to customers partially offset by $53 million of unfavorable currency translation.</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Income from operations was $218 million in the quarter compared to $212 million in the fourth quarter of 2017. Segment income increased to $279 million in the fourth quarter compared to $244 million in the prior year fourth quarter primarily due to the Signode acquisition.</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Commenting on the quarter, Timothy J. Donahue, President and Chief Executive Officer, stated, “The Company’s earnings performance was on plan for both the fourth quarter and full year, adjusted free cash flow exceeded our expectations, and we are reaffirming our cash flow guidance for 2019. Strong global beverage can volume growth of 5% during the quarter, led by robust shipments in Asia Pacific and the United States, combined with firm results in Transit Packaging, offset challenges in other operations. As expected, European Beverage results in the quarter had a difficult comparison to the prior year due to pre-production and start-up costs associated with new beverage can plants in Valencia, Spain and Parma, Italy, and volume softness in the Middle East consistent with previous quarters. European Food results in the quarter, compared to the prior year, were affected by currency translation and under-absorption of fixed costs due to lower production following poor harvest yields and higher inventory levels at the end of the third quarter.</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“Beverage cans, the world’s most sustainable and recycled beverage packaging, are increasingly recognized as the most responsible form of beverage packaging, and as such are gaining preference among brand owners and consumers alike. To meet this expanding demand, in July we commenced production at a new one-line beverage can plant in Yangon, Myanmar. The first line of the Valencia plant began operations in October and the second line will start-up in February 2019. In December, we commenced operations in Parma, initially a one-line beverage can plant, and in January 2019 we commenced operations on the third line at the Company’s existing plant in Phnom Penh, Cambodia. During the fourth quarter of 2019, we will begin operations at a new one-line beverage can plant in Rio Verde, central Brazil.”</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$102 million in the fourth quarter of 2018 compared to $65 million in 2017 primarily due to higher outstanding debt from borrowings incurred to finance the Signode acquisition.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attributable to Crown Holdings in the fourth quarter was $53 million compared to a loss of $89 million in the fourth quarter of 2017. Reported diluted earnings per share were $0.40 in the fourth quarter of 2018 compared to a loss of $0.67 in 2017. Adjusted diluted earnings per share increased to $1.00 over the $0.84 in 2017.</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from net income and diluted earnings per share to adjusted net income and adjusted diluted earnings per share is provided below.</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11</w:t>
      </w:r>
    </w:p>
    <w:p>
      <w:pPr>
        <w:sectPr>
          <w:pgSz w:w="11900" w:h="16838" w:orient="portrait"/>
          <w:cols w:equalWidth="0" w:num="1">
            <w:col w:w="11420"/>
          </w:cols>
          <w:pgMar w:left="240" w:top="852" w:right="239" w:bottom="1440" w:gutter="0" w:footer="0" w:header="0"/>
        </w:sectPr>
      </w:pPr>
    </w:p>
    <w:bookmarkStart w:id="6" w:name="page7"/>
    <w:bookmarkEnd w:id="6"/>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Results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Net sales for the full year of 2018 increased to $11,151 million compared to $8,698 million in 2017 primarily due to the impact of the Signode acquisition, increased beverage can volumes, the pass through of higher material costs to customers and $134 million of favorable currency translation.</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from operations was $1,096 million in 2018 compared to $1,024 million in the prior year. Segment income increased to $1,328 million over the $1,117 million in 2017, reflecting the Signode acquisition.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$384 million in 2018 compared to $252 million in 2017 primarily due to higher outstanding debt from borrowings incurred to finance the Signode acquisition.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income attributable to Crown Holdings for 2018 was $439 million compared to $323 million in 2017. Reported diluted earnings per share were $3.28 compared to $2.38 in 2017. Adjusted diluted earnings per share increased to $5.20 over the $4.24 in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currently expects 2019 adjusted diluted earnings per share to be in the range of $5.20 to $5.40, which includes a non-cash headwind of approximately $53 million ($0.32 per share after tax) in pension expense primarily due to a decline in the market value of pension assets and an increase in discount rates in 2018, and an unfavorable currency translation impact of approximately $0.09 per share based on current exchange rate levels. Adjusted diluted earnings per share for the 2019 first quarter are expected to be in the range of $1.00 to $1.10.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adjusted effective income tax rate for 2019 is expected to be in the range of approximately 25%-26% compared to 24.7% in 2018.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free cash flow, as defined below, is currently expected to be approximately $775 million in 2019 compared to $636 million in 2018. A reconciliation from net cash provided by operating activities to adjusted free cash flow for 2018 is provided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Segment income, adjusted free cash flow, net leverage ratio, adjusted net income, the adjusted effective tax rate and adjusted diluted earnings per share are not defined terms under U.S. generally accepted accounting principles (non-GAAP measures). Non-GAAP measures should not be considered in isolation or as a substitute for income from operations, net income, diluted earnings per share, effective tax rates, cash flow or leverage ratio data prepared in accordance with U.S. GAAP and may not be comparable to calculations of similarly titled measures by other companies.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views segment income as the principal measure of the performance of its operations and adjusted free cash flow and net leverage ratio as the principal measure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The Company believes that adjusted net income, the adjusted effective tax rate and adjusted diluted earnings per share are useful in evaluating the Company’s operations as these measures are adjusted for items that affect comparability between periods. Reconciliations of estimated adjusted diluted earnings per share for the first quarter and full year of 2019 to estimated diluted earnings per share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costs, asset impairment charges, acquisition related costs including fair value adjustments to inventory, asbestos-related charges, losses from early extinguishment of debt, pension settlement and curtailment charges, the tax impact of the items above, and the impact of tax law changes or other tax matters. The Company believes that adjusted free cash flow and net leverage ratio provide meaningful measures of liquidity and a useful basis for assessing the Company’s ability to fund its activities, including the financing of acquisitions, debt repayments, share repurchases or possible future dividends. Segment income, adjusted free cash flow, net leverage ratio, the adjusted effective tax rate, adjusted net income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11</w:t>
      </w:r>
    </w:p>
    <w:p>
      <w:pPr>
        <w:sectPr>
          <w:pgSz w:w="11900" w:h="16838" w:orient="portrait"/>
          <w:cols w:equalWidth="0" w:num="1">
            <w:col w:w="11420"/>
          </w:cols>
          <w:pgMar w:left="240" w:top="852" w:right="239" w:bottom="1440" w:gutter="0" w:footer="0" w:header="0"/>
        </w:sectPr>
      </w:pPr>
    </w:p>
    <w:bookmarkStart w:id="7" w:name="page8"/>
    <w:bookmarkEnd w:id="7"/>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6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and adjusted diluted earnings per share are derived from the Company’s Consolidated Statements of Operations and Cash Flows and Consolidated Balance Sheets, as applicable, and reconciliations to segment income, adjusted free cash flow, net leverage ratio, the adjusted effective tax rate, adjusted net income and adjusted diluted earnings per share can be found within this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 will hold a conference call tomorrow, February 7, 2019 at 9:00 a.m. (EST) to discuss this news release. Forward-looking and other material information may be discussed on the conference call. The dial-in numbers for the conference call are (630) 395-0194 or toll-free (888) 324-8108 and the access password is “packaging.” A live webcast of the call will be made available to the public on the internet at the Company’s website, </w:t>
      </w:r>
      <w:r>
        <w:rPr>
          <w:rFonts w:ascii="Arial" w:cs="Arial" w:eastAsia="Arial" w:hAnsi="Arial"/>
          <w:sz w:val="18"/>
          <w:szCs w:val="18"/>
          <w:u w:val="single" w:color="auto"/>
          <w:color w:val="0000FF"/>
        </w:rPr>
        <w:t>www.crowncork.com</w:t>
      </w:r>
      <w:r>
        <w:rPr>
          <w:rFonts w:ascii="Arial" w:cs="Arial" w:eastAsia="Arial" w:hAnsi="Arial"/>
          <w:sz w:val="18"/>
          <w:szCs w:val="18"/>
          <w:color w:val="000000"/>
        </w:rPr>
        <w:t>. A replay of the conference call will be available for a one-week period ending at midnight on February 14. The telephone numbers for</w:t>
      </w:r>
      <w:r>
        <w:rPr>
          <w:rFonts w:ascii="Arial" w:cs="Arial" w:eastAsia="Arial" w:hAnsi="Arial"/>
          <w:sz w:val="18"/>
          <w:szCs w:val="18"/>
          <w:color w:val="0000FF"/>
        </w:rPr>
        <w:t xml:space="preserve"> </w:t>
      </w:r>
      <w:r>
        <w:rPr>
          <w:rFonts w:ascii="Arial" w:cs="Arial" w:eastAsia="Arial" w:hAnsi="Arial"/>
          <w:sz w:val="18"/>
          <w:szCs w:val="18"/>
          <w:color w:val="000000"/>
        </w:rPr>
        <w:t>the replay are (203) 369-1865 or toll free (866) 503-3216.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Except for historical information, all other information in this press release consists of forward-looking statements. These forward-looking statements involve a number of risks, uncertainties and other factors, including the continuation of performance and market trends in 2019, including customer and consumer preference for beverage cans and increasing global beverage can demand; the Company’s ability to successfully complete and manage capacity expansion and other projects, including in Myanmar, Spain, Italy, Cambodia and Brazil; and the Company’s ability to generate expected earnings and cash flow in 2019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2017 and in subsequent filings made prior to or after the date hereof. The Company does not intend to review or revise any particular forward-looking statement in light of future events.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spacing w:after="0" w:line="23" w:lineRule="exact"/>
        <w:rPr>
          <w:sz w:val="20"/>
          <w:szCs w:val="20"/>
          <w:color w:val="auto"/>
        </w:rPr>
      </w:pPr>
    </w:p>
    <w:p>
      <w:pPr>
        <w:ind w:right="4700"/>
        <w:spacing w:after="0" w:line="255" w:lineRule="auto"/>
        <w:rPr>
          <w:sz w:val="20"/>
          <w:szCs w:val="20"/>
          <w:color w:val="auto"/>
        </w:rPr>
      </w:pPr>
      <w:r>
        <w:rPr>
          <w:rFonts w:ascii="Arial" w:cs="Arial" w:eastAsia="Arial" w:hAnsi="Arial"/>
          <w:sz w:val="18"/>
          <w:szCs w:val="18"/>
          <w:color w:val="auto"/>
        </w:rPr>
        <w:t>Thomas A. Kelly, Senior Vice President and Chief Financial Officer, (215) 698-5341 Thomas T. Fischer, Vice President, Investor Relations and Corporate Affairs, (215) 552-3720 Edward Bisno, Bisno Communications, (212) 717-7578</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11</w:t>
      </w:r>
    </w:p>
    <w:p>
      <w:pPr>
        <w:sectPr>
          <w:pgSz w:w="11900" w:h="16838" w:orient="portrait"/>
          <w:cols w:equalWidth="0" w:num="1">
            <w:col w:w="11420"/>
          </w:cols>
          <w:pgMar w:left="240" w:top="852" w:right="239" w:bottom="1440" w:gutter="0" w:footer="0" w:header="0"/>
        </w:sectPr>
      </w:pPr>
    </w:p>
    <w:bookmarkStart w:id="8" w:name="page9"/>
    <w:bookmarkEnd w:id="8"/>
    <w:p>
      <w:pPr>
        <w:ind w:left="2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-162560</wp:posOffset>
            </wp:positionV>
            <wp:extent cx="1551940"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Yardley, PA 19067-4219</w:t>
      </w: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Consolidated Statements of Operations (Unaudited)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 except share and per share data)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4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78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December 31,</w:t>
            </w: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76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9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70"/>
              <w:spacing w:after="0" w:line="264" w:lineRule="exact"/>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25"/>
                <w:szCs w:val="25"/>
                <w:b w:val="1"/>
                <w:bCs w:val="1"/>
                <w:color w:val="auto"/>
                <w:vertAlign w:val="superscript"/>
              </w:rPr>
              <w:t>(1)</w:t>
            </w:r>
          </w:p>
        </w:tc>
        <w:tc>
          <w:tcPr>
            <w:tcW w:w="5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70"/>
              <w:spacing w:after="0" w:line="264" w:lineRule="exact"/>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25"/>
                <w:szCs w:val="25"/>
                <w:b w:val="1"/>
                <w:bCs w:val="1"/>
                <w:color w:val="auto"/>
                <w:vertAlign w:val="superscript"/>
              </w:rPr>
              <w:t>(1)</w:t>
            </w:r>
          </w:p>
        </w:tc>
      </w:tr>
      <w:tr>
        <w:trPr>
          <w:trHeight w:val="26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2,734</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2,168</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11,151</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8,698</w:t>
            </w:r>
          </w:p>
        </w:tc>
      </w:tr>
      <w:tr>
        <w:trPr>
          <w:trHeight w:val="318"/>
        </w:trPr>
        <w:tc>
          <w:tcPr>
            <w:tcW w:w="49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1,771</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9,028</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7,006</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247</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administrative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Provision for asbestos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5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r>
      <w:tr>
        <w:trPr>
          <w:trHeight w:val="264"/>
        </w:trPr>
        <w:tc>
          <w:tcPr>
            <w:tcW w:w="4900" w:type="dxa"/>
            <w:vAlign w:val="bottom"/>
          </w:tcPr>
          <w:p>
            <w:pPr>
              <w:ind w:left="20"/>
              <w:spacing w:after="0" w:line="264" w:lineRule="exact"/>
              <w:rPr>
                <w:sz w:val="20"/>
                <w:szCs w:val="20"/>
                <w:color w:val="auto"/>
              </w:rPr>
            </w:pPr>
            <w:r>
              <w:rPr>
                <w:rFonts w:ascii="Arial" w:cs="Arial" w:eastAsia="Arial" w:hAnsi="Arial"/>
                <w:sz w:val="18"/>
                <w:szCs w:val="18"/>
                <w:b w:val="1"/>
                <w:bCs w:val="1"/>
                <w:color w:val="auto"/>
              </w:rPr>
              <w:t xml:space="preserve">Income from operations </w:t>
            </w:r>
            <w:r>
              <w:rPr>
                <w:rFonts w:ascii="Arial" w:cs="Arial" w:eastAsia="Arial" w:hAnsi="Arial"/>
                <w:sz w:val="25"/>
                <w:szCs w:val="25"/>
                <w:b w:val="1"/>
                <w:bCs w:val="1"/>
                <w:color w:val="auto"/>
                <w:vertAlign w:val="superscript"/>
              </w:rPr>
              <w:t>(2)</w:t>
            </w: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218</w:t>
            </w:r>
          </w:p>
        </w:tc>
        <w:tc>
          <w:tcPr>
            <w:tcW w:w="4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212</w:t>
            </w:r>
          </w:p>
        </w:tc>
        <w:tc>
          <w:tcPr>
            <w:tcW w:w="5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1,096</w:t>
            </w:r>
          </w:p>
        </w:tc>
        <w:tc>
          <w:tcPr>
            <w:tcW w:w="4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1,024</w:t>
            </w:r>
          </w:p>
        </w:tc>
      </w:tr>
      <w:tr>
        <w:trPr>
          <w:trHeight w:val="230"/>
        </w:trPr>
        <w:tc>
          <w:tcPr>
            <w:tcW w:w="4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Earnings before interest and taxes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192</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222</w:t>
            </w:r>
          </w:p>
        </w:tc>
        <w:tc>
          <w:tcPr>
            <w:tcW w:w="5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1,103</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1,073</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early extinguishment of debt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94</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162</w:t>
            </w:r>
          </w:p>
        </w:tc>
        <w:tc>
          <w:tcPr>
            <w:tcW w:w="5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740</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829</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Equity earnings</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528</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428</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 attributable to Crown Holdings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323</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 attributable to Crown</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1"/>
        </w:trPr>
        <w:tc>
          <w:tcPr>
            <w:tcW w:w="4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Holdings common shareholders: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304"/>
        </w:trPr>
        <w:tc>
          <w:tcPr>
            <w:tcW w:w="49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0.40</w:t>
            </w:r>
          </w:p>
        </w:tc>
        <w:tc>
          <w:tcPr>
            <w:tcW w:w="4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5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w:t>
            </w:r>
          </w:p>
        </w:tc>
        <w:tc>
          <w:tcPr>
            <w:tcW w:w="4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w:t>
            </w:r>
          </w:p>
        </w:tc>
      </w:tr>
      <w:tr>
        <w:trPr>
          <w:trHeight w:val="251"/>
        </w:trPr>
        <w:tc>
          <w:tcPr>
            <w:tcW w:w="4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9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133,738,344</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133,445,697</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w w:val="93"/>
              </w:rPr>
              <w:t>133,640,902</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135,286,296</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134,095,905</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133,804,236</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133,878,064</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135,608,800</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Actual common shares outstanding</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135,173,948</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134,275,609</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w w:val="93"/>
              </w:rPr>
              <w:t>135,173,948</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134,275,609</w:t>
            </w:r>
          </w:p>
        </w:tc>
      </w:tr>
      <w:tr>
        <w:trPr>
          <w:trHeight w:val="27"/>
        </w:trPr>
        <w:tc>
          <w:tcPr>
            <w:tcW w:w="4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0" w:right="200" w:hanging="330"/>
        <w:spacing w:after="0" w:line="277" w:lineRule="auto"/>
        <w:tabs>
          <w:tab w:leader="none" w:pos="391"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Prior year results have been restated to reflect new accounting guidance on the presentation of pension and postretirement expense in the statement of operations.</w:t>
      </w:r>
    </w:p>
    <w:p>
      <w:pPr>
        <w:spacing w:after="0" w:line="170" w:lineRule="exact"/>
        <w:rPr>
          <w:rFonts w:ascii="Arial" w:cs="Arial" w:eastAsia="Arial" w:hAnsi="Arial"/>
          <w:sz w:val="18"/>
          <w:szCs w:val="18"/>
          <w:color w:val="auto"/>
        </w:rPr>
      </w:pPr>
    </w:p>
    <w:p>
      <w:pPr>
        <w:ind w:left="380" w:hanging="250"/>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reconciliation from income from operations to segment income follows.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4 of 11</w:t>
      </w:r>
    </w:p>
    <w:p>
      <w:pPr>
        <w:sectPr>
          <w:pgSz w:w="11900" w:h="16838" w:orient="portrait"/>
          <w:cols w:equalWidth="0" w:num="1">
            <w:col w:w="11360"/>
          </w:cols>
          <w:pgMar w:left="280" w:top="852" w:right="259" w:bottom="1440" w:gutter="0" w:footer="0" w:header="0"/>
        </w:sectPr>
      </w:pPr>
    </w:p>
    <w:bookmarkStart w:id="9" w:name="page10"/>
    <w:bookmarkEnd w:id="9"/>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Supplemental Financial Data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Income from Operations to Segment Income</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provisions for asbestos and restructuring and other, the impact of fair value adjustments to inventory acquired in an acquisition, and the timing impact of hedge ineffectiveness.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10"/>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5"/>
          </w:tcPr>
          <w:p>
            <w:pPr>
              <w:jc w:val="center"/>
              <w:ind w:left="390"/>
              <w:spacing w:after="0"/>
              <w:rPr>
                <w:sz w:val="20"/>
                <w:szCs w:val="20"/>
                <w:color w:val="auto"/>
              </w:rPr>
            </w:pPr>
            <w:r>
              <w:rPr>
                <w:rFonts w:ascii="Arial" w:cs="Arial" w:eastAsia="Arial" w:hAnsi="Arial"/>
                <w:sz w:val="18"/>
                <w:szCs w:val="18"/>
                <w:b w:val="1"/>
                <w:bCs w:val="1"/>
                <w:color w:val="auto"/>
                <w:w w:val="92"/>
              </w:rPr>
              <w:t>Year Ended</w:t>
            </w:r>
          </w:p>
        </w:tc>
        <w:tc>
          <w:tcPr>
            <w:tcW w:w="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gridSpan w:val="7"/>
          </w:tcPr>
          <w:p>
            <w:pPr>
              <w:jc w:val="center"/>
              <w:ind w:left="230"/>
              <w:spacing w:after="0"/>
              <w:rPr>
                <w:sz w:val="20"/>
                <w:szCs w:val="20"/>
                <w:color w:val="auto"/>
              </w:rPr>
            </w:pPr>
            <w:r>
              <w:rPr>
                <w:rFonts w:ascii="Arial" w:cs="Arial" w:eastAsia="Arial" w:hAnsi="Arial"/>
                <w:sz w:val="18"/>
                <w:szCs w:val="18"/>
                <w:b w:val="1"/>
                <w:bCs w:val="1"/>
                <w:color w:val="auto"/>
                <w:w w:val="90"/>
              </w:rPr>
              <w:t>December 31,</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gridSpan w:val="5"/>
          </w:tcPr>
          <w:p>
            <w:pPr>
              <w:jc w:val="center"/>
              <w:ind w:left="390"/>
              <w:spacing w:after="0"/>
              <w:rPr>
                <w:sz w:val="20"/>
                <w:szCs w:val="20"/>
                <w:color w:val="auto"/>
              </w:rPr>
            </w:pPr>
            <w:r>
              <w:rPr>
                <w:rFonts w:ascii="Arial" w:cs="Arial" w:eastAsia="Arial" w:hAnsi="Arial"/>
                <w:sz w:val="18"/>
                <w:szCs w:val="18"/>
                <w:b w:val="1"/>
                <w:bCs w:val="1"/>
                <w:color w:val="auto"/>
                <w:w w:val="88"/>
              </w:rPr>
              <w:t>December 31,</w:t>
            </w:r>
          </w:p>
        </w:tc>
        <w:tc>
          <w:tcPr>
            <w:tcW w:w="6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b w:val="1"/>
                <w:bCs w:val="1"/>
                <w:color w:val="auto"/>
                <w:w w:val="84"/>
              </w:rPr>
              <w:t>2017</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1000" w:type="dxa"/>
            <w:vAlign w:val="bottom"/>
            <w:tcBorders>
              <w:right w:val="single" w:sz="8" w:color="CCEEFF"/>
            </w:tcBorders>
          </w:tcPr>
          <w:p>
            <w:pPr>
              <w:spacing w:after="0"/>
              <w:rPr>
                <w:sz w:val="21"/>
                <w:szCs w:val="21"/>
                <w:color w:val="auto"/>
              </w:rPr>
            </w:pPr>
          </w:p>
        </w:tc>
        <w:tc>
          <w:tcPr>
            <w:tcW w:w="3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Intangibles amortization</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1000" w:type="dxa"/>
            <w:vAlign w:val="bottom"/>
            <w:tcBorders>
              <w:right w:val="single" w:sz="8" w:color="CCEEFF"/>
            </w:tcBorders>
          </w:tcPr>
          <w:p>
            <w:pPr>
              <w:spacing w:after="0"/>
              <w:rPr>
                <w:sz w:val="23"/>
                <w:szCs w:val="23"/>
                <w:color w:val="auto"/>
              </w:rPr>
            </w:pPr>
          </w:p>
        </w:tc>
        <w:tc>
          <w:tcPr>
            <w:tcW w:w="310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Fair value adjustment to inventory </w:t>
            </w:r>
            <w:r>
              <w:rPr>
                <w:rFonts w:ascii="Arial" w:cs="Arial" w:eastAsia="Arial" w:hAnsi="Arial"/>
                <w:sz w:val="25"/>
                <w:szCs w:val="25"/>
                <w:color w:val="auto"/>
                <w:vertAlign w:val="superscript"/>
              </w:rPr>
              <w:t>(1)</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Provision for asbestos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00" w:type="dxa"/>
            <w:vAlign w:val="bottom"/>
            <w:tcBorders>
              <w:right w:val="single" w:sz="8" w:color="CCEEFF"/>
            </w:tcBorders>
          </w:tcPr>
          <w:p>
            <w:pPr>
              <w:spacing w:after="0"/>
              <w:rPr>
                <w:sz w:val="21"/>
                <w:szCs w:val="21"/>
                <w:color w:val="auto"/>
              </w:rPr>
            </w:pPr>
          </w:p>
        </w:tc>
        <w:tc>
          <w:tcPr>
            <w:tcW w:w="3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Provision for restructuring and other</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100" w:type="dxa"/>
            <w:vAlign w:val="bottom"/>
            <w:tcBorders>
              <w:bottom w:val="single" w:sz="8" w:color="CCEEFF"/>
            </w:tcBorders>
            <w:gridSpan w:val="3"/>
          </w:tcPr>
          <w:p>
            <w:pPr>
              <w:spacing w:after="0" w:line="270" w:lineRule="exact"/>
              <w:rPr>
                <w:sz w:val="20"/>
                <w:szCs w:val="20"/>
                <w:color w:val="auto"/>
              </w:rPr>
            </w:pPr>
            <w:r>
              <w:rPr>
                <w:rFonts w:ascii="Arial" w:cs="Arial" w:eastAsia="Arial" w:hAnsi="Arial"/>
                <w:sz w:val="18"/>
                <w:szCs w:val="18"/>
                <w:color w:val="auto"/>
              </w:rPr>
              <w:t xml:space="preserve">Impact of hedge ineffectiveness </w:t>
            </w:r>
            <w:r>
              <w:rPr>
                <w:rFonts w:ascii="Arial" w:cs="Arial" w:eastAsia="Arial" w:hAnsi="Arial"/>
                <w:sz w:val="25"/>
                <w:szCs w:val="25"/>
                <w:color w:val="auto"/>
                <w:vertAlign w:val="superscript"/>
              </w:rPr>
              <w:t>(1)</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38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w:t>
            </w:r>
          </w:p>
        </w:tc>
        <w:tc>
          <w:tcPr>
            <w:tcW w:w="6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1000" w:type="dxa"/>
            <w:vAlign w:val="bottom"/>
            <w:tcBorders>
              <w:right w:val="single" w:sz="8" w:color="CCEEFF"/>
            </w:tcBorders>
          </w:tcPr>
          <w:p>
            <w:pPr>
              <w:spacing w:after="0"/>
              <w:rPr>
                <w:sz w:val="22"/>
                <w:szCs w:val="22"/>
                <w:color w:val="auto"/>
              </w:rPr>
            </w:pPr>
          </w:p>
        </w:tc>
        <w:tc>
          <w:tcPr>
            <w:tcW w:w="3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Segment income</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4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CCEEFF"/>
            </w:tcBorders>
            <w:gridSpan w:val="3"/>
            <w:shd w:val="clear" w:color="auto" w:fill="CCEEFF"/>
          </w:tcPr>
          <w:p>
            <w:pPr>
              <w:spacing w:after="0"/>
              <w:rPr>
                <w:sz w:val="22"/>
                <w:szCs w:val="22"/>
                <w:color w:val="auto"/>
              </w:rPr>
            </w:pP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244</w:t>
            </w:r>
          </w:p>
        </w:tc>
        <w:tc>
          <w:tcPr>
            <w:tcW w:w="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1,328</w:t>
            </w:r>
          </w:p>
        </w:tc>
        <w:tc>
          <w:tcPr>
            <w:tcW w:w="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1,117</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40" w:type="dxa"/>
            <w:vAlign w:val="bottom"/>
            <w:gridSpan w:val="5"/>
            <w:vMerge w:val="restart"/>
          </w:tcPr>
          <w:p>
            <w:pPr>
              <w:spacing w:after="0"/>
              <w:rPr>
                <w:sz w:val="20"/>
                <w:szCs w:val="20"/>
                <w:color w:val="auto"/>
              </w:rPr>
            </w:pPr>
            <w:r>
              <w:rPr>
                <w:rFonts w:ascii="Arial" w:cs="Arial" w:eastAsia="Arial" w:hAnsi="Arial"/>
                <w:sz w:val="14"/>
                <w:szCs w:val="14"/>
                <w:color w:val="auto"/>
              </w:rPr>
              <w:t>(1) Included in cost of products sold</w:t>
            </w: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440" w:type="dxa"/>
            <w:vAlign w:val="bottom"/>
            <w:gridSpan w:val="5"/>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40" w:type="dxa"/>
            <w:vAlign w:val="bottom"/>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gridSpan w:val="2"/>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gridSpan w:val="2"/>
          </w:tcPr>
          <w:p>
            <w:pPr>
              <w:spacing w:after="0"/>
              <w:rPr>
                <w:sz w:val="8"/>
                <w:szCs w:val="8"/>
                <w:color w:val="auto"/>
              </w:rPr>
            </w:pPr>
          </w:p>
        </w:tc>
        <w:tc>
          <w:tcPr>
            <w:tcW w:w="540" w:type="dxa"/>
            <w:vAlign w:val="bottom"/>
            <w:tcBorders>
              <w:bottom w:val="single" w:sz="8" w:color="9A9A9A"/>
            </w:tcBorders>
            <w:gridSpan w:val="2"/>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11"/>
          </w:tcPr>
          <w:p>
            <w:pPr>
              <w:jc w:val="right"/>
              <w:ind w:right="440"/>
              <w:spacing w:after="0"/>
              <w:rPr>
                <w:sz w:val="20"/>
                <w:szCs w:val="20"/>
                <w:color w:val="auto"/>
              </w:rPr>
            </w:pPr>
            <w:r>
              <w:rPr>
                <w:rFonts w:ascii="Arial" w:cs="Arial" w:eastAsia="Arial" w:hAnsi="Arial"/>
                <w:sz w:val="18"/>
                <w:szCs w:val="18"/>
                <w:b w:val="1"/>
                <w:bCs w:val="1"/>
                <w:color w:val="auto"/>
                <w:w w:val="98"/>
              </w:rPr>
              <w:t>Segment Information</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8"/>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10"/>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5"/>
          </w:tcPr>
          <w:p>
            <w:pPr>
              <w:jc w:val="center"/>
              <w:ind w:left="390"/>
              <w:spacing w:after="0"/>
              <w:rPr>
                <w:sz w:val="20"/>
                <w:szCs w:val="20"/>
                <w:color w:val="auto"/>
              </w:rPr>
            </w:pPr>
            <w:r>
              <w:rPr>
                <w:rFonts w:ascii="Arial" w:cs="Arial" w:eastAsia="Arial" w:hAnsi="Arial"/>
                <w:sz w:val="18"/>
                <w:szCs w:val="18"/>
                <w:b w:val="1"/>
                <w:bCs w:val="1"/>
                <w:color w:val="auto"/>
                <w:w w:val="92"/>
              </w:rPr>
              <w:t>Year Ended</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10"/>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5"/>
          </w:tcPr>
          <w:p>
            <w:pPr>
              <w:jc w:val="center"/>
              <w:ind w:left="390"/>
              <w:spacing w:after="0"/>
              <w:rPr>
                <w:sz w:val="20"/>
                <w:szCs w:val="20"/>
                <w:color w:val="auto"/>
              </w:rPr>
            </w:pPr>
            <w:r>
              <w:rPr>
                <w:rFonts w:ascii="Arial" w:cs="Arial" w:eastAsia="Arial" w:hAnsi="Arial"/>
                <w:sz w:val="18"/>
                <w:szCs w:val="18"/>
                <w:b w:val="1"/>
                <w:bCs w:val="1"/>
                <w:color w:val="auto"/>
                <w:w w:val="88"/>
              </w:rPr>
              <w:t>December 31,</w:t>
            </w:r>
          </w:p>
        </w:tc>
        <w:tc>
          <w:tcPr>
            <w:tcW w:w="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2017</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b w:val="1"/>
                <w:bCs w:val="1"/>
                <w:color w:val="auto"/>
                <w:w w:val="84"/>
              </w:rPr>
              <w:t>2017</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1000" w:type="dxa"/>
            <w:vAlign w:val="bottom"/>
            <w:tcBorders>
              <w:right w:val="single" w:sz="8" w:color="CCEEFF"/>
            </w:tcBorders>
          </w:tcPr>
          <w:p>
            <w:pPr>
              <w:spacing w:after="0"/>
              <w:rPr>
                <w:sz w:val="21"/>
                <w:szCs w:val="21"/>
                <w:color w:val="auto"/>
              </w:rPr>
            </w:pPr>
          </w:p>
        </w:tc>
        <w:tc>
          <w:tcPr>
            <w:tcW w:w="3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Americas Beverage</w:t>
            </w: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804</w:t>
            </w:r>
          </w:p>
        </w:tc>
        <w:tc>
          <w:tcPr>
            <w:tcW w:w="80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762</w:t>
            </w: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European Beverage</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295</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324</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1,489</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1,457</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00" w:type="dxa"/>
            <w:vAlign w:val="bottom"/>
            <w:tcBorders>
              <w:right w:val="single" w:sz="8" w:color="CCEEFF"/>
            </w:tcBorders>
          </w:tcPr>
          <w:p>
            <w:pPr>
              <w:spacing w:after="0"/>
              <w:rPr>
                <w:sz w:val="21"/>
                <w:szCs w:val="21"/>
                <w:color w:val="auto"/>
              </w:rPr>
            </w:pPr>
          </w:p>
        </w:tc>
        <w:tc>
          <w:tcPr>
            <w:tcW w:w="3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European Food</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417</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458</w:t>
            </w: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Asia Pacific</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326</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1,316</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1,177</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1000" w:type="dxa"/>
            <w:vAlign w:val="bottom"/>
            <w:tcBorders>
              <w:right w:val="single" w:sz="8" w:color="CCEEFF"/>
            </w:tcBorders>
          </w:tcPr>
          <w:p>
            <w:pPr>
              <w:spacing w:after="0"/>
              <w:rPr>
                <w:sz w:val="23"/>
                <w:szCs w:val="23"/>
                <w:color w:val="auto"/>
              </w:rPr>
            </w:pPr>
          </w:p>
        </w:tc>
        <w:tc>
          <w:tcPr>
            <w:tcW w:w="3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Transit Packaging</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595</w:t>
            </w: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100" w:type="dxa"/>
            <w:vAlign w:val="bottom"/>
            <w:gridSpan w:val="3"/>
          </w:tcPr>
          <w:p>
            <w:pPr>
              <w:ind w:left="220"/>
              <w:spacing w:after="0"/>
              <w:rPr>
                <w:sz w:val="20"/>
                <w:szCs w:val="20"/>
                <w:color w:val="auto"/>
              </w:rPr>
            </w:pPr>
            <w:r>
              <w:rPr>
                <w:rFonts w:ascii="Arial" w:cs="Arial" w:eastAsia="Arial" w:hAnsi="Arial"/>
                <w:sz w:val="18"/>
                <w:szCs w:val="18"/>
                <w:color w:val="auto"/>
              </w:rPr>
              <w:t>Total reportable segments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2,437</w:t>
            </w:r>
          </w:p>
        </w:tc>
        <w:tc>
          <w:tcPr>
            <w:tcW w:w="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1,856</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9,869</w:t>
            </w:r>
          </w:p>
        </w:tc>
        <w:tc>
          <w:tcPr>
            <w:tcW w:w="4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7,497</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1000" w:type="dxa"/>
            <w:vAlign w:val="bottom"/>
            <w:tcBorders>
              <w:right w:val="single" w:sz="8" w:color="CCEEFF"/>
            </w:tcBorders>
          </w:tcPr>
          <w:p>
            <w:pPr>
              <w:spacing w:after="0"/>
              <w:rPr>
                <w:sz w:val="23"/>
                <w:szCs w:val="23"/>
                <w:color w:val="auto"/>
              </w:rPr>
            </w:pPr>
          </w:p>
        </w:tc>
        <w:tc>
          <w:tcPr>
            <w:tcW w:w="310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Non-reportable segments </w:t>
            </w:r>
            <w:r>
              <w:rPr>
                <w:rFonts w:ascii="Arial" w:cs="Arial" w:eastAsia="Arial" w:hAnsi="Arial"/>
                <w:sz w:val="25"/>
                <w:szCs w:val="25"/>
                <w:color w:val="auto"/>
                <w:vertAlign w:val="superscript"/>
              </w:rPr>
              <w:t>(2)</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297</w:t>
            </w:r>
          </w:p>
        </w:tc>
        <w:tc>
          <w:tcPr>
            <w:tcW w:w="40" w:type="dxa"/>
            <w:vAlign w:val="bottom"/>
            <w:tcBorders>
              <w:bottom w:val="single" w:sz="8" w:color="auto"/>
            </w:tcBorders>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40" w:type="dxa"/>
            <w:vAlign w:val="bottom"/>
            <w:tcBorders>
              <w:bottom w:val="single" w:sz="8" w:color="auto"/>
            </w:tcBorders>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10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 net sales</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2,734</w:t>
            </w:r>
          </w:p>
        </w:tc>
        <w:tc>
          <w:tcPr>
            <w:tcW w:w="80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2,168</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11,151</w:t>
            </w:r>
          </w:p>
        </w:tc>
        <w:tc>
          <w:tcPr>
            <w:tcW w:w="40" w:type="dxa"/>
            <w:vAlign w:val="bottom"/>
          </w:tcPr>
          <w:p>
            <w:pPr>
              <w:spacing w:after="0"/>
              <w:rPr>
                <w:sz w:val="22"/>
                <w:szCs w:val="22"/>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8,698</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Segment Income </w:t>
            </w:r>
            <w:r>
              <w:rPr>
                <w:rFonts w:ascii="Arial" w:cs="Arial" w:eastAsia="Arial" w:hAnsi="Arial"/>
                <w:sz w:val="25"/>
                <w:szCs w:val="25"/>
                <w:b w:val="1"/>
                <w:bCs w:val="1"/>
                <w:color w:val="auto"/>
                <w:vertAlign w:val="superscript"/>
              </w:rPr>
              <w:t>(3)</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0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000" w:type="dxa"/>
            <w:vAlign w:val="bottom"/>
            <w:tcBorders>
              <w:right w:val="single" w:sz="8" w:color="CCEEFF"/>
            </w:tcBorders>
          </w:tcPr>
          <w:p>
            <w:pPr>
              <w:spacing w:after="0"/>
              <w:rPr>
                <w:sz w:val="21"/>
                <w:szCs w:val="21"/>
                <w:color w:val="auto"/>
              </w:rPr>
            </w:pPr>
          </w:p>
        </w:tc>
        <w:tc>
          <w:tcPr>
            <w:tcW w:w="3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Americas Beverage</w:t>
            </w:r>
          </w:p>
        </w:tc>
        <w:tc>
          <w:tcPr>
            <w:tcW w:w="3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European Beverage</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00" w:type="dxa"/>
            <w:vAlign w:val="bottom"/>
            <w:tcBorders>
              <w:right w:val="single" w:sz="8" w:color="CCEEFF"/>
            </w:tcBorders>
          </w:tcPr>
          <w:p>
            <w:pPr>
              <w:spacing w:after="0"/>
              <w:rPr>
                <w:sz w:val="21"/>
                <w:szCs w:val="21"/>
                <w:color w:val="auto"/>
              </w:rPr>
            </w:pPr>
          </w:p>
        </w:tc>
        <w:tc>
          <w:tcPr>
            <w:tcW w:w="3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European Food</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Asia Pacific</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1000" w:type="dxa"/>
            <w:vAlign w:val="bottom"/>
            <w:tcBorders>
              <w:right w:val="single" w:sz="8" w:color="CCEEFF"/>
            </w:tcBorders>
          </w:tcPr>
          <w:p>
            <w:pPr>
              <w:spacing w:after="0"/>
              <w:rPr>
                <w:sz w:val="23"/>
                <w:szCs w:val="23"/>
                <w:color w:val="auto"/>
              </w:rPr>
            </w:pPr>
          </w:p>
        </w:tc>
        <w:tc>
          <w:tcPr>
            <w:tcW w:w="3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Transit Packaging</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100" w:type="dxa"/>
            <w:vAlign w:val="bottom"/>
            <w:gridSpan w:val="3"/>
          </w:tcPr>
          <w:p>
            <w:pPr>
              <w:ind w:left="220"/>
              <w:spacing w:after="0"/>
              <w:rPr>
                <w:sz w:val="20"/>
                <w:szCs w:val="20"/>
                <w:color w:val="auto"/>
              </w:rPr>
            </w:pPr>
            <w:r>
              <w:rPr>
                <w:rFonts w:ascii="Arial" w:cs="Arial" w:eastAsia="Arial" w:hAnsi="Arial"/>
                <w:sz w:val="18"/>
                <w:szCs w:val="18"/>
                <w:color w:val="auto"/>
              </w:rPr>
              <w:t>Total reportable segments</w:t>
            </w: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286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1,137</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1000" w:type="dxa"/>
            <w:vAlign w:val="bottom"/>
            <w:tcBorders>
              <w:right w:val="single" w:sz="8" w:color="CCEEFF"/>
            </w:tcBorders>
          </w:tcPr>
          <w:p>
            <w:pPr>
              <w:spacing w:after="0"/>
              <w:rPr>
                <w:sz w:val="23"/>
                <w:szCs w:val="23"/>
                <w:color w:val="auto"/>
              </w:rPr>
            </w:pPr>
          </w:p>
        </w:tc>
        <w:tc>
          <w:tcPr>
            <w:tcW w:w="310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Non-reportable segments </w:t>
            </w:r>
            <w:r>
              <w:rPr>
                <w:rFonts w:ascii="Arial" w:cs="Arial" w:eastAsia="Arial" w:hAnsi="Arial"/>
                <w:sz w:val="25"/>
                <w:szCs w:val="25"/>
                <w:color w:val="auto"/>
                <w:vertAlign w:val="superscript"/>
              </w:rPr>
              <w:t>(2)</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Corporate and other unallocated items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1000" w:type="dxa"/>
            <w:vAlign w:val="bottom"/>
            <w:tcBorders>
              <w:right w:val="single" w:sz="8" w:color="CCEEFF"/>
            </w:tcBorders>
          </w:tcPr>
          <w:p>
            <w:pPr>
              <w:spacing w:after="0"/>
              <w:rPr>
                <w:sz w:val="22"/>
                <w:szCs w:val="22"/>
                <w:color w:val="auto"/>
              </w:rPr>
            </w:pPr>
          </w:p>
        </w:tc>
        <w:tc>
          <w:tcPr>
            <w:tcW w:w="310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Total segment income</w:t>
            </w:r>
          </w:p>
        </w:tc>
        <w:tc>
          <w:tcPr>
            <w:tcW w:w="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279</w:t>
            </w:r>
          </w:p>
        </w:tc>
        <w:tc>
          <w:tcPr>
            <w:tcW w:w="40" w:type="dxa"/>
            <w:vAlign w:val="bottom"/>
            <w:shd w:val="clear" w:color="auto" w:fill="CCEEFF"/>
          </w:tcPr>
          <w:p>
            <w:pPr>
              <w:spacing w:after="0"/>
              <w:rPr>
                <w:sz w:val="22"/>
                <w:szCs w:val="22"/>
                <w:color w:val="auto"/>
              </w:rPr>
            </w:pPr>
          </w:p>
        </w:tc>
        <w:tc>
          <w:tcPr>
            <w:tcW w:w="80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244</w:t>
            </w:r>
          </w:p>
        </w:tc>
        <w:tc>
          <w:tcPr>
            <w:tcW w:w="8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1,328</w:t>
            </w:r>
          </w:p>
        </w:tc>
        <w:tc>
          <w:tcPr>
            <w:tcW w:w="4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1,117</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-4110990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-4110990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59" w:lineRule="exact"/>
        <w:rPr>
          <w:sz w:val="20"/>
          <w:szCs w:val="20"/>
          <w:color w:val="auto"/>
        </w:rPr>
      </w:pPr>
    </w:p>
    <w:p>
      <w:pPr>
        <w:ind w:left="260" w:hanging="252"/>
        <w:spacing w:after="0" w:line="275" w:lineRule="auto"/>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the Company's food can and closures businesses in North America, aerosol can businesses in North America and Europe, promotional packaging business in Europe, and tooling and equipment operations in the U.S. and United Kingdom.</w:t>
      </w:r>
    </w:p>
    <w:p>
      <w:pPr>
        <w:spacing w:after="0" w:line="145" w:lineRule="exact"/>
        <w:rPr>
          <w:rFonts w:ascii="Arial" w:cs="Arial" w:eastAsia="Arial" w:hAnsi="Arial"/>
          <w:sz w:val="16"/>
          <w:szCs w:val="16"/>
          <w:color w:val="auto"/>
        </w:rPr>
      </w:pPr>
    </w:p>
    <w:p>
      <w:pPr>
        <w:ind w:left="260" w:right="20" w:hanging="252"/>
        <w:spacing w:after="0" w:line="349"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Prior year segment income has been restated to reflect new accounting guidance on the presentation of pension and postretirement expense and the Company’s revised policy to exclude intangibles amortization charges from segment income. A reconciliation from 2017 segment income to amounts previously reported is provided below.</w:t>
      </w:r>
    </w:p>
    <w:p>
      <w:pPr>
        <w:sectPr>
          <w:pgSz w:w="11900" w:h="16838" w:orient="portrait"/>
          <w:cols w:equalWidth="0" w:num="1">
            <w:col w:w="11420"/>
          </w:cols>
          <w:pgMar w:left="240" w:top="852" w:right="239" w:bottom="1052"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 of 11</w:t>
      </w:r>
    </w:p>
    <w:p>
      <w:pPr>
        <w:sectPr>
          <w:pgSz w:w="11900" w:h="16838" w:orient="portrait"/>
          <w:cols w:equalWidth="0" w:num="1">
            <w:col w:w="11420"/>
          </w:cols>
          <w:pgMar w:left="240" w:top="852" w:right="239" w:bottom="1052"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Supplemental Data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from Net Income and Diluted Earnings Per Share to Adjusted Net Income and Adjusted Diluted Earnings Per Share</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following table reconciles reported net income and diluted earnings per share attributable to the Company to adjusted net income and adjusted diluted earnings per share, as used elsewhere in this release.</w:t>
      </w:r>
    </w:p>
    <w:p>
      <w:pPr>
        <w:spacing w:after="0" w:line="128" w:lineRule="exact"/>
        <w:rPr>
          <w:sz w:val="20"/>
          <w:szCs w:val="20"/>
          <w:color w:val="auto"/>
        </w:rPr>
      </w:pPr>
    </w:p>
    <w:tbl>
      <w:tblPr>
        <w:tblLayout w:type="fixed"/>
        <w:tblInd w:w="940" w:type="dxa"/>
        <w:tblCellMar>
          <w:top w:w="0" w:type="dxa"/>
          <w:left w:w="0" w:type="dxa"/>
          <w:bottom w:w="0" w:type="dxa"/>
          <w:right w:w="0" w:type="dxa"/>
        </w:tblCellMar>
      </w:tblPr>
      <w:tr>
        <w:trPr>
          <w:trHeight w:val="222"/>
        </w:trPr>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gridSpan w:val="6"/>
          </w:tcPr>
          <w:p>
            <w:pPr>
              <w:jc w:val="center"/>
              <w:spacing w:after="0"/>
              <w:rPr>
                <w:sz w:val="20"/>
                <w:szCs w:val="20"/>
                <w:color w:val="auto"/>
              </w:rPr>
            </w:pPr>
            <w:r>
              <w:rPr>
                <w:rFonts w:ascii="Arial" w:cs="Arial" w:eastAsia="Arial" w:hAnsi="Arial"/>
                <w:sz w:val="17"/>
                <w:szCs w:val="17"/>
                <w:b w:val="1"/>
                <w:bCs w:val="1"/>
                <w:color w:val="auto"/>
                <w:w w:val="92"/>
              </w:rPr>
              <w:t>Three Months Ended</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5"/>
          </w:tcPr>
          <w:p>
            <w:pPr>
              <w:jc w:val="center"/>
              <w:ind w:right="280"/>
              <w:spacing w:after="0"/>
              <w:rPr>
                <w:sz w:val="20"/>
                <w:szCs w:val="20"/>
                <w:color w:val="auto"/>
              </w:rPr>
            </w:pPr>
            <w:r>
              <w:rPr>
                <w:rFonts w:ascii="Arial" w:cs="Arial" w:eastAsia="Arial" w:hAnsi="Arial"/>
                <w:sz w:val="17"/>
                <w:szCs w:val="17"/>
                <w:b w:val="1"/>
                <w:bCs w:val="1"/>
                <w:color w:val="auto"/>
                <w:w w:val="91"/>
              </w:rPr>
              <w:t>Year Ended</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3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5"/>
          </w:tcPr>
          <w:p>
            <w:pPr>
              <w:jc w:val="center"/>
              <w:ind w:right="140"/>
              <w:spacing w:after="0"/>
              <w:rPr>
                <w:sz w:val="20"/>
                <w:szCs w:val="20"/>
                <w:color w:val="auto"/>
              </w:rPr>
            </w:pPr>
            <w:r>
              <w:rPr>
                <w:rFonts w:ascii="Arial" w:cs="Arial" w:eastAsia="Arial" w:hAnsi="Arial"/>
                <w:sz w:val="17"/>
                <w:szCs w:val="17"/>
                <w:b w:val="1"/>
                <w:bCs w:val="1"/>
                <w:color w:val="auto"/>
                <w:w w:val="90"/>
              </w:rPr>
              <w:t>December 31,</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w w:val="90"/>
              </w:rPr>
              <w:t>December 31,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3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415"/>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2017</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2018</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2017</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34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income/diluted earnings per share</w:t>
            </w: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480" w:type="dxa"/>
            <w:vAlign w:val="bottom"/>
          </w:tcPr>
          <w:p>
            <w:pPr>
              <w:ind w:left="140"/>
              <w:spacing w:after="0"/>
              <w:rPr>
                <w:sz w:val="20"/>
                <w:szCs w:val="20"/>
                <w:color w:val="auto"/>
              </w:rPr>
            </w:pPr>
            <w:r>
              <w:rPr>
                <w:rFonts w:ascii="Arial" w:cs="Arial" w:eastAsia="Arial" w:hAnsi="Arial"/>
                <w:sz w:val="17"/>
                <w:szCs w:val="17"/>
                <w:b w:val="1"/>
                <w:bCs w:val="1"/>
                <w:color w:val="auto"/>
                <w:w w:val="94"/>
              </w:rPr>
              <w:t>attributable to Crown Holdings, as reported</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500" w:type="dxa"/>
            <w:vAlign w:val="bottom"/>
          </w:tcPr>
          <w:p>
            <w:pPr>
              <w:jc w:val="right"/>
              <w:ind w:right="94"/>
              <w:spacing w:after="0"/>
              <w:rPr>
                <w:sz w:val="20"/>
                <w:szCs w:val="20"/>
                <w:color w:val="auto"/>
              </w:rPr>
            </w:pPr>
            <w:r>
              <w:rPr>
                <w:rFonts w:ascii="Arial" w:cs="Arial" w:eastAsia="Arial" w:hAnsi="Arial"/>
                <w:sz w:val="17"/>
                <w:szCs w:val="17"/>
                <w:b w:val="1"/>
                <w:bCs w:val="1"/>
                <w:color w:val="auto"/>
              </w:rPr>
              <w:t>53</w:t>
            </w:r>
          </w:p>
        </w:tc>
        <w:tc>
          <w:tcPr>
            <w:tcW w:w="740" w:type="dxa"/>
            <w:vAlign w:val="bottom"/>
            <w:gridSpan w:val="2"/>
          </w:tcPr>
          <w:p>
            <w:pPr>
              <w:jc w:val="right"/>
              <w:ind w:right="55"/>
              <w:spacing w:after="0"/>
              <w:rPr>
                <w:sz w:val="20"/>
                <w:szCs w:val="20"/>
                <w:color w:val="auto"/>
              </w:rPr>
            </w:pPr>
            <w:r>
              <w:rPr>
                <w:rFonts w:ascii="Arial" w:cs="Arial" w:eastAsia="Arial" w:hAnsi="Arial"/>
                <w:sz w:val="17"/>
                <w:szCs w:val="17"/>
                <w:b w:val="1"/>
                <w:bCs w:val="1"/>
                <w:color w:val="auto"/>
              </w:rPr>
              <w:t>$ 0.40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34"/>
              <w:spacing w:after="0"/>
              <w:rPr>
                <w:sz w:val="20"/>
                <w:szCs w:val="20"/>
                <w:color w:val="auto"/>
              </w:rPr>
            </w:pPr>
            <w:r>
              <w:rPr>
                <w:rFonts w:ascii="Arial" w:cs="Arial" w:eastAsia="Arial" w:hAnsi="Arial"/>
                <w:sz w:val="17"/>
                <w:szCs w:val="17"/>
                <w:b w:val="1"/>
                <w:bCs w:val="1"/>
                <w:color w:val="auto"/>
              </w:rPr>
              <w:t>(89)</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w w:val="94"/>
              </w:rPr>
              <w:t>(0.67)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tcPr>
          <w:p>
            <w:pPr>
              <w:jc w:val="right"/>
              <w:ind w:right="94"/>
              <w:spacing w:after="0"/>
              <w:rPr>
                <w:sz w:val="20"/>
                <w:szCs w:val="20"/>
                <w:color w:val="auto"/>
              </w:rPr>
            </w:pPr>
            <w:r>
              <w:rPr>
                <w:rFonts w:ascii="Arial" w:cs="Arial" w:eastAsia="Arial" w:hAnsi="Arial"/>
                <w:sz w:val="17"/>
                <w:szCs w:val="17"/>
                <w:b w:val="1"/>
                <w:bCs w:val="1"/>
                <w:color w:val="auto"/>
              </w:rPr>
              <w:t>439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jc w:val="right"/>
              <w:ind w:right="14"/>
              <w:spacing w:after="0"/>
              <w:rPr>
                <w:sz w:val="20"/>
                <w:szCs w:val="20"/>
                <w:color w:val="auto"/>
              </w:rPr>
            </w:pPr>
            <w:r>
              <w:rPr>
                <w:rFonts w:ascii="Arial" w:cs="Arial" w:eastAsia="Arial" w:hAnsi="Arial"/>
                <w:sz w:val="17"/>
                <w:szCs w:val="17"/>
                <w:b w:val="1"/>
                <w:bCs w:val="1"/>
                <w:color w:val="auto"/>
              </w:rPr>
              <w:t>3.28</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tcPr>
          <w:p>
            <w:pPr>
              <w:jc w:val="right"/>
              <w:ind w:right="114"/>
              <w:spacing w:after="0"/>
              <w:rPr>
                <w:sz w:val="20"/>
                <w:szCs w:val="20"/>
                <w:color w:val="auto"/>
              </w:rPr>
            </w:pPr>
            <w:r>
              <w:rPr>
                <w:rFonts w:ascii="Arial" w:cs="Arial" w:eastAsia="Arial" w:hAnsi="Arial"/>
                <w:sz w:val="17"/>
                <w:szCs w:val="17"/>
                <w:b w:val="1"/>
                <w:bCs w:val="1"/>
                <w:color w:val="auto"/>
              </w:rPr>
              <w:t>323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ind w:right="53"/>
              <w:spacing w:after="0"/>
              <w:rPr>
                <w:sz w:val="20"/>
                <w:szCs w:val="20"/>
                <w:color w:val="auto"/>
              </w:rPr>
            </w:pPr>
            <w:r>
              <w:rPr>
                <w:rFonts w:ascii="Arial" w:cs="Arial" w:eastAsia="Arial" w:hAnsi="Arial"/>
                <w:sz w:val="17"/>
                <w:szCs w:val="17"/>
                <w:b w:val="1"/>
                <w:bCs w:val="1"/>
                <w:color w:val="auto"/>
              </w:rPr>
              <w:t>2.38</w:t>
            </w:r>
          </w:p>
        </w:tc>
        <w:tc>
          <w:tcPr>
            <w:tcW w:w="0" w:type="dxa"/>
            <w:vAlign w:val="bottom"/>
          </w:tcPr>
          <w:p>
            <w:pPr>
              <w:spacing w:after="0"/>
              <w:rPr>
                <w:sz w:val="1"/>
                <w:szCs w:val="1"/>
                <w:color w:val="auto"/>
              </w:rPr>
            </w:pPr>
          </w:p>
        </w:tc>
      </w:tr>
      <w:tr>
        <w:trPr>
          <w:trHeight w:val="31"/>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shd w:val="clear" w:color="auto" w:fill="CCEEFF"/>
          </w:tcPr>
          <w:p>
            <w:pPr>
              <w:ind w:left="260"/>
              <w:spacing w:after="0" w:line="270" w:lineRule="exact"/>
              <w:rPr>
                <w:sz w:val="20"/>
                <w:szCs w:val="20"/>
                <w:color w:val="auto"/>
              </w:rPr>
            </w:pPr>
            <w:r>
              <w:rPr>
                <w:rFonts w:ascii="Arial" w:cs="Arial" w:eastAsia="Arial" w:hAnsi="Arial"/>
                <w:sz w:val="17"/>
                <w:szCs w:val="17"/>
                <w:color w:val="auto"/>
              </w:rPr>
              <w:t xml:space="preserve">Intangibles amortization </w:t>
            </w:r>
            <w:r>
              <w:rPr>
                <w:rFonts w:ascii="Arial" w:cs="Arial" w:eastAsia="Arial" w:hAnsi="Arial"/>
                <w:sz w:val="28"/>
                <w:szCs w:val="28"/>
                <w:color w:val="auto"/>
                <w:vertAlign w:val="superscript"/>
              </w:rPr>
              <w:t>(1)</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45</w:t>
            </w:r>
          </w:p>
        </w:tc>
        <w:tc>
          <w:tcPr>
            <w:tcW w:w="74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0.34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0.07</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148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1.11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0.29</w:t>
            </w:r>
          </w:p>
        </w:tc>
        <w:tc>
          <w:tcPr>
            <w:tcW w:w="0" w:type="dxa"/>
            <w:vAlign w:val="bottom"/>
          </w:tcPr>
          <w:p>
            <w:pPr>
              <w:spacing w:after="0"/>
              <w:rPr>
                <w:sz w:val="1"/>
                <w:szCs w:val="1"/>
                <w:color w:val="auto"/>
              </w:rPr>
            </w:pPr>
          </w:p>
        </w:tc>
      </w:tr>
      <w:tr>
        <w:trPr>
          <w:trHeight w:val="270"/>
        </w:trPr>
        <w:tc>
          <w:tcPr>
            <w:tcW w:w="3480" w:type="dxa"/>
            <w:vAlign w:val="bottom"/>
          </w:tcPr>
          <w:p>
            <w:pPr>
              <w:ind w:left="240"/>
              <w:spacing w:after="0" w:line="270" w:lineRule="exact"/>
              <w:rPr>
                <w:sz w:val="20"/>
                <w:szCs w:val="20"/>
                <w:color w:val="auto"/>
              </w:rPr>
            </w:pPr>
            <w:r>
              <w:rPr>
                <w:rFonts w:ascii="Arial" w:cs="Arial" w:eastAsia="Arial" w:hAnsi="Arial"/>
                <w:sz w:val="17"/>
                <w:szCs w:val="17"/>
                <w:color w:val="auto"/>
              </w:rPr>
              <w:t xml:space="preserve">Fair value adjustment to inventory </w:t>
            </w:r>
            <w:r>
              <w:rPr>
                <w:rFonts w:ascii="Arial" w:cs="Arial" w:eastAsia="Arial" w:hAnsi="Arial"/>
                <w:sz w:val="28"/>
                <w:szCs w:val="28"/>
                <w:color w:val="auto"/>
                <w:vertAlign w:val="superscript"/>
              </w:rPr>
              <w:t>(2)</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ind w:right="94"/>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jc w:val="right"/>
              <w:ind w:right="14"/>
              <w:spacing w:after="0"/>
              <w:rPr>
                <w:sz w:val="20"/>
                <w:szCs w:val="20"/>
                <w:color w:val="auto"/>
              </w:rPr>
            </w:pPr>
            <w:r>
              <w:rPr>
                <w:rFonts w:ascii="Arial" w:cs="Arial" w:eastAsia="Arial" w:hAnsi="Arial"/>
                <w:sz w:val="17"/>
                <w:szCs w:val="17"/>
                <w:color w:val="auto"/>
              </w:rPr>
              <w:t>0.30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ind w:left="260"/>
              <w:spacing w:after="0" w:line="270" w:lineRule="exact"/>
              <w:rPr>
                <w:sz w:val="20"/>
                <w:szCs w:val="20"/>
                <w:color w:val="auto"/>
              </w:rPr>
            </w:pPr>
            <w:r>
              <w:rPr>
                <w:rFonts w:ascii="Arial" w:cs="Arial" w:eastAsia="Arial" w:hAnsi="Arial"/>
                <w:sz w:val="17"/>
                <w:szCs w:val="17"/>
                <w:color w:val="auto"/>
              </w:rPr>
              <w:t xml:space="preserve">Provision for asbestos </w:t>
            </w:r>
            <w:r>
              <w:rPr>
                <w:rFonts w:ascii="Arial" w:cs="Arial" w:eastAsia="Arial" w:hAnsi="Arial"/>
                <w:sz w:val="28"/>
                <w:szCs w:val="28"/>
                <w:color w:val="auto"/>
                <w:vertAlign w:val="superscript"/>
              </w:rPr>
              <w:t>(3)</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0"/>
        </w:trPr>
        <w:tc>
          <w:tcPr>
            <w:tcW w:w="3480" w:type="dxa"/>
            <w:vAlign w:val="bottom"/>
          </w:tcPr>
          <w:p>
            <w:pPr>
              <w:ind w:left="240"/>
              <w:spacing w:after="0" w:line="270" w:lineRule="exact"/>
              <w:rPr>
                <w:sz w:val="20"/>
                <w:szCs w:val="20"/>
                <w:color w:val="auto"/>
              </w:rPr>
            </w:pPr>
            <w:r>
              <w:rPr>
                <w:rFonts w:ascii="Arial" w:cs="Arial" w:eastAsia="Arial" w:hAnsi="Arial"/>
                <w:sz w:val="17"/>
                <w:szCs w:val="17"/>
                <w:color w:val="auto"/>
              </w:rPr>
              <w:t xml:space="preserve">Provision for restructuring and other </w:t>
            </w:r>
            <w:r>
              <w:rPr>
                <w:rFonts w:ascii="Arial" w:cs="Arial" w:eastAsia="Arial" w:hAnsi="Arial"/>
                <w:sz w:val="28"/>
                <w:szCs w:val="28"/>
                <w:color w:val="auto"/>
                <w:vertAlign w:val="superscript"/>
              </w:rPr>
              <w:t>(4)</w:t>
            </w:r>
          </w:p>
        </w:tc>
        <w:tc>
          <w:tcPr>
            <w:tcW w:w="120" w:type="dxa"/>
            <w:vAlign w:val="bottom"/>
          </w:tcPr>
          <w:p>
            <w:pPr>
              <w:spacing w:after="0"/>
              <w:rPr>
                <w:sz w:val="23"/>
                <w:szCs w:val="23"/>
                <w:color w:val="auto"/>
              </w:rPr>
            </w:pPr>
          </w:p>
        </w:tc>
        <w:tc>
          <w:tcPr>
            <w:tcW w:w="500" w:type="dxa"/>
            <w:vAlign w:val="bottom"/>
          </w:tcPr>
          <w:p>
            <w:pPr>
              <w:jc w:val="right"/>
              <w:ind w:right="94"/>
              <w:spacing w:after="0"/>
              <w:rPr>
                <w:sz w:val="20"/>
                <w:szCs w:val="20"/>
                <w:color w:val="auto"/>
              </w:rPr>
            </w:pPr>
            <w:r>
              <w:rPr>
                <w:rFonts w:ascii="Arial" w:cs="Arial" w:eastAsia="Arial" w:hAnsi="Arial"/>
                <w:sz w:val="17"/>
                <w:szCs w:val="17"/>
                <w:color w:val="auto"/>
              </w:rPr>
              <w:t>16</w:t>
            </w:r>
          </w:p>
        </w:tc>
        <w:tc>
          <w:tcPr>
            <w:tcW w:w="740" w:type="dxa"/>
            <w:vAlign w:val="bottom"/>
            <w:gridSpan w:val="2"/>
          </w:tcPr>
          <w:p>
            <w:pPr>
              <w:jc w:val="right"/>
              <w:ind w:right="55"/>
              <w:spacing w:after="0"/>
              <w:rPr>
                <w:sz w:val="20"/>
                <w:szCs w:val="20"/>
                <w:color w:val="auto"/>
              </w:rPr>
            </w:pPr>
            <w:r>
              <w:rPr>
                <w:rFonts w:ascii="Arial" w:cs="Arial" w:eastAsia="Arial" w:hAnsi="Arial"/>
                <w:sz w:val="17"/>
                <w:szCs w:val="17"/>
                <w:color w:val="auto"/>
              </w:rPr>
              <w:t>0.12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ind w:right="94"/>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jc w:val="right"/>
              <w:ind w:right="13"/>
              <w:spacing w:after="0"/>
              <w:rPr>
                <w:sz w:val="20"/>
                <w:szCs w:val="20"/>
                <w:color w:val="auto"/>
              </w:rPr>
            </w:pPr>
            <w:r>
              <w:rPr>
                <w:rFonts w:ascii="Arial" w:cs="Arial" w:eastAsia="Arial" w:hAnsi="Arial"/>
                <w:sz w:val="17"/>
                <w:szCs w:val="17"/>
                <w:color w:val="auto"/>
              </w:rPr>
              <w:t>0.16</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ind w:right="94"/>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jc w:val="right"/>
              <w:ind w:right="14"/>
              <w:spacing w:after="0"/>
              <w:rPr>
                <w:sz w:val="20"/>
                <w:szCs w:val="20"/>
                <w:color w:val="auto"/>
              </w:rPr>
            </w:pPr>
            <w:r>
              <w:rPr>
                <w:rFonts w:ascii="Arial" w:cs="Arial" w:eastAsia="Arial" w:hAnsi="Arial"/>
                <w:sz w:val="17"/>
                <w:szCs w:val="17"/>
                <w:color w:val="auto"/>
              </w:rPr>
              <w:t>0.33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ind w:right="114"/>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ind w:right="53"/>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ind w:left="240"/>
              <w:spacing w:after="0" w:line="270" w:lineRule="exact"/>
              <w:rPr>
                <w:sz w:val="20"/>
                <w:szCs w:val="20"/>
                <w:color w:val="auto"/>
              </w:rPr>
            </w:pPr>
            <w:r>
              <w:rPr>
                <w:rFonts w:ascii="Arial" w:cs="Arial" w:eastAsia="Arial" w:hAnsi="Arial"/>
                <w:sz w:val="17"/>
                <w:szCs w:val="17"/>
                <w:color w:val="auto"/>
              </w:rPr>
              <w:t xml:space="preserve">Impact of hedge ineffectiveness </w:t>
            </w:r>
            <w:r>
              <w:rPr>
                <w:rFonts w:ascii="Arial" w:cs="Arial" w:eastAsia="Arial" w:hAnsi="Arial"/>
                <w:sz w:val="28"/>
                <w:szCs w:val="28"/>
                <w:color w:val="auto"/>
                <w:vertAlign w:val="superscript"/>
              </w:rPr>
              <w:t>(5)</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(0.01)</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80" w:type="dxa"/>
            <w:vAlign w:val="bottom"/>
          </w:tcPr>
          <w:p>
            <w:pPr>
              <w:ind w:left="260"/>
              <w:spacing w:after="0" w:line="270" w:lineRule="exact"/>
              <w:rPr>
                <w:sz w:val="20"/>
                <w:szCs w:val="20"/>
                <w:color w:val="auto"/>
              </w:rPr>
            </w:pPr>
            <w:r>
              <w:rPr>
                <w:rFonts w:ascii="Arial" w:cs="Arial" w:eastAsia="Arial" w:hAnsi="Arial"/>
                <w:sz w:val="17"/>
                <w:szCs w:val="17"/>
                <w:color w:val="auto"/>
              </w:rPr>
              <w:t xml:space="preserve">Acquisition costs </w:t>
            </w:r>
            <w:r>
              <w:rPr>
                <w:rFonts w:ascii="Arial" w:cs="Arial" w:eastAsia="Arial" w:hAnsi="Arial"/>
                <w:sz w:val="28"/>
                <w:szCs w:val="28"/>
                <w:color w:val="auto"/>
                <w:vertAlign w:val="superscript"/>
              </w:rPr>
              <w:t>(6)</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ind w:right="94"/>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jc w:val="right"/>
              <w:ind w:right="14"/>
              <w:spacing w:after="0"/>
              <w:rPr>
                <w:sz w:val="20"/>
                <w:szCs w:val="20"/>
                <w:color w:val="auto"/>
              </w:rPr>
            </w:pPr>
            <w:r>
              <w:rPr>
                <w:rFonts w:ascii="Arial" w:cs="Arial" w:eastAsia="Arial" w:hAnsi="Arial"/>
                <w:sz w:val="17"/>
                <w:szCs w:val="17"/>
                <w:color w:val="auto"/>
              </w:rPr>
              <w:t>0.18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ind w:left="260"/>
              <w:spacing w:after="0" w:line="270" w:lineRule="exact"/>
              <w:rPr>
                <w:sz w:val="20"/>
                <w:szCs w:val="20"/>
                <w:color w:val="auto"/>
              </w:rPr>
            </w:pPr>
            <w:r>
              <w:rPr>
                <w:rFonts w:ascii="Arial" w:cs="Arial" w:eastAsia="Arial" w:hAnsi="Arial"/>
                <w:sz w:val="17"/>
                <w:szCs w:val="17"/>
                <w:color w:val="auto"/>
              </w:rPr>
              <w:t xml:space="preserve">Pension and postretirement charges </w:t>
            </w:r>
            <w:r>
              <w:rPr>
                <w:rFonts w:ascii="Arial" w:cs="Arial" w:eastAsia="Arial" w:hAnsi="Arial"/>
                <w:sz w:val="28"/>
                <w:szCs w:val="28"/>
                <w:color w:val="auto"/>
                <w:vertAlign w:val="superscript"/>
              </w:rPr>
              <w:t>(7)</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42</w:t>
            </w:r>
          </w:p>
        </w:tc>
        <w:tc>
          <w:tcPr>
            <w:tcW w:w="7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(0.02)</w:t>
            </w:r>
          </w:p>
        </w:tc>
        <w:tc>
          <w:tcPr>
            <w:tcW w:w="0" w:type="dxa"/>
            <w:vAlign w:val="bottom"/>
          </w:tcPr>
          <w:p>
            <w:pPr>
              <w:spacing w:after="0"/>
              <w:rPr>
                <w:sz w:val="1"/>
                <w:szCs w:val="1"/>
                <w:color w:val="auto"/>
              </w:rPr>
            </w:pPr>
          </w:p>
        </w:tc>
      </w:tr>
      <w:tr>
        <w:trPr>
          <w:trHeight w:val="270"/>
        </w:trPr>
        <w:tc>
          <w:tcPr>
            <w:tcW w:w="3480" w:type="dxa"/>
            <w:vAlign w:val="bottom"/>
          </w:tcPr>
          <w:p>
            <w:pPr>
              <w:ind w:left="240"/>
              <w:spacing w:after="0" w:line="270" w:lineRule="exact"/>
              <w:rPr>
                <w:sz w:val="20"/>
                <w:szCs w:val="20"/>
                <w:color w:val="auto"/>
              </w:rPr>
            </w:pPr>
            <w:r>
              <w:rPr>
                <w:rFonts w:ascii="Arial" w:cs="Arial" w:eastAsia="Arial" w:hAnsi="Arial"/>
                <w:sz w:val="17"/>
                <w:szCs w:val="17"/>
                <w:color w:val="auto"/>
              </w:rPr>
              <w:t xml:space="preserve">Loss from early extinguishment of debt </w:t>
            </w:r>
            <w:r>
              <w:rPr>
                <w:rFonts w:ascii="Arial" w:cs="Arial" w:eastAsia="Arial" w:hAnsi="Arial"/>
                <w:sz w:val="28"/>
                <w:szCs w:val="28"/>
                <w:color w:val="auto"/>
                <w:vertAlign w:val="superscript"/>
              </w:rPr>
              <w:t>(8)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ind w:right="114"/>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ind w:right="53"/>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ind w:left="240"/>
              <w:spacing w:after="0" w:line="270" w:lineRule="exact"/>
              <w:rPr>
                <w:sz w:val="20"/>
                <w:szCs w:val="20"/>
                <w:color w:val="auto"/>
              </w:rPr>
            </w:pPr>
            <w:r>
              <w:rPr>
                <w:rFonts w:ascii="Arial" w:cs="Arial" w:eastAsia="Arial" w:hAnsi="Arial"/>
                <w:sz w:val="17"/>
                <w:szCs w:val="17"/>
                <w:color w:val="auto"/>
                <w:w w:val="94"/>
              </w:rPr>
              <w:t xml:space="preserve">Income taxes and noncontrolling interests </w:t>
            </w:r>
            <w:r>
              <w:rPr>
                <w:rFonts w:ascii="Arial" w:cs="Arial" w:eastAsia="Arial" w:hAnsi="Arial"/>
                <w:sz w:val="28"/>
                <w:szCs w:val="28"/>
                <w:color w:val="auto"/>
                <w:w w:val="94"/>
                <w:vertAlign w:val="superscript"/>
              </w:rPr>
              <w:t>(9)</w:t>
            </w:r>
          </w:p>
        </w:tc>
        <w:tc>
          <w:tcPr>
            <w:tcW w:w="1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(22)</w:t>
            </w:r>
          </w:p>
        </w:tc>
        <w:tc>
          <w:tcPr>
            <w:tcW w:w="14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169</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1.26</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(41)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(0.31)</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155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186"/>
        </w:trPr>
        <w:tc>
          <w:tcPr>
            <w:tcW w:w="3480" w:type="dxa"/>
            <w:vAlign w:val="bottom"/>
          </w:tcPr>
          <w:p>
            <w:pPr>
              <w:ind w:left="20"/>
              <w:spacing w:after="0" w:line="186" w:lineRule="exact"/>
              <w:rPr>
                <w:sz w:val="20"/>
                <w:szCs w:val="20"/>
                <w:color w:val="auto"/>
              </w:rPr>
            </w:pPr>
            <w:r>
              <w:rPr>
                <w:rFonts w:ascii="Arial" w:cs="Arial" w:eastAsia="Arial" w:hAnsi="Arial"/>
                <w:sz w:val="17"/>
                <w:szCs w:val="17"/>
                <w:b w:val="1"/>
                <w:bCs w:val="1"/>
                <w:color w:val="auto"/>
              </w:rPr>
              <w:t>Adjusted net income/diluted earnings per</w:t>
            </w: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50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rPr>
              <w:t>134</w:t>
            </w:r>
          </w:p>
        </w:tc>
        <w:tc>
          <w:tcPr>
            <w:tcW w:w="740" w:type="dxa"/>
            <w:vAlign w:val="bottom"/>
            <w:gridSpan w:val="2"/>
            <w:vMerge w:val="restart"/>
          </w:tcPr>
          <w:p>
            <w:pPr>
              <w:jc w:val="right"/>
              <w:ind w:right="55"/>
              <w:spacing w:after="0"/>
              <w:rPr>
                <w:sz w:val="20"/>
                <w:szCs w:val="20"/>
                <w:color w:val="auto"/>
              </w:rPr>
            </w:pPr>
            <w:r>
              <w:rPr>
                <w:rFonts w:ascii="Arial" w:cs="Arial" w:eastAsia="Arial" w:hAnsi="Arial"/>
                <w:sz w:val="17"/>
                <w:szCs w:val="17"/>
                <w:b w:val="1"/>
                <w:bCs w:val="1"/>
                <w:color w:val="auto"/>
              </w:rPr>
              <w:t>$ 1.00</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56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rPr>
              <w:t>113</w:t>
            </w:r>
          </w:p>
        </w:tc>
        <w:tc>
          <w:tcPr>
            <w:tcW w:w="14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480" w:type="dxa"/>
            <w:vAlign w:val="bottom"/>
            <w:vMerge w:val="restart"/>
          </w:tcPr>
          <w:p>
            <w:pPr>
              <w:jc w:val="right"/>
              <w:ind w:right="13"/>
              <w:spacing w:after="0"/>
              <w:rPr>
                <w:sz w:val="20"/>
                <w:szCs w:val="20"/>
                <w:color w:val="auto"/>
              </w:rPr>
            </w:pPr>
            <w:r>
              <w:rPr>
                <w:rFonts w:ascii="Arial" w:cs="Arial" w:eastAsia="Arial" w:hAnsi="Arial"/>
                <w:sz w:val="17"/>
                <w:szCs w:val="17"/>
                <w:b w:val="1"/>
                <w:bCs w:val="1"/>
                <w:color w:val="auto"/>
              </w:rPr>
              <w:t>0.84</w:t>
            </w:r>
          </w:p>
        </w:tc>
        <w:tc>
          <w:tcPr>
            <w:tcW w:w="2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rPr>
              <w:t>696</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480" w:type="dxa"/>
            <w:vAlign w:val="bottom"/>
            <w:vMerge w:val="restart"/>
          </w:tcPr>
          <w:p>
            <w:pPr>
              <w:jc w:val="right"/>
              <w:ind w:right="14"/>
              <w:spacing w:after="0"/>
              <w:rPr>
                <w:sz w:val="20"/>
                <w:szCs w:val="20"/>
                <w:color w:val="auto"/>
              </w:rPr>
            </w:pPr>
            <w:r>
              <w:rPr>
                <w:rFonts w:ascii="Arial" w:cs="Arial" w:eastAsia="Arial" w:hAnsi="Arial"/>
                <w:sz w:val="17"/>
                <w:szCs w:val="17"/>
                <w:b w:val="1"/>
                <w:bCs w:val="1"/>
                <w:color w:val="auto"/>
              </w:rPr>
              <w:t>5.20</w:t>
            </w:r>
          </w:p>
        </w:tc>
        <w:tc>
          <w:tcPr>
            <w:tcW w:w="14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rPr>
              <w:t>575</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520" w:type="dxa"/>
            <w:vAlign w:val="bottom"/>
            <w:vMerge w:val="restart"/>
          </w:tcPr>
          <w:p>
            <w:pPr>
              <w:jc w:val="right"/>
              <w:ind w:right="53"/>
              <w:spacing w:after="0"/>
              <w:rPr>
                <w:sz w:val="20"/>
                <w:szCs w:val="20"/>
                <w:color w:val="auto"/>
              </w:rPr>
            </w:pPr>
            <w:r>
              <w:rPr>
                <w:rFonts w:ascii="Arial" w:cs="Arial" w:eastAsia="Arial" w:hAnsi="Arial"/>
                <w:sz w:val="17"/>
                <w:szCs w:val="17"/>
                <w:b w:val="1"/>
                <w:bCs w:val="1"/>
                <w:color w:val="auto"/>
              </w:rPr>
              <w:t>4.24</w:t>
            </w:r>
          </w:p>
        </w:tc>
        <w:tc>
          <w:tcPr>
            <w:tcW w:w="0" w:type="dxa"/>
            <w:vAlign w:val="bottom"/>
          </w:tcPr>
          <w:p>
            <w:pPr>
              <w:spacing w:after="0"/>
              <w:rPr>
                <w:sz w:val="1"/>
                <w:szCs w:val="1"/>
                <w:color w:val="auto"/>
              </w:rPr>
            </w:pPr>
          </w:p>
        </w:tc>
      </w:tr>
      <w:tr>
        <w:trPr>
          <w:trHeight w:val="273"/>
        </w:trPr>
        <w:tc>
          <w:tcPr>
            <w:tcW w:w="3480" w:type="dxa"/>
            <w:vAlign w:val="bottom"/>
          </w:tcPr>
          <w:p>
            <w:pPr>
              <w:ind w:left="20"/>
              <w:spacing w:after="0"/>
              <w:rPr>
                <w:sz w:val="20"/>
                <w:szCs w:val="20"/>
                <w:color w:val="auto"/>
              </w:rPr>
            </w:pPr>
            <w:r>
              <w:rPr>
                <w:rFonts w:ascii="Arial" w:cs="Arial" w:eastAsia="Arial" w:hAnsi="Arial"/>
                <w:sz w:val="17"/>
                <w:szCs w:val="17"/>
                <w:b w:val="1"/>
                <w:bCs w:val="1"/>
                <w:color w:val="auto"/>
              </w:rPr>
              <w:t>share</w:t>
            </w:r>
          </w:p>
        </w:tc>
        <w:tc>
          <w:tcPr>
            <w:tcW w:w="120" w:type="dxa"/>
            <w:vAlign w:val="bottom"/>
            <w:vMerge w:val="continue"/>
          </w:tcPr>
          <w:p>
            <w:pPr>
              <w:spacing w:after="0"/>
              <w:rPr>
                <w:sz w:val="23"/>
                <w:szCs w:val="23"/>
                <w:color w:val="auto"/>
              </w:rPr>
            </w:pPr>
          </w:p>
        </w:tc>
        <w:tc>
          <w:tcPr>
            <w:tcW w:w="500" w:type="dxa"/>
            <w:vAlign w:val="bottom"/>
            <w:vMerge w:val="continue"/>
          </w:tcPr>
          <w:p>
            <w:pPr>
              <w:spacing w:after="0"/>
              <w:rPr>
                <w:sz w:val="23"/>
                <w:szCs w:val="23"/>
                <w:color w:val="auto"/>
              </w:rPr>
            </w:pPr>
          </w:p>
        </w:tc>
        <w:tc>
          <w:tcPr>
            <w:tcW w:w="74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56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vMerge w:val="continue"/>
          </w:tcPr>
          <w:p>
            <w:pPr>
              <w:spacing w:after="0"/>
              <w:rPr>
                <w:sz w:val="23"/>
                <w:szCs w:val="23"/>
                <w:color w:val="auto"/>
              </w:rPr>
            </w:pPr>
          </w:p>
        </w:tc>
        <w:tc>
          <w:tcPr>
            <w:tcW w:w="48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5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vMerge w:val="continue"/>
          </w:tcPr>
          <w:p>
            <w:pPr>
              <w:spacing w:after="0"/>
              <w:rPr>
                <w:sz w:val="23"/>
                <w:szCs w:val="23"/>
                <w:color w:val="auto"/>
              </w:rPr>
            </w:pPr>
          </w:p>
        </w:tc>
        <w:tc>
          <w:tcPr>
            <w:tcW w:w="48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5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5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34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480" w:type="dxa"/>
            <w:vAlign w:val="bottom"/>
          </w:tcPr>
          <w:p>
            <w:pPr>
              <w:ind w:left="20"/>
              <w:spacing w:after="0"/>
              <w:rPr>
                <w:sz w:val="20"/>
                <w:szCs w:val="20"/>
                <w:color w:val="auto"/>
              </w:rPr>
            </w:pPr>
            <w:r>
              <w:rPr>
                <w:rFonts w:ascii="Arial" w:cs="Arial" w:eastAsia="Arial" w:hAnsi="Arial"/>
                <w:sz w:val="17"/>
                <w:szCs w:val="17"/>
                <w:color w:val="auto"/>
              </w:rPr>
              <w:t>Effective tax rate as reported</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1"/>
              </w:rPr>
              <w:t>21.3%</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6"/>
              </w:rPr>
              <w:t>137.7%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5"/>
              </w:rPr>
              <w:t>29.2%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5"/>
              </w:rPr>
              <w:t>48.4%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4"/>
        </w:trPr>
        <w:tc>
          <w:tcPr>
            <w:tcW w:w="3480" w:type="dxa"/>
            <w:vAlign w:val="bottom"/>
          </w:tcPr>
          <w:p>
            <w:pPr>
              <w:ind w:left="20"/>
              <w:spacing w:after="0"/>
              <w:rPr>
                <w:sz w:val="20"/>
                <w:szCs w:val="20"/>
                <w:color w:val="auto"/>
              </w:rPr>
            </w:pPr>
            <w:r>
              <w:rPr>
                <w:rFonts w:ascii="Arial" w:cs="Arial" w:eastAsia="Arial" w:hAnsi="Arial"/>
                <w:sz w:val="17"/>
                <w:szCs w:val="17"/>
                <w:color w:val="auto"/>
              </w:rPr>
              <w:t xml:space="preserve">Adjusted effective tax rate </w:t>
            </w:r>
            <w:r>
              <w:rPr>
                <w:rFonts w:ascii="Arial" w:cs="Arial" w:eastAsia="Arial" w:hAnsi="Arial"/>
                <w:sz w:val="28"/>
                <w:szCs w:val="28"/>
                <w:color w:val="auto"/>
                <w:vertAlign w:val="superscript"/>
              </w:rPr>
              <w:t>(10)</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1"/>
              </w:rPr>
              <w:t>21.3%</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27.7%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5"/>
              </w:rPr>
              <w:t>24.7%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5"/>
              </w:rPr>
              <w:t>26.6%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197" w:lineRule="exact"/>
        <w:rPr>
          <w:sz w:val="20"/>
          <w:szCs w:val="20"/>
          <w:color w:val="auto"/>
        </w:rPr>
      </w:pPr>
    </w:p>
    <w:p>
      <w:pPr>
        <w:ind w:left="340" w:right="20" w:hanging="332"/>
        <w:spacing w:after="0" w:line="27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6"/>
          <w:szCs w:val="16"/>
          <w:color w:val="auto"/>
        </w:rPr>
        <w:t>In the fourth quarter and full year of 2018, the Company recorded charges of $45 million ($35 million net of tax) and $148 million ($111 million net of tax) for intangibles amortization arising from acquisitions, including its acquisition of Signode in the second quarter of 2018. In the fourth quarter and full year of 2017, the Company recorded charges of $10 million ($7 million net of tax) and $39 million ($28 million net of tax) for intangibles amortization.</w:t>
      </w:r>
    </w:p>
    <w:p>
      <w:pPr>
        <w:spacing w:after="0" w:line="195" w:lineRule="exact"/>
        <w:rPr>
          <w:rFonts w:ascii="Arial" w:cs="Arial" w:eastAsia="Arial" w:hAnsi="Arial"/>
          <w:sz w:val="18"/>
          <w:szCs w:val="18"/>
          <w:color w:val="auto"/>
        </w:rPr>
      </w:pPr>
    </w:p>
    <w:p>
      <w:pPr>
        <w:ind w:left="340" w:right="160" w:hanging="332"/>
        <w:spacing w:after="0" w:line="28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6"/>
          <w:szCs w:val="16"/>
          <w:color w:val="auto"/>
        </w:rPr>
        <w:t>In the second quarter of 2018, the Company recorded a charge of $40 million ($29 million net of tax) in cost of products sold for fair value adjustment related to the sale of inventory acquired in its acquisition of Signode.</w:t>
      </w:r>
    </w:p>
    <w:p>
      <w:pPr>
        <w:spacing w:after="0" w:line="18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6"/>
          <w:szCs w:val="16"/>
          <w:color w:val="auto"/>
        </w:rPr>
        <w:t>In the fourth quarter of 2017, the Company recorded a charge of $3 million ($2 million net of tax) to increase its reserve for asbestos related liabilities.</w:t>
      </w:r>
    </w:p>
    <w:p>
      <w:pPr>
        <w:spacing w:after="0" w:line="225" w:lineRule="exact"/>
        <w:rPr>
          <w:rFonts w:ascii="Arial" w:cs="Arial" w:eastAsia="Arial" w:hAnsi="Arial"/>
          <w:sz w:val="18"/>
          <w:szCs w:val="18"/>
          <w:color w:val="auto"/>
        </w:rPr>
      </w:pPr>
    </w:p>
    <w:p>
      <w:pPr>
        <w:ind w:left="340" w:right="100" w:hanging="332"/>
        <w:spacing w:after="0" w:line="28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6"/>
          <w:szCs w:val="16"/>
          <w:color w:val="auto"/>
        </w:rPr>
        <w:t>In the fourth quarter and full year of 2018, the Company recorded net restructuring and other charges of $15 million ($10 million net of tax) and $49 million ($38 million net of tax) including $22 million of transaction costs for the year in connection with its acquisition of Signode. In the fourth quarter of 2017, the Company recorded restructuring and other charges of $12 million ($10 million net of tax) primarily due to costs related to the closures of a U.S. beverage can facility and a promotional packaging facility in Europe. For the full year of 2017, the Company recorded charges of $39 million ($31 million net of tax) that additionally included costs to settle a litigation matter related to Mivisa that arose prior to its acquisition by Crown.</w:t>
      </w:r>
    </w:p>
    <w:p>
      <w:pPr>
        <w:spacing w:after="0" w:line="182" w:lineRule="exact"/>
        <w:rPr>
          <w:rFonts w:ascii="Arial" w:cs="Arial" w:eastAsia="Arial" w:hAnsi="Arial"/>
          <w:sz w:val="18"/>
          <w:szCs w:val="18"/>
          <w:color w:val="auto"/>
        </w:rPr>
      </w:pPr>
    </w:p>
    <w:p>
      <w:pPr>
        <w:ind w:left="340"/>
        <w:spacing w:after="0" w:line="256" w:lineRule="auto"/>
        <w:rPr>
          <w:rFonts w:ascii="Arial" w:cs="Arial" w:eastAsia="Arial" w:hAnsi="Arial"/>
          <w:sz w:val="18"/>
          <w:szCs w:val="18"/>
          <w:color w:val="auto"/>
        </w:rPr>
      </w:pPr>
      <w:r>
        <w:rPr>
          <w:rFonts w:ascii="Arial" w:cs="Arial" w:eastAsia="Arial" w:hAnsi="Arial"/>
          <w:sz w:val="16"/>
          <w:szCs w:val="16"/>
          <w:color w:val="auto"/>
        </w:rPr>
        <w:t>In the fourth quarter and full year of 2018, the Company recorded net losses of $1 million ($2 million net of tax) and gains of $5 million ($3 million net of tax) for asset sales and impairments. In the fourth quarter and full year of 2017, the Company recorded charges of $9 million ($7 million net of tax) and $12 million ($11 million net of tax) for asset sales and impairments primarily due to the closures of a beverage can plant in China, a beverage can plant in the U.S. and a promotional packaging facility in Europe.</w:t>
      </w:r>
    </w:p>
    <w:p>
      <w:pPr>
        <w:sectPr>
          <w:pgSz w:w="11900" w:h="16838" w:orient="portrait"/>
          <w:cols w:equalWidth="0" w:num="1">
            <w:col w:w="11420"/>
          </w:cols>
          <w:pgMar w:left="240" w:top="852" w:right="2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6 of 11</w:t>
      </w:r>
    </w:p>
    <w:p>
      <w:pPr>
        <w:sectPr>
          <w:pgSz w:w="11900" w:h="16838" w:orient="portrait"/>
          <w:cols w:equalWidth="0" w:num="1">
            <w:col w:w="11420"/>
          </w:cols>
          <w:pgMar w:left="240" w:top="852" w:right="239" w:bottom="1440" w:gutter="0" w:footer="0" w:header="0"/>
          <w:type w:val="continuous"/>
        </w:sectPr>
      </w:pPr>
    </w:p>
    <w:bookmarkStart w:id="11" w:name="page12"/>
    <w:bookmarkEnd w:id="11"/>
    <w:p>
      <w:pPr>
        <w:ind w:left="52"/>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5659755</wp:posOffset>
            </wp:positionH>
            <wp:positionV relativeFrom="paragraph">
              <wp:posOffset>-162560</wp:posOffset>
            </wp:positionV>
            <wp:extent cx="1551940" cy="497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52"/>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52"/>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52"/>
        <w:spacing w:after="0"/>
        <w:rPr>
          <w:sz w:val="20"/>
          <w:szCs w:val="20"/>
          <w:color w:val="auto"/>
        </w:rPr>
      </w:pPr>
      <w:r>
        <w:rPr>
          <w:rFonts w:ascii="Arial" w:cs="Arial" w:eastAsia="Arial" w:hAnsi="Arial"/>
          <w:sz w:val="14"/>
          <w:szCs w:val="14"/>
          <w:color w:val="auto"/>
        </w:rPr>
        <w:t>Yardley, PA 19067-4219</w:t>
      </w:r>
    </w:p>
    <w:p>
      <w:pPr>
        <w:spacing w:after="0" w:line="378" w:lineRule="exact"/>
        <w:rPr>
          <w:sz w:val="20"/>
          <w:szCs w:val="20"/>
          <w:color w:val="auto"/>
        </w:rPr>
      </w:pPr>
    </w:p>
    <w:p>
      <w:pPr>
        <w:ind w:left="332" w:right="700" w:hanging="332"/>
        <w:spacing w:after="0" w:line="315" w:lineRule="auto"/>
        <w:tabs>
          <w:tab w:leader="none" w:pos="332" w:val="left"/>
        </w:tabs>
        <w:numPr>
          <w:ilvl w:val="0"/>
          <w:numId w:val="5"/>
        </w:numPr>
        <w:rPr>
          <w:rFonts w:ascii="Arial" w:cs="Arial" w:eastAsia="Arial" w:hAnsi="Arial"/>
          <w:sz w:val="17"/>
          <w:szCs w:val="17"/>
          <w:color w:val="auto"/>
        </w:rPr>
      </w:pPr>
      <w:r>
        <w:rPr>
          <w:rFonts w:ascii="Arial" w:cs="Arial" w:eastAsia="Arial" w:hAnsi="Arial"/>
          <w:sz w:val="15"/>
          <w:szCs w:val="15"/>
          <w:color w:val="auto"/>
        </w:rPr>
        <w:t>In the fourth quarter of 2017, the Company recorded a benefit of $2 million ($2 million net of tax) in cost of products sold related to the timing impact of hedge ineffectiveness caused primarily by volatility in the metal premium component of aluminum prices. There was no impact for the full year of 2017.</w:t>
      </w:r>
    </w:p>
    <w:p>
      <w:pPr>
        <w:spacing w:after="0" w:line="165" w:lineRule="exact"/>
        <w:rPr>
          <w:rFonts w:ascii="Arial" w:cs="Arial" w:eastAsia="Arial" w:hAnsi="Arial"/>
          <w:sz w:val="17"/>
          <w:szCs w:val="17"/>
          <w:color w:val="auto"/>
        </w:rPr>
      </w:pPr>
    </w:p>
    <w:p>
      <w:pPr>
        <w:ind w:left="332" w:hanging="332"/>
        <w:spacing w:after="0" w:line="279"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6"/>
          <w:szCs w:val="16"/>
          <w:color w:val="auto"/>
        </w:rPr>
        <w:t>In the first quarter of 2018, the Company recorded a charge of $15 million ($10 million net of tax) for net losses arising from its hedge of the U.S. dollar purchase price of its acquisition of Signode. Also in the first quarter, the Company incurred net charges of $9 million ($7 million net of tax) for pre-acquisition interest carrying costs on borrowings to finance the acquisition.</w:t>
      </w:r>
    </w:p>
    <w:p>
      <w:pPr>
        <w:spacing w:after="0" w:line="195" w:lineRule="exact"/>
        <w:rPr>
          <w:rFonts w:ascii="Arial" w:cs="Arial" w:eastAsia="Arial" w:hAnsi="Arial"/>
          <w:sz w:val="18"/>
          <w:szCs w:val="18"/>
          <w:color w:val="auto"/>
        </w:rPr>
      </w:pPr>
    </w:p>
    <w:p>
      <w:pPr>
        <w:jc w:val="both"/>
        <w:ind w:left="332" w:right="140" w:hanging="332"/>
        <w:spacing w:after="0" w:line="279"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6"/>
          <w:szCs w:val="16"/>
          <w:color w:val="auto"/>
        </w:rPr>
        <w:t>In the fourth quarter of 2018, the Company recorded pension and postretirement charges of $42 million ($35 million net of tax) primarily arising from payment of lump sum buy-outs to settle certain pension obligations using plan assets. In the fourth quarter and full year of 2017, the Company recorded pension charges of $1 million ($1 million net of tax) and benefits of $3 million ($2 million net of tax) for plan settlements and curtailments.</w:t>
      </w:r>
    </w:p>
    <w:p>
      <w:pPr>
        <w:spacing w:after="0" w:line="195" w:lineRule="exact"/>
        <w:rPr>
          <w:rFonts w:ascii="Arial" w:cs="Arial" w:eastAsia="Arial" w:hAnsi="Arial"/>
          <w:sz w:val="18"/>
          <w:szCs w:val="18"/>
          <w:color w:val="auto"/>
        </w:rPr>
      </w:pPr>
    </w:p>
    <w:p>
      <w:pPr>
        <w:ind w:left="332" w:right="380" w:hanging="332"/>
        <w:spacing w:after="0" w:line="281"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6"/>
          <w:szCs w:val="16"/>
          <w:color w:val="auto"/>
        </w:rPr>
        <w:t>In the second quarter of 2017, the Company recorded a charge of $7 million ($5 million net of tax) for the write off of deferred financing fees in connection with the refinancing of its term loan and revolving credit facilities.</w:t>
      </w:r>
    </w:p>
    <w:p>
      <w:pPr>
        <w:spacing w:after="0" w:line="190" w:lineRule="exact"/>
        <w:rPr>
          <w:rFonts w:ascii="Arial" w:cs="Arial" w:eastAsia="Arial" w:hAnsi="Arial"/>
          <w:sz w:val="18"/>
          <w:szCs w:val="18"/>
          <w:color w:val="auto"/>
        </w:rPr>
      </w:pPr>
    </w:p>
    <w:p>
      <w:pPr>
        <w:ind w:left="332" w:right="140" w:hanging="332"/>
        <w:spacing w:after="0" w:line="280"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6"/>
          <w:szCs w:val="16"/>
          <w:color w:val="auto"/>
        </w:rPr>
        <w:t>In the fourth quarter and full year of 2018, the Company recorded income tax and noncontrolling interest benefits of $21 million and $72 million related to the items described above. Also in the fourth quarter and full year of 2018, the Company recorded benefits of $1 million and charges of $31 million including taxes on the distribution of foreign earnings and adjustments for the impact of the “Tax Cut and Jobs Act”. In the fourth quarter and full year of 2017, the Company recorded income tax benefits of $8 million and $22 million related to the items described above. Also in the fourth quarter of 2017, the Company recorded a charge of $177 million to recognize the impact of the “Tax Cut and Jobs Act”.</w:t>
      </w:r>
    </w:p>
    <w:p>
      <w:pPr>
        <w:spacing w:after="0" w:line="195" w:lineRule="exact"/>
        <w:rPr>
          <w:rFonts w:ascii="Arial" w:cs="Arial" w:eastAsia="Arial" w:hAnsi="Arial"/>
          <w:sz w:val="18"/>
          <w:szCs w:val="18"/>
          <w:color w:val="auto"/>
        </w:rPr>
      </w:pPr>
    </w:p>
    <w:p>
      <w:pPr>
        <w:ind w:left="332" w:hanging="332"/>
        <w:spacing w:after="0"/>
        <w:tabs>
          <w:tab w:leader="none" w:pos="332" w:val="left"/>
        </w:tabs>
        <w:numPr>
          <w:ilvl w:val="0"/>
          <w:numId w:val="5"/>
        </w:numPr>
        <w:rPr>
          <w:rFonts w:ascii="Arial" w:cs="Arial" w:eastAsia="Arial" w:hAnsi="Arial"/>
          <w:sz w:val="18"/>
          <w:szCs w:val="18"/>
          <w:color w:val="auto"/>
        </w:rPr>
      </w:pPr>
      <w:r>
        <w:rPr>
          <w:rFonts w:ascii="Arial" w:cs="Arial" w:eastAsia="Arial" w:hAnsi="Arial"/>
          <w:sz w:val="16"/>
          <w:szCs w:val="16"/>
          <w:color w:val="auto"/>
        </w:rPr>
        <w:t>Income tax effects on adjusted net income were calculated using the applicable tax rates of the underlying jurisdictions.</w:t>
      </w:r>
    </w:p>
    <w:p>
      <w:pPr>
        <w:spacing w:after="0" w:line="3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7 of 11</w:t>
      </w:r>
    </w:p>
    <w:p>
      <w:pPr>
        <w:sectPr>
          <w:pgSz w:w="11900" w:h="16838" w:orient="portrait"/>
          <w:cols w:equalWidth="0" w:num="1">
            <w:col w:w="11372"/>
          </w:cols>
          <w:pgMar w:left="248" w:top="852" w:right="279" w:bottom="1440" w:gutter="0" w:footer="0" w:header="0"/>
        </w:sectPr>
      </w:pPr>
    </w:p>
    <w:bookmarkStart w:id="12" w:name="page13"/>
    <w:bookmarkEnd w:id="12"/>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 (Condensed &amp; Unaudited)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58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44"/>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1,602</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1,041</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1600" w:type="dxa"/>
            <w:vAlign w:val="bottom"/>
          </w:tcPr>
          <w:p>
            <w:pPr>
              <w:spacing w:after="0"/>
              <w:rPr>
                <w:sz w:val="22"/>
                <w:szCs w:val="22"/>
                <w:color w:val="auto"/>
              </w:rPr>
            </w:pPr>
          </w:p>
        </w:tc>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4,079</w:t>
            </w: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3,074</w:t>
            </w:r>
          </w:p>
        </w:tc>
        <w:tc>
          <w:tcPr>
            <w:tcW w:w="1580" w:type="dxa"/>
            <w:vAlign w:val="bottom"/>
          </w:tcPr>
          <w:p>
            <w:pPr>
              <w:spacing w:after="0"/>
              <w:rPr>
                <w:sz w:val="22"/>
                <w:szCs w:val="22"/>
                <w:color w:val="auto"/>
              </w:rPr>
            </w:pPr>
          </w:p>
        </w:tc>
      </w:tr>
      <w:tr>
        <w:trPr>
          <w:trHeight w:val="264"/>
        </w:trPr>
        <w:tc>
          <w:tcPr>
            <w:tcW w:w="160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580" w:type="dxa"/>
            <w:vAlign w:val="bottom"/>
          </w:tcPr>
          <w:p>
            <w:pPr>
              <w:spacing w:after="0"/>
              <w:rPr>
                <w:sz w:val="22"/>
                <w:szCs w:val="2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3,745</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3,239</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1600" w:type="dxa"/>
            <w:vAlign w:val="bottom"/>
          </w:tcPr>
          <w:p>
            <w:pPr>
              <w:spacing w:after="0"/>
              <w:rPr>
                <w:sz w:val="23"/>
                <w:szCs w:val="23"/>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580" w:type="dxa"/>
            <w:vAlign w:val="bottom"/>
          </w:tcPr>
          <w:p>
            <w:pPr>
              <w:spacing w:after="0"/>
              <w:rPr>
                <w:sz w:val="23"/>
                <w:szCs w:val="23"/>
                <w:color w:val="auto"/>
              </w:rPr>
            </w:pPr>
          </w:p>
        </w:tc>
      </w:tr>
      <w:tr>
        <w:trPr>
          <w:trHeight w:val="297"/>
        </w:trPr>
        <w:tc>
          <w:tcPr>
            <w:tcW w:w="1600" w:type="dxa"/>
            <w:vAlign w:val="bottom"/>
          </w:tcPr>
          <w:p>
            <w:pPr>
              <w:spacing w:after="0"/>
              <w:rPr>
                <w:sz w:val="24"/>
                <w:szCs w:val="24"/>
                <w:color w:val="auto"/>
              </w:rPr>
            </w:pPr>
          </w:p>
        </w:tc>
        <w:tc>
          <w:tcPr>
            <w:tcW w:w="504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15,262</w:t>
            </w:r>
          </w:p>
        </w:tc>
        <w:tc>
          <w:tcPr>
            <w:tcW w:w="7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10,663</w:t>
            </w:r>
          </w:p>
        </w:tc>
        <w:tc>
          <w:tcPr>
            <w:tcW w:w="1580" w:type="dxa"/>
            <w:vAlign w:val="bottom"/>
          </w:tcPr>
          <w:p>
            <w:pPr>
              <w:spacing w:after="0"/>
              <w:rPr>
                <w:sz w:val="24"/>
                <w:szCs w:val="24"/>
                <w:color w:val="auto"/>
              </w:rPr>
            </w:pPr>
          </w:p>
        </w:tc>
      </w:tr>
      <w:tr>
        <w:trPr>
          <w:trHeight w:val="257"/>
        </w:trPr>
        <w:tc>
          <w:tcPr>
            <w:tcW w:w="1600" w:type="dxa"/>
            <w:vAlign w:val="bottom"/>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580" w:type="dxa"/>
            <w:vAlign w:val="bottom"/>
          </w:tcPr>
          <w:p>
            <w:pPr>
              <w:spacing w:after="0"/>
              <w:rPr>
                <w:sz w:val="22"/>
                <w:szCs w:val="22"/>
                <w:color w:val="auto"/>
              </w:rPr>
            </w:pPr>
          </w:p>
        </w:tc>
      </w:tr>
      <w:tr>
        <w:trPr>
          <w:trHeight w:val="270"/>
        </w:trPr>
        <w:tc>
          <w:tcPr>
            <w:tcW w:w="160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debt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1600" w:type="dxa"/>
            <w:vAlign w:val="bottom"/>
          </w:tcPr>
          <w:p>
            <w:pPr>
              <w:spacing w:after="0"/>
              <w:rPr>
                <w:sz w:val="23"/>
                <w:szCs w:val="23"/>
                <w:color w:val="auto"/>
              </w:rPr>
            </w:pPr>
          </w:p>
        </w:tc>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1580" w:type="dxa"/>
            <w:vAlign w:val="bottom"/>
          </w:tcPr>
          <w:p>
            <w:pPr>
              <w:spacing w:after="0"/>
              <w:rPr>
                <w:sz w:val="23"/>
                <w:szCs w:val="23"/>
                <w:color w:val="auto"/>
              </w:rPr>
            </w:pPr>
          </w:p>
        </w:tc>
      </w:tr>
      <w:tr>
        <w:trPr>
          <w:trHeight w:val="237"/>
        </w:trPr>
        <w:tc>
          <w:tcPr>
            <w:tcW w:w="1600" w:type="dxa"/>
            <w:vAlign w:val="bottom"/>
          </w:tcPr>
          <w:p>
            <w:pPr>
              <w:spacing w:after="0"/>
              <w:rPr>
                <w:sz w:val="20"/>
                <w:szCs w:val="20"/>
                <w:color w:val="auto"/>
              </w:rPr>
            </w:pPr>
          </w:p>
        </w:tc>
        <w:tc>
          <w:tcPr>
            <w:tcW w:w="5040" w:type="dxa"/>
            <w:vAlign w:val="bottom"/>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3,913</w:t>
            </w:r>
          </w:p>
        </w:tc>
        <w:tc>
          <w:tcPr>
            <w:tcW w:w="7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3,250</w:t>
            </w:r>
          </w:p>
        </w:tc>
        <w:tc>
          <w:tcPr>
            <w:tcW w:w="158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1600" w:type="dxa"/>
            <w:vAlign w:val="bottom"/>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580" w:type="dxa"/>
            <w:vAlign w:val="bottom"/>
          </w:tcPr>
          <w:p>
            <w:pPr>
              <w:spacing w:after="0"/>
              <w:rPr>
                <w:sz w:val="22"/>
                <w:szCs w:val="22"/>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8,517</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5,217</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580" w:type="dxa"/>
            <w:vAlign w:val="bottom"/>
          </w:tcPr>
          <w:p>
            <w:pPr>
              <w:spacing w:after="0"/>
              <w:rPr>
                <w:sz w:val="21"/>
                <w:szCs w:val="21"/>
                <w:color w:val="auto"/>
              </w:rPr>
            </w:pPr>
          </w:p>
        </w:tc>
      </w:tr>
      <w:tr>
        <w:trPr>
          <w:trHeight w:val="270"/>
        </w:trPr>
        <w:tc>
          <w:tcPr>
            <w:tcW w:w="160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Crown Holdings shareholders' equity</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937</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601</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1600" w:type="dxa"/>
            <w:vAlign w:val="bottom"/>
          </w:tcPr>
          <w:p>
            <w:pPr>
              <w:spacing w:after="0"/>
              <w:rPr>
                <w:sz w:val="22"/>
                <w:szCs w:val="22"/>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580" w:type="dxa"/>
            <w:vAlign w:val="bottom"/>
          </w:tcPr>
          <w:p>
            <w:pPr>
              <w:spacing w:after="0"/>
              <w:rPr>
                <w:sz w:val="22"/>
                <w:szCs w:val="22"/>
                <w:color w:val="auto"/>
              </w:rPr>
            </w:pPr>
          </w:p>
        </w:tc>
      </w:tr>
      <w:tr>
        <w:trPr>
          <w:trHeight w:val="257"/>
        </w:trPr>
        <w:tc>
          <w:tcPr>
            <w:tcW w:w="1600" w:type="dxa"/>
            <w:vAlign w:val="bottom"/>
          </w:tcPr>
          <w:p>
            <w:pPr>
              <w:spacing w:after="0"/>
              <w:rPr>
                <w:sz w:val="22"/>
                <w:szCs w:val="22"/>
                <w:color w:val="auto"/>
              </w:rPr>
            </w:pPr>
          </w:p>
        </w:tc>
        <w:tc>
          <w:tcPr>
            <w:tcW w:w="504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15,262</w:t>
            </w:r>
          </w:p>
        </w:tc>
        <w:tc>
          <w:tcPr>
            <w:tcW w:w="7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10,663</w:t>
            </w:r>
          </w:p>
        </w:tc>
        <w:tc>
          <w:tcPr>
            <w:tcW w:w="1580" w:type="dxa"/>
            <w:vAlign w:val="bottom"/>
          </w:tcPr>
          <w:p>
            <w:pPr>
              <w:spacing w:after="0"/>
              <w:rPr>
                <w:sz w:val="22"/>
                <w:szCs w:val="22"/>
                <w:color w:val="auto"/>
              </w:rPr>
            </w:pPr>
          </w:p>
        </w:tc>
      </w:tr>
      <w:tr>
        <w:trPr>
          <w:trHeight w:val="20"/>
        </w:trPr>
        <w:tc>
          <w:tcPr>
            <w:tcW w:w="16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534"/>
        </w:trPr>
        <w:tc>
          <w:tcPr>
            <w:tcW w:w="16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8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8 of 11</w:t>
      </w:r>
    </w:p>
    <w:p>
      <w:pPr>
        <w:sectPr>
          <w:pgSz w:w="11900" w:h="16838" w:orient="portrait"/>
          <w:cols w:equalWidth="0" w:num="1">
            <w:col w:w="11420"/>
          </w:cols>
          <w:pgMar w:left="240" w:top="852" w:right="239" w:bottom="1440" w:gutter="0" w:footer="0" w:header="0"/>
          <w:type w:val="continuous"/>
        </w:sectPr>
      </w:pPr>
    </w:p>
    <w:bookmarkStart w:id="13" w:name="page14"/>
    <w:bookmarkEnd w:id="13"/>
    <w:p>
      <w:pPr>
        <w:spacing w:after="0" w:line="42" w:lineRule="exact"/>
        <w:rPr>
          <w:sz w:val="20"/>
          <w:szCs w:val="20"/>
          <w:color w:val="auto"/>
        </w:rPr>
      </w:pPr>
    </w:p>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 (Condensed &amp;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2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7"/>
                <w:szCs w:val="17"/>
                <w:b w:val="1"/>
                <w:bCs w:val="1"/>
                <w:color w:val="auto"/>
              </w:rPr>
              <w:t>Year ended December 31,</w:t>
            </w:r>
          </w:p>
        </w:tc>
        <w:tc>
          <w:tcPr>
            <w:tcW w:w="260" w:type="dxa"/>
            <w:vAlign w:val="bottom"/>
          </w:tcPr>
          <w:p>
            <w:pPr>
              <w:spacing w:after="0"/>
              <w:rPr>
                <w:sz w:val="19"/>
                <w:szCs w:val="19"/>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2018</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5"/>
              <w:spacing w:after="0"/>
              <w:rPr>
                <w:sz w:val="20"/>
                <w:szCs w:val="20"/>
                <w:color w:val="auto"/>
              </w:rPr>
            </w:pPr>
            <w:r>
              <w:rPr>
                <w:rFonts w:ascii="Arial" w:cs="Arial" w:eastAsia="Arial" w:hAnsi="Arial"/>
                <w:sz w:val="17"/>
                <w:szCs w:val="17"/>
                <w:b w:val="1"/>
                <w:bCs w:val="1"/>
                <w:color w:val="auto"/>
              </w:rPr>
              <w:t>2017</w:t>
            </w:r>
          </w:p>
        </w:tc>
        <w:tc>
          <w:tcPr>
            <w:tcW w:w="2020" w:type="dxa"/>
            <w:vAlign w:val="bottom"/>
          </w:tcPr>
          <w:p>
            <w:pPr>
              <w:spacing w:after="0"/>
              <w:rPr>
                <w:sz w:val="19"/>
                <w:szCs w:val="19"/>
                <w:color w:val="auto"/>
              </w:rPr>
            </w:pPr>
          </w:p>
        </w:tc>
      </w:tr>
      <w:tr>
        <w:trPr>
          <w:trHeight w:val="31"/>
        </w:trPr>
        <w:tc>
          <w:tcPr>
            <w:tcW w:w="2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169"/>
        </w:trPr>
        <w:tc>
          <w:tcPr>
            <w:tcW w:w="20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50"/>
        </w:trPr>
        <w:tc>
          <w:tcPr>
            <w:tcW w:w="20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7"/>
                <w:szCs w:val="17"/>
                <w:color w:val="auto"/>
              </w:rPr>
              <w:t>Net income</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528</w:t>
            </w:r>
          </w:p>
        </w:tc>
        <w:tc>
          <w:tcPr>
            <w:tcW w:w="36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428</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425</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7"/>
                <w:szCs w:val="17"/>
                <w:color w:val="auto"/>
              </w:rPr>
              <w:t>Restructuring and other</w:t>
            </w: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44</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51</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Pension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7"/>
                <w:szCs w:val="17"/>
                <w:color w:val="auto"/>
              </w:rPr>
              <w:t>Pension contributions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(294)</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7"/>
                <w:szCs w:val="17"/>
                <w:color w:val="auto"/>
              </w:rPr>
              <w:t>Income taxes</w:t>
            </w: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35</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247</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2020" w:type="dxa"/>
            <w:vAlign w:val="bottom"/>
          </w:tcPr>
          <w:p>
            <w:pPr>
              <w:spacing w:after="0"/>
              <w:rPr>
                <w:sz w:val="23"/>
                <w:szCs w:val="23"/>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Working capital changes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(513)</w:t>
            </w: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(965)</w:t>
            </w:r>
          </w:p>
        </w:tc>
        <w:tc>
          <w:tcPr>
            <w:tcW w:w="2020" w:type="dxa"/>
            <w:vAlign w:val="bottom"/>
          </w:tcPr>
          <w:p>
            <w:pPr>
              <w:spacing w:after="0"/>
              <w:rPr>
                <w:sz w:val="23"/>
                <w:szCs w:val="23"/>
                <w:color w:val="auto"/>
              </w:rPr>
            </w:pPr>
          </w:p>
        </w:tc>
      </w:tr>
      <w:tr>
        <w:trPr>
          <w:trHeight w:val="250"/>
        </w:trPr>
        <w:tc>
          <w:tcPr>
            <w:tcW w:w="2020" w:type="dxa"/>
            <w:vAlign w:val="bottom"/>
          </w:tcPr>
          <w:p>
            <w:pPr>
              <w:spacing w:after="0"/>
              <w:rPr>
                <w:sz w:val="21"/>
                <w:szCs w:val="21"/>
                <w:color w:val="auto"/>
              </w:rPr>
            </w:pPr>
          </w:p>
        </w:tc>
        <w:tc>
          <w:tcPr>
            <w:tcW w:w="4760" w:type="dxa"/>
            <w:vAlign w:val="bottom"/>
            <w:tcBorders>
              <w:bottom w:val="single" w:sz="8" w:color="CCEEFF"/>
            </w:tcBorders>
          </w:tcPr>
          <w:p>
            <w:pPr>
              <w:ind w:left="460"/>
              <w:spacing w:after="0" w:line="250" w:lineRule="exact"/>
              <w:rPr>
                <w:sz w:val="20"/>
                <w:szCs w:val="20"/>
                <w:color w:val="auto"/>
              </w:rPr>
            </w:pPr>
            <w:r>
              <w:rPr>
                <w:rFonts w:ascii="Arial" w:cs="Arial" w:eastAsia="Arial" w:hAnsi="Arial"/>
                <w:sz w:val="17"/>
                <w:szCs w:val="17"/>
                <w:b w:val="1"/>
                <w:bCs w:val="1"/>
                <w:color w:val="auto"/>
                <w:w w:val="96"/>
              </w:rPr>
              <w:t xml:space="preserve">Net cash provided by/(used for) operating activities </w:t>
            </w:r>
            <w:r>
              <w:rPr>
                <w:rFonts w:ascii="Arial" w:cs="Arial" w:eastAsia="Arial" w:hAnsi="Arial"/>
                <w:sz w:val="28"/>
                <w:szCs w:val="28"/>
                <w:b w:val="1"/>
                <w:bCs w:val="1"/>
                <w:color w:val="auto"/>
                <w:w w:val="96"/>
                <w:vertAlign w:val="superscript"/>
              </w:rPr>
              <w:t>(1)</w:t>
            </w: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571</w:t>
            </w:r>
          </w:p>
        </w:tc>
        <w:tc>
          <w:tcPr>
            <w:tcW w:w="3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(250)</w:t>
            </w:r>
          </w:p>
        </w:tc>
        <w:tc>
          <w:tcPr>
            <w:tcW w:w="2020" w:type="dxa"/>
            <w:vAlign w:val="bottom"/>
          </w:tcPr>
          <w:p>
            <w:pPr>
              <w:spacing w:after="0"/>
              <w:rPr>
                <w:sz w:val="21"/>
                <w:szCs w:val="21"/>
                <w:color w:val="auto"/>
              </w:rPr>
            </w:pPr>
          </w:p>
        </w:tc>
      </w:tr>
      <w:tr>
        <w:trPr>
          <w:trHeight w:val="169"/>
        </w:trPr>
        <w:tc>
          <w:tcPr>
            <w:tcW w:w="2020" w:type="dxa"/>
            <w:vAlign w:val="bottom"/>
          </w:tcPr>
          <w:p>
            <w:pPr>
              <w:spacing w:after="0"/>
              <w:rPr>
                <w:sz w:val="14"/>
                <w:szCs w:val="14"/>
                <w:color w:val="auto"/>
              </w:rPr>
            </w:pPr>
          </w:p>
        </w:tc>
        <w:tc>
          <w:tcPr>
            <w:tcW w:w="4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20" w:type="dxa"/>
            <w:vAlign w:val="bottom"/>
          </w:tcPr>
          <w:p>
            <w:pPr>
              <w:spacing w:after="0"/>
              <w:rPr>
                <w:sz w:val="14"/>
                <w:szCs w:val="14"/>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7"/>
                <w:szCs w:val="17"/>
                <w:color w:val="auto"/>
              </w:rPr>
              <w:t>Beneficial interest in transferred receivables</w:t>
            </w: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490</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1,010</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Acquisition of business,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(3,912)</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7"/>
                <w:szCs w:val="17"/>
                <w:color w:val="auto"/>
              </w:rPr>
              <w:t>Proceeds from sale of assets</w:t>
            </w: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36</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2020" w:type="dxa"/>
            <w:vAlign w:val="bottom"/>
          </w:tcPr>
          <w:p>
            <w:pPr>
              <w:spacing w:after="0"/>
              <w:rPr>
                <w:sz w:val="23"/>
                <w:szCs w:val="23"/>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w:t>
            </w: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020" w:type="dxa"/>
            <w:vAlign w:val="bottom"/>
          </w:tcPr>
          <w:p>
            <w:pPr>
              <w:spacing w:after="0"/>
              <w:rPr>
                <w:sz w:val="23"/>
                <w:szCs w:val="23"/>
                <w:color w:val="auto"/>
              </w:rPr>
            </w:pPr>
          </w:p>
        </w:tc>
      </w:tr>
      <w:tr>
        <w:trPr>
          <w:trHeight w:val="219"/>
        </w:trPr>
        <w:tc>
          <w:tcPr>
            <w:tcW w:w="2020" w:type="dxa"/>
            <w:vAlign w:val="bottom"/>
          </w:tcPr>
          <w:p>
            <w:pPr>
              <w:spacing w:after="0"/>
              <w:rPr>
                <w:sz w:val="19"/>
                <w:szCs w:val="19"/>
                <w:color w:val="auto"/>
              </w:rPr>
            </w:pPr>
          </w:p>
        </w:tc>
        <w:tc>
          <w:tcPr>
            <w:tcW w:w="4760" w:type="dxa"/>
            <w:vAlign w:val="bottom"/>
          </w:tcPr>
          <w:p>
            <w:pPr>
              <w:ind w:left="460"/>
              <w:spacing w:after="0"/>
              <w:rPr>
                <w:sz w:val="20"/>
                <w:szCs w:val="20"/>
                <w:color w:val="auto"/>
              </w:rPr>
            </w:pPr>
            <w:r>
              <w:rPr>
                <w:rFonts w:ascii="Arial" w:cs="Arial" w:eastAsia="Arial" w:hAnsi="Arial"/>
                <w:sz w:val="17"/>
                <w:szCs w:val="17"/>
                <w:b w:val="1"/>
                <w:bCs w:val="1"/>
                <w:color w:val="auto"/>
              </w:rPr>
              <w:t>Net cash provided by/(used for) investing activities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(3,843)</w:t>
            </w: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495</w:t>
            </w:r>
          </w:p>
        </w:tc>
        <w:tc>
          <w:tcPr>
            <w:tcW w:w="2020" w:type="dxa"/>
            <w:vAlign w:val="bottom"/>
          </w:tcPr>
          <w:p>
            <w:pPr>
              <w:spacing w:after="0"/>
              <w:rPr>
                <w:sz w:val="19"/>
                <w:szCs w:val="19"/>
                <w:color w:val="auto"/>
              </w:rPr>
            </w:pPr>
          </w:p>
        </w:tc>
      </w:tr>
      <w:tr>
        <w:trPr>
          <w:trHeight w:val="31"/>
        </w:trPr>
        <w:tc>
          <w:tcPr>
            <w:tcW w:w="2020" w:type="dxa"/>
            <w:vAlign w:val="bottom"/>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169"/>
        </w:trPr>
        <w:tc>
          <w:tcPr>
            <w:tcW w:w="2020" w:type="dxa"/>
            <w:vAlign w:val="bottom"/>
          </w:tcPr>
          <w:p>
            <w:pPr>
              <w:spacing w:after="0"/>
              <w:rPr>
                <w:sz w:val="14"/>
                <w:szCs w:val="14"/>
                <w:color w:val="auto"/>
              </w:rPr>
            </w:pPr>
          </w:p>
        </w:tc>
        <w:tc>
          <w:tcPr>
            <w:tcW w:w="4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20" w:type="dxa"/>
            <w:vAlign w:val="bottom"/>
          </w:tcPr>
          <w:p>
            <w:pPr>
              <w:spacing w:after="0"/>
              <w:rPr>
                <w:sz w:val="14"/>
                <w:szCs w:val="14"/>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change in debt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3,680</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7"/>
                <w:szCs w:val="17"/>
                <w:color w:val="auto"/>
              </w:rPr>
              <w:t>Dividends paid to noncontrolling interests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(93)</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Common stock repurchased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7"/>
                <w:szCs w:val="17"/>
                <w:color w:val="auto"/>
              </w:rPr>
              <w:t>Debt issue costs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2020" w:type="dxa"/>
            <w:vAlign w:val="bottom"/>
          </w:tcPr>
          <w:p>
            <w:pPr>
              <w:spacing w:after="0"/>
              <w:rPr>
                <w:sz w:val="23"/>
                <w:szCs w:val="23"/>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020" w:type="dxa"/>
            <w:vAlign w:val="bottom"/>
          </w:tcPr>
          <w:p>
            <w:pPr>
              <w:spacing w:after="0"/>
              <w:rPr>
                <w:sz w:val="23"/>
                <w:szCs w:val="23"/>
                <w:color w:val="auto"/>
              </w:rPr>
            </w:pPr>
          </w:p>
        </w:tc>
      </w:tr>
      <w:tr>
        <w:trPr>
          <w:trHeight w:val="219"/>
        </w:trPr>
        <w:tc>
          <w:tcPr>
            <w:tcW w:w="2020" w:type="dxa"/>
            <w:vAlign w:val="bottom"/>
          </w:tcPr>
          <w:p>
            <w:pPr>
              <w:spacing w:after="0"/>
              <w:rPr>
                <w:sz w:val="19"/>
                <w:szCs w:val="19"/>
                <w:color w:val="auto"/>
              </w:rPr>
            </w:pPr>
          </w:p>
        </w:tc>
        <w:tc>
          <w:tcPr>
            <w:tcW w:w="4760" w:type="dxa"/>
            <w:vAlign w:val="bottom"/>
          </w:tcPr>
          <w:p>
            <w:pPr>
              <w:ind w:left="460"/>
              <w:spacing w:after="0"/>
              <w:rPr>
                <w:sz w:val="20"/>
                <w:szCs w:val="20"/>
                <w:color w:val="auto"/>
              </w:rPr>
            </w:pPr>
            <w:r>
              <w:rPr>
                <w:rFonts w:ascii="Arial" w:cs="Arial" w:eastAsia="Arial" w:hAnsi="Arial"/>
                <w:sz w:val="17"/>
                <w:szCs w:val="17"/>
                <w:b w:val="1"/>
                <w:bCs w:val="1"/>
                <w:color w:val="auto"/>
              </w:rPr>
              <w:t>Net cash provided by/(used for) financing activities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3,533</w:t>
            </w: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(400)</w:t>
            </w:r>
          </w:p>
        </w:tc>
        <w:tc>
          <w:tcPr>
            <w:tcW w:w="2020" w:type="dxa"/>
            <w:vAlign w:val="bottom"/>
          </w:tcPr>
          <w:p>
            <w:pPr>
              <w:spacing w:after="0"/>
              <w:rPr>
                <w:sz w:val="19"/>
                <w:szCs w:val="19"/>
                <w:color w:val="auto"/>
              </w:rPr>
            </w:pPr>
          </w:p>
        </w:tc>
      </w:tr>
      <w:tr>
        <w:trPr>
          <w:trHeight w:val="31"/>
        </w:trPr>
        <w:tc>
          <w:tcPr>
            <w:tcW w:w="2020" w:type="dxa"/>
            <w:vAlign w:val="bottom"/>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169"/>
        </w:trPr>
        <w:tc>
          <w:tcPr>
            <w:tcW w:w="2020" w:type="dxa"/>
            <w:vAlign w:val="bottom"/>
          </w:tcPr>
          <w:p>
            <w:pPr>
              <w:spacing w:after="0"/>
              <w:rPr>
                <w:sz w:val="14"/>
                <w:szCs w:val="14"/>
                <w:color w:val="auto"/>
              </w:rPr>
            </w:pPr>
          </w:p>
        </w:tc>
        <w:tc>
          <w:tcPr>
            <w:tcW w:w="4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20" w:type="dxa"/>
            <w:vAlign w:val="bottom"/>
          </w:tcPr>
          <w:p>
            <w:pPr>
              <w:spacing w:after="0"/>
              <w:rPr>
                <w:sz w:val="14"/>
                <w:szCs w:val="14"/>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7"/>
                <w:szCs w:val="17"/>
                <w:color w:val="auto"/>
                <w:w w:val="99"/>
              </w:rPr>
              <w:t>Effect of exchange rate changes on cash and cash equivalents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7"/>
                <w:szCs w:val="17"/>
                <w:color w:val="auto"/>
              </w:rPr>
              <w:t>Net change in cash and cash equivalents</w:t>
            </w: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224</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(141)</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2020" w:type="dxa"/>
            <w:vAlign w:val="bottom"/>
          </w:tcPr>
          <w:p>
            <w:pPr>
              <w:spacing w:after="0"/>
              <w:rPr>
                <w:sz w:val="23"/>
                <w:szCs w:val="23"/>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at January 1</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435</w:t>
            </w: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576</w:t>
            </w:r>
          </w:p>
        </w:tc>
        <w:tc>
          <w:tcPr>
            <w:tcW w:w="2020" w:type="dxa"/>
            <w:vAlign w:val="bottom"/>
          </w:tcPr>
          <w:p>
            <w:pPr>
              <w:spacing w:after="0"/>
              <w:rPr>
                <w:sz w:val="23"/>
                <w:szCs w:val="23"/>
                <w:color w:val="auto"/>
              </w:rPr>
            </w:pPr>
          </w:p>
        </w:tc>
      </w:tr>
      <w:tr>
        <w:trPr>
          <w:trHeight w:val="250"/>
        </w:trPr>
        <w:tc>
          <w:tcPr>
            <w:tcW w:w="20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20" w:type="dxa"/>
            <w:vAlign w:val="bottom"/>
          </w:tcPr>
          <w:p>
            <w:pPr>
              <w:spacing w:after="0"/>
              <w:rPr>
                <w:sz w:val="21"/>
                <w:szCs w:val="21"/>
                <w:color w:val="auto"/>
              </w:rPr>
            </w:pPr>
          </w:p>
        </w:tc>
      </w:tr>
      <w:tr>
        <w:trPr>
          <w:trHeight w:val="257"/>
        </w:trPr>
        <w:tc>
          <w:tcPr>
            <w:tcW w:w="2020" w:type="dxa"/>
            <w:vAlign w:val="bottom"/>
          </w:tcPr>
          <w:p>
            <w:pPr>
              <w:spacing w:after="0"/>
              <w:rPr>
                <w:sz w:val="22"/>
                <w:szCs w:val="22"/>
                <w:color w:val="auto"/>
              </w:rPr>
            </w:pPr>
          </w:p>
        </w:tc>
        <w:tc>
          <w:tcPr>
            <w:tcW w:w="4760" w:type="dxa"/>
            <w:vAlign w:val="bottom"/>
            <w:tcBorders>
              <w:bottom w:val="single" w:sz="8" w:color="CCEEFF"/>
            </w:tcBorders>
            <w:shd w:val="clear" w:color="auto" w:fill="CCEEFF"/>
          </w:tcPr>
          <w:p>
            <w:pPr>
              <w:ind w:left="20"/>
              <w:spacing w:after="0" w:line="257" w:lineRule="exact"/>
              <w:rPr>
                <w:sz w:val="20"/>
                <w:szCs w:val="20"/>
                <w:color w:val="auto"/>
              </w:rPr>
            </w:pPr>
            <w:r>
              <w:rPr>
                <w:rFonts w:ascii="Arial" w:cs="Arial" w:eastAsia="Arial" w:hAnsi="Arial"/>
                <w:sz w:val="17"/>
                <w:szCs w:val="17"/>
                <w:b w:val="1"/>
                <w:bCs w:val="1"/>
                <w:color w:val="auto"/>
              </w:rPr>
              <w:t xml:space="preserve">Cash and cash equivalents at December 31 </w:t>
            </w:r>
            <w:r>
              <w:rPr>
                <w:rFonts w:ascii="Arial" w:cs="Arial" w:eastAsia="Arial" w:hAnsi="Arial"/>
                <w:sz w:val="28"/>
                <w:szCs w:val="28"/>
                <w:b w:val="1"/>
                <w:bCs w:val="1"/>
                <w:color w:val="auto"/>
                <w:vertAlign w:val="superscript"/>
              </w:rPr>
              <w:t>(2)</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659</w:t>
            </w: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435</w:t>
            </w:r>
          </w:p>
        </w:tc>
        <w:tc>
          <w:tcPr>
            <w:tcW w:w="2020" w:type="dxa"/>
            <w:vAlign w:val="bottom"/>
          </w:tcPr>
          <w:p>
            <w:pPr>
              <w:spacing w:after="0"/>
              <w:rPr>
                <w:sz w:val="22"/>
                <w:szCs w:val="22"/>
                <w:color w:val="auto"/>
              </w:rPr>
            </w:pPr>
          </w:p>
        </w:tc>
      </w:tr>
      <w:tr>
        <w:trPr>
          <w:trHeight w:val="20"/>
        </w:trPr>
        <w:tc>
          <w:tcPr>
            <w:tcW w:w="20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96"/>
        </w:trPr>
        <w:tc>
          <w:tcPr>
            <w:tcW w:w="2020" w:type="dxa"/>
            <w:vAlign w:val="bottom"/>
            <w:tcBorders>
              <w:bottom w:val="single" w:sz="8" w:color="9A9A9A"/>
            </w:tcBorders>
          </w:tcPr>
          <w:p>
            <w:pPr>
              <w:spacing w:after="0"/>
              <w:rPr>
                <w:sz w:val="8"/>
                <w:szCs w:val="8"/>
                <w:color w:val="auto"/>
              </w:rPr>
            </w:pPr>
          </w:p>
        </w:tc>
        <w:tc>
          <w:tcPr>
            <w:tcW w:w="47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14" w:lineRule="exact"/>
        <w:rPr>
          <w:sz w:val="20"/>
          <w:szCs w:val="20"/>
          <w:color w:val="auto"/>
        </w:rPr>
      </w:pPr>
    </w:p>
    <w:p>
      <w:pPr>
        <w:ind w:left="400" w:right="60" w:hanging="324"/>
        <w:spacing w:after="0" w:line="263"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3"/>
          <w:szCs w:val="13"/>
          <w:color w:val="auto"/>
        </w:rPr>
        <w:t>Adjusted free cash flow is defined by the Company as net cash from operating activities plus beneficial interest in transferred receivables less capital expenditures and certain other items. A reconciliation from net cash used for operating activities to adjusted free cash flow for the three months and full year ended December 31, 2018 and 2017 follows.</w:t>
      </w:r>
    </w:p>
    <w:p>
      <w:pPr>
        <w:ind w:left="400" w:hanging="324"/>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3"/>
          <w:szCs w:val="13"/>
          <w:color w:val="auto"/>
        </w:rPr>
        <w:t>Cash and cash equivalents includes $52 and $11 of restricted cash at December 31, 2018 and 2017.</w:t>
      </w:r>
    </w:p>
    <w:p>
      <w:pPr>
        <w:spacing w:after="0" w:line="181" w:lineRule="exact"/>
        <w:rPr>
          <w:sz w:val="20"/>
          <w:szCs w:val="20"/>
          <w:color w:val="auto"/>
        </w:rPr>
      </w:pPr>
    </w:p>
    <w:tbl>
      <w:tblPr>
        <w:tblLayout w:type="fixed"/>
        <w:tblInd w:w="1660" w:type="dxa"/>
        <w:tblCellMar>
          <w:top w:w="0" w:type="dxa"/>
          <w:left w:w="0" w:type="dxa"/>
          <w:bottom w:w="0" w:type="dxa"/>
          <w:right w:w="0" w:type="dxa"/>
        </w:tblCellMar>
      </w:tblPr>
      <w:tr>
        <w:trPr>
          <w:trHeight w:val="222"/>
        </w:trPr>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5"/>
          </w:tcPr>
          <w:p>
            <w:pPr>
              <w:jc w:val="center"/>
              <w:ind w:right="600"/>
              <w:spacing w:after="0"/>
              <w:rPr>
                <w:sz w:val="20"/>
                <w:szCs w:val="20"/>
                <w:color w:val="auto"/>
              </w:rPr>
            </w:pPr>
            <w:r>
              <w:rPr>
                <w:rFonts w:ascii="Arial" w:cs="Arial" w:eastAsia="Arial" w:hAnsi="Arial"/>
                <w:sz w:val="17"/>
                <w:szCs w:val="17"/>
                <w:b w:val="1"/>
                <w:bCs w:val="1"/>
                <w:color w:val="auto"/>
                <w:w w:val="91"/>
              </w:rPr>
              <w:t>Three Months Ended</w:t>
            </w:r>
          </w:p>
        </w:tc>
        <w:tc>
          <w:tcPr>
            <w:tcW w:w="2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7"/>
                <w:szCs w:val="17"/>
                <w:b w:val="1"/>
                <w:bCs w:val="1"/>
                <w:color w:val="auto"/>
              </w:rPr>
              <w:t>Year Ended</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40" w:type="dxa"/>
            <w:vAlign w:val="bottom"/>
            <w:gridSpan w:val="5"/>
          </w:tcPr>
          <w:p>
            <w:pPr>
              <w:jc w:val="center"/>
              <w:ind w:right="580"/>
              <w:spacing w:after="0"/>
              <w:rPr>
                <w:sz w:val="20"/>
                <w:szCs w:val="20"/>
                <w:color w:val="auto"/>
              </w:rPr>
            </w:pPr>
            <w:r>
              <w:rPr>
                <w:rFonts w:ascii="Arial" w:cs="Arial" w:eastAsia="Arial" w:hAnsi="Arial"/>
                <w:sz w:val="17"/>
                <w:szCs w:val="17"/>
                <w:b w:val="1"/>
                <w:bCs w:val="1"/>
                <w:color w:val="auto"/>
                <w:w w:val="90"/>
              </w:rPr>
              <w:t>December 31,</w:t>
            </w:r>
          </w:p>
        </w:tc>
        <w:tc>
          <w:tcPr>
            <w:tcW w:w="220" w:type="dxa"/>
            <w:vAlign w:val="bottom"/>
          </w:tcPr>
          <w:p>
            <w:pPr>
              <w:spacing w:after="0"/>
              <w:rPr>
                <w:sz w:val="23"/>
                <w:szCs w:val="23"/>
                <w:color w:val="auto"/>
              </w:rPr>
            </w:pPr>
          </w:p>
        </w:tc>
        <w:tc>
          <w:tcPr>
            <w:tcW w:w="2080" w:type="dxa"/>
            <w:vAlign w:val="bottom"/>
            <w:gridSpan w:val="4"/>
          </w:tcPr>
          <w:p>
            <w:pPr>
              <w:jc w:val="right"/>
              <w:ind w:right="554"/>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54"/>
              <w:spacing w:after="0"/>
              <w:rPr>
                <w:sz w:val="20"/>
                <w:szCs w:val="20"/>
                <w:color w:val="auto"/>
              </w:rPr>
            </w:pPr>
            <w:r>
              <w:rPr>
                <w:rFonts w:ascii="Arial" w:cs="Arial" w:eastAsia="Arial" w:hAnsi="Arial"/>
                <w:sz w:val="17"/>
                <w:szCs w:val="17"/>
                <w:b w:val="1"/>
                <w:bCs w:val="1"/>
                <w:color w:val="auto"/>
              </w:rPr>
              <w:t>2018</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54"/>
              <w:spacing w:after="0"/>
              <w:rPr>
                <w:sz w:val="20"/>
                <w:szCs w:val="20"/>
                <w:color w:val="auto"/>
              </w:rPr>
            </w:pPr>
            <w:r>
              <w:rPr>
                <w:rFonts w:ascii="Arial" w:cs="Arial" w:eastAsia="Arial" w:hAnsi="Arial"/>
                <w:sz w:val="17"/>
                <w:szCs w:val="17"/>
                <w:b w:val="1"/>
                <w:bCs w:val="1"/>
                <w:color w:val="auto"/>
              </w:rPr>
              <w:t>2017</w:t>
            </w: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54"/>
              <w:spacing w:after="0"/>
              <w:rPr>
                <w:sz w:val="20"/>
                <w:szCs w:val="20"/>
                <w:color w:val="auto"/>
              </w:rPr>
            </w:pPr>
            <w:r>
              <w:rPr>
                <w:rFonts w:ascii="Arial" w:cs="Arial" w:eastAsia="Arial" w:hAnsi="Arial"/>
                <w:sz w:val="17"/>
                <w:szCs w:val="17"/>
                <w:b w:val="1"/>
                <w:bCs w:val="1"/>
                <w:color w:val="auto"/>
              </w:rPr>
              <w:t>2018</w:t>
            </w: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ind w:right="234"/>
              <w:spacing w:after="0"/>
              <w:rPr>
                <w:sz w:val="20"/>
                <w:szCs w:val="20"/>
                <w:color w:val="auto"/>
              </w:rPr>
            </w:pPr>
            <w:r>
              <w:rPr>
                <w:rFonts w:ascii="Arial" w:cs="Arial" w:eastAsia="Arial" w:hAnsi="Arial"/>
                <w:sz w:val="17"/>
                <w:szCs w:val="17"/>
                <w:b w:val="1"/>
                <w:bCs w:val="1"/>
                <w:color w:val="auto"/>
                <w:w w:val="89"/>
              </w:rPr>
              <w:t>2017</w:t>
            </w:r>
          </w:p>
        </w:tc>
        <w:tc>
          <w:tcPr>
            <w:tcW w:w="0" w:type="dxa"/>
            <w:vAlign w:val="bottom"/>
          </w:tcPr>
          <w:p>
            <w:pPr>
              <w:spacing w:after="0"/>
              <w:rPr>
                <w:sz w:val="1"/>
                <w:szCs w:val="1"/>
                <w:color w:val="auto"/>
              </w:rPr>
            </w:pPr>
          </w:p>
        </w:tc>
      </w:tr>
      <w:tr>
        <w:trPr>
          <w:trHeight w:val="31"/>
        </w:trPr>
        <w:tc>
          <w:tcPr>
            <w:tcW w:w="3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from operating activities</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803</w:t>
            </w: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20</w:t>
            </w:r>
          </w:p>
        </w:tc>
        <w:tc>
          <w:tcPr>
            <w:tcW w:w="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571</w:t>
            </w:r>
          </w:p>
        </w:tc>
        <w:tc>
          <w:tcPr>
            <w:tcW w:w="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(250)</w:t>
            </w:r>
          </w:p>
        </w:tc>
        <w:tc>
          <w:tcPr>
            <w:tcW w:w="0" w:type="dxa"/>
            <w:vAlign w:val="bottom"/>
          </w:tcPr>
          <w:p>
            <w:pPr>
              <w:spacing w:after="0"/>
              <w:rPr>
                <w:sz w:val="1"/>
                <w:szCs w:val="1"/>
                <w:color w:val="auto"/>
              </w:rPr>
            </w:pPr>
          </w:p>
        </w:tc>
      </w:tr>
      <w:tr>
        <w:trPr>
          <w:trHeight w:val="212"/>
        </w:trPr>
        <w:tc>
          <w:tcPr>
            <w:tcW w:w="3200" w:type="dxa"/>
            <w:vAlign w:val="bottom"/>
          </w:tcPr>
          <w:p>
            <w:pPr>
              <w:ind w:left="40"/>
              <w:spacing w:after="0"/>
              <w:rPr>
                <w:sz w:val="20"/>
                <w:szCs w:val="20"/>
                <w:color w:val="auto"/>
              </w:rPr>
            </w:pPr>
            <w:r>
              <w:rPr>
                <w:rFonts w:ascii="Arial" w:cs="Arial" w:eastAsia="Arial" w:hAnsi="Arial"/>
                <w:sz w:val="17"/>
                <w:szCs w:val="17"/>
                <w:color w:val="auto"/>
                <w:w w:val="95"/>
              </w:rPr>
              <w:t>Beneficial interest in transferred receivables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jc w:val="right"/>
              <w:ind w:right="14"/>
              <w:spacing w:after="0"/>
              <w:rPr>
                <w:sz w:val="20"/>
                <w:szCs w:val="20"/>
                <w:color w:val="auto"/>
              </w:rPr>
            </w:pPr>
            <w:r>
              <w:rPr>
                <w:rFonts w:ascii="Arial" w:cs="Arial" w:eastAsia="Arial" w:hAnsi="Arial"/>
                <w:sz w:val="17"/>
                <w:szCs w:val="17"/>
                <w:color w:val="auto"/>
              </w:rPr>
              <w:t>252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restart"/>
          </w:tcPr>
          <w:p>
            <w:pPr>
              <w:jc w:val="right"/>
              <w:ind w:right="14"/>
              <w:spacing w:after="0"/>
              <w:rPr>
                <w:sz w:val="20"/>
                <w:szCs w:val="20"/>
                <w:color w:val="auto"/>
              </w:rPr>
            </w:pPr>
            <w:r>
              <w:rPr>
                <w:rFonts w:ascii="Arial" w:cs="Arial" w:eastAsia="Arial" w:hAnsi="Arial"/>
                <w:sz w:val="17"/>
                <w:szCs w:val="17"/>
                <w:color w:val="auto"/>
              </w:rPr>
              <w:t>490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vMerge w:val="restart"/>
          </w:tcPr>
          <w:p>
            <w:pPr>
              <w:jc w:val="right"/>
              <w:ind w:right="14"/>
              <w:spacing w:after="0"/>
              <w:rPr>
                <w:sz w:val="20"/>
                <w:szCs w:val="20"/>
                <w:color w:val="auto"/>
              </w:rPr>
            </w:pPr>
            <w:r>
              <w:rPr>
                <w:rFonts w:ascii="Arial" w:cs="Arial" w:eastAsia="Arial" w:hAnsi="Arial"/>
                <w:sz w:val="17"/>
                <w:szCs w:val="17"/>
                <w:color w:val="auto"/>
              </w:rPr>
              <w:t>1,010</w:t>
            </w:r>
          </w:p>
        </w:tc>
        <w:tc>
          <w:tcPr>
            <w:tcW w:w="0" w:type="dxa"/>
            <w:vAlign w:val="bottom"/>
          </w:tcPr>
          <w:p>
            <w:pPr>
              <w:spacing w:after="0"/>
              <w:rPr>
                <w:sz w:val="1"/>
                <w:szCs w:val="1"/>
                <w:color w:val="auto"/>
              </w:rPr>
            </w:pPr>
          </w:p>
        </w:tc>
      </w:tr>
      <w:tr>
        <w:trPr>
          <w:trHeight w:val="181"/>
        </w:trPr>
        <w:tc>
          <w:tcPr>
            <w:tcW w:w="3200" w:type="dxa"/>
            <w:vAlign w:val="bottom"/>
          </w:tcPr>
          <w:p>
            <w:pPr>
              <w:ind w:left="40"/>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7"/>
                <w:szCs w:val="17"/>
                <w:color w:val="auto"/>
              </w:rPr>
              <w:t xml:space="preserve">Pension prefunding </w:t>
            </w:r>
            <w:r>
              <w:rPr>
                <w:rFonts w:ascii="Arial" w:cs="Arial" w:eastAsia="Arial" w:hAnsi="Arial"/>
                <w:sz w:val="28"/>
                <w:szCs w:val="28"/>
                <w:color w:val="auto"/>
                <w:vertAlign w:val="superscript"/>
              </w:rPr>
              <w:t>(4)</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241</w:t>
            </w:r>
          </w:p>
        </w:tc>
        <w:tc>
          <w:tcPr>
            <w:tcW w:w="4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9"/>
        </w:trPr>
        <w:tc>
          <w:tcPr>
            <w:tcW w:w="3200" w:type="dxa"/>
            <w:vAlign w:val="bottom"/>
          </w:tcPr>
          <w:p>
            <w:pPr>
              <w:ind w:left="40"/>
              <w:spacing w:after="0"/>
              <w:rPr>
                <w:sz w:val="20"/>
                <w:szCs w:val="20"/>
                <w:color w:val="auto"/>
              </w:rPr>
            </w:pPr>
            <w:r>
              <w:rPr>
                <w:rFonts w:ascii="Arial" w:cs="Arial" w:eastAsia="Arial" w:hAnsi="Arial"/>
                <w:sz w:val="17"/>
                <w:szCs w:val="17"/>
                <w:color w:val="auto"/>
              </w:rPr>
              <w:t>Acquisition costs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22</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3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Adjusted cash from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803</w:t>
            </w: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513</w:t>
            </w:r>
          </w:p>
        </w:tc>
        <w:tc>
          <w:tcPr>
            <w:tcW w:w="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1,083</w:t>
            </w:r>
          </w:p>
        </w:tc>
        <w:tc>
          <w:tcPr>
            <w:tcW w:w="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1,001</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Interest included in investing activities </w:t>
            </w:r>
            <w:r>
              <w:rPr>
                <w:rFonts w:ascii="Arial" w:cs="Arial" w:eastAsia="Arial" w:hAnsi="Arial"/>
                <w:sz w:val="28"/>
                <w:szCs w:val="28"/>
                <w:color w:val="auto"/>
                <w:vertAlign w:val="superscript"/>
              </w:rPr>
              <w:t>(5)</w:t>
            </w:r>
          </w:p>
        </w:tc>
        <w:tc>
          <w:tcPr>
            <w:tcW w:w="220" w:type="dxa"/>
            <w:vAlign w:val="bottom"/>
          </w:tcPr>
          <w:p>
            <w:pPr>
              <w:spacing w:after="0"/>
              <w:rPr>
                <w:sz w:val="23"/>
                <w:szCs w:val="23"/>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Capital expenditures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4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3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44"/>
        </w:trPr>
        <w:tc>
          <w:tcPr>
            <w:tcW w:w="3200" w:type="dxa"/>
            <w:vAlign w:val="bottom"/>
          </w:tcPr>
          <w:p>
            <w:pPr>
              <w:ind w:left="40"/>
              <w:spacing w:after="0"/>
              <w:rPr>
                <w:sz w:val="20"/>
                <w:szCs w:val="20"/>
                <w:color w:val="auto"/>
              </w:rPr>
            </w:pPr>
            <w:r>
              <w:rPr>
                <w:rFonts w:ascii="Arial" w:cs="Arial" w:eastAsia="Arial" w:hAnsi="Arial"/>
                <w:sz w:val="17"/>
                <w:szCs w:val="17"/>
                <w:b w:val="1"/>
                <w:bCs w:val="1"/>
                <w:color w:val="auto"/>
              </w:rPr>
              <w:t>Adjusted free cash flow</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661</w:t>
            </w:r>
          </w:p>
        </w:tc>
        <w:tc>
          <w:tcPr>
            <w:tcW w:w="3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297</w:t>
            </w:r>
          </w:p>
        </w:tc>
        <w:tc>
          <w:tcPr>
            <w:tcW w:w="4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636</w:t>
            </w:r>
          </w:p>
        </w:tc>
        <w:tc>
          <w:tcPr>
            <w:tcW w:w="3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503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20" w:hanging="264"/>
        <w:spacing w:after="0" w:line="27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3"/>
          <w:szCs w:val="13"/>
          <w:color w:val="auto"/>
        </w:rPr>
        <w:t>Prior year cash flow has been restated to reflect new accounting guidance related to the classification of certain cash receipts associated with the Company’s receivable securitization programs. Certain receipts previously reported in cash from operations are now reported in cash from investing activities as “Beneficial interest in transferred receivables”.</w:t>
      </w:r>
    </w:p>
    <w:p>
      <w:pPr>
        <w:sectPr>
          <w:pgSz w:w="11900" w:h="16881" w:orient="portrait"/>
          <w:cols w:equalWidth="0" w:num="1">
            <w:col w:w="11420"/>
          </w:cols>
          <w:pgMar w:left="240" w:top="852" w:right="239" w:bottom="0" w:gutter="0" w:footer="0" w:header="0"/>
        </w:sectPr>
      </w:pPr>
    </w:p>
    <w:bookmarkStart w:id="14" w:name="page15"/>
    <w:bookmarkEnd w:id="14"/>
    <w:p>
      <w:pPr>
        <w:ind w:left="264" w:hanging="264"/>
        <w:spacing w:after="0" w:line="263" w:lineRule="auto"/>
        <w:tabs>
          <w:tab w:leader="none" w:pos="264" w:val="left"/>
        </w:tabs>
        <w:numPr>
          <w:ilvl w:val="0"/>
          <w:numId w:val="8"/>
        </w:numPr>
        <w:rPr>
          <w:rFonts w:ascii="Arial" w:cs="Arial" w:eastAsia="Arial" w:hAnsi="Arial"/>
          <w:sz w:val="18"/>
          <w:szCs w:val="18"/>
          <w:color w:val="auto"/>
        </w:rPr>
      </w:pPr>
      <w:r>
        <w:rPr>
          <w:rFonts w:ascii="Arial" w:cs="Arial" w:eastAsia="Arial" w:hAnsi="Arial"/>
          <w:sz w:val="13"/>
          <w:szCs w:val="13"/>
          <w:color w:val="auto"/>
        </w:rPr>
        <w:t>Net cash from operating activities for the three and twelve months ended December 31, 2017 includes the impact of a voluntary prefunding contribution to the Company’s U.K. defined benefit pension plan that will reduce future contributions that would otherwise be made.</w:t>
      </w:r>
    </w:p>
    <w:p>
      <w:pPr>
        <w:ind w:left="264" w:hanging="264"/>
        <w:spacing w:after="0"/>
        <w:tabs>
          <w:tab w:leader="none" w:pos="264" w:val="left"/>
        </w:tabs>
        <w:numPr>
          <w:ilvl w:val="0"/>
          <w:numId w:val="8"/>
        </w:numPr>
        <w:rPr>
          <w:rFonts w:ascii="Arial" w:cs="Arial" w:eastAsia="Arial" w:hAnsi="Arial"/>
          <w:sz w:val="18"/>
          <w:szCs w:val="18"/>
          <w:color w:val="auto"/>
        </w:rPr>
      </w:pPr>
      <w:r>
        <w:rPr>
          <w:rFonts w:ascii="Arial" w:cs="Arial" w:eastAsia="Arial" w:hAnsi="Arial"/>
          <w:sz w:val="13"/>
          <w:szCs w:val="13"/>
          <w:color w:val="auto"/>
        </w:rPr>
        <w:t>Interest benefit of cross-currency swap included in investing activities.</w:t>
      </w:r>
    </w:p>
    <w:p>
      <w:pPr>
        <w:spacing w:after="0" w:line="258"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Page 9 of 11</w:t>
      </w:r>
    </w:p>
    <w:p>
      <w:pPr>
        <w:sectPr>
          <w:pgSz w:w="11900" w:h="16838" w:orient="portrait"/>
          <w:cols w:equalWidth="0" w:num="1">
            <w:col w:w="11044"/>
          </w:cols>
          <w:pgMar w:left="316" w:top="166" w:right="539" w:bottom="1440" w:gutter="0" w:footer="0" w:header="0"/>
        </w:sectPr>
      </w:pPr>
    </w:p>
    <w:bookmarkStart w:id="15" w:name="page16"/>
    <w:bookmarkEnd w:id="15"/>
    <w:p>
      <w:pPr>
        <w:ind w:left="52"/>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5659755</wp:posOffset>
            </wp:positionH>
            <wp:positionV relativeFrom="paragraph">
              <wp:posOffset>-162560</wp:posOffset>
            </wp:positionV>
            <wp:extent cx="1551940" cy="4972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52"/>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52"/>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52"/>
        <w:spacing w:after="0"/>
        <w:rPr>
          <w:sz w:val="20"/>
          <w:szCs w:val="20"/>
          <w:color w:val="auto"/>
        </w:rPr>
      </w:pPr>
      <w:r>
        <w:rPr>
          <w:rFonts w:ascii="Arial" w:cs="Arial" w:eastAsia="Arial" w:hAnsi="Arial"/>
          <w:sz w:val="14"/>
          <w:szCs w:val="14"/>
          <w:color w:val="auto"/>
        </w:rPr>
        <w:t>Yardley, PA 19067-4219</w:t>
      </w:r>
    </w:p>
    <w:p>
      <w:pPr>
        <w:spacing w:after="0" w:line="200" w:lineRule="exact"/>
        <w:rPr>
          <w:sz w:val="20"/>
          <w:szCs w:val="20"/>
          <w:color w:val="auto"/>
        </w:rPr>
      </w:pPr>
    </w:p>
    <w:p>
      <w:pPr>
        <w:spacing w:after="0" w:line="368" w:lineRule="exact"/>
        <w:rPr>
          <w:sz w:val="20"/>
          <w:szCs w:val="20"/>
          <w:color w:val="auto"/>
        </w:rPr>
      </w:pPr>
    </w:p>
    <w:p>
      <w:pPr>
        <w:jc w:val="center"/>
        <w:ind w:right="-371"/>
        <w:spacing w:after="0"/>
        <w:rPr>
          <w:sz w:val="20"/>
          <w:szCs w:val="20"/>
          <w:color w:val="auto"/>
        </w:rPr>
      </w:pPr>
      <w:r>
        <w:rPr>
          <w:rFonts w:ascii="Arial" w:cs="Arial" w:eastAsia="Arial" w:hAnsi="Arial"/>
          <w:sz w:val="20"/>
          <w:szCs w:val="20"/>
          <w:b w:val="1"/>
          <w:bCs w:val="1"/>
          <w:u w:val="single" w:color="auto"/>
          <w:color w:val="auto"/>
        </w:rPr>
        <w:t>Consolidated Supplemental Data (Unaudited)</w:t>
      </w:r>
    </w:p>
    <w:p>
      <w:pPr>
        <w:spacing w:after="0" w:line="24" w:lineRule="exact"/>
        <w:rPr>
          <w:sz w:val="20"/>
          <w:szCs w:val="20"/>
          <w:color w:val="auto"/>
        </w:rPr>
      </w:pPr>
    </w:p>
    <w:p>
      <w:pPr>
        <w:jc w:val="center"/>
        <w:ind w:right="-371"/>
        <w:spacing w:after="0"/>
        <w:rPr>
          <w:sz w:val="20"/>
          <w:szCs w:val="20"/>
          <w:color w:val="auto"/>
        </w:rPr>
      </w:pPr>
      <w:r>
        <w:rPr>
          <w:rFonts w:ascii="Arial" w:cs="Arial" w:eastAsia="Arial" w:hAnsi="Arial"/>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1292"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6020" w:type="dxa"/>
            <w:vAlign w:val="bottom"/>
            <w:gridSpan w:val="12"/>
          </w:tcPr>
          <w:p>
            <w:pPr>
              <w:spacing w:after="0"/>
              <w:rPr>
                <w:sz w:val="20"/>
                <w:szCs w:val="20"/>
                <w:color w:val="auto"/>
              </w:rPr>
            </w:pPr>
            <w:r>
              <w:rPr>
                <w:rFonts w:ascii="Arial" w:cs="Arial" w:eastAsia="Arial" w:hAnsi="Arial"/>
                <w:sz w:val="18"/>
                <w:szCs w:val="18"/>
                <w:b w:val="1"/>
                <w:bCs w:val="1"/>
                <w:color w:val="auto"/>
                <w:w w:val="96"/>
              </w:rPr>
              <w:t>Reconciliation of 2017 Segment Income to Amounts Previously Reported</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42"/>
        </w:trPr>
        <w:tc>
          <w:tcPr>
            <w:tcW w:w="35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 xml:space="preserve">Fourth Quarter 2017 Segment Income </w:t>
            </w:r>
            <w:r>
              <w:rPr>
                <w:rFonts w:ascii="Arial" w:cs="Arial" w:eastAsia="Arial" w:hAnsi="Arial"/>
                <w:sz w:val="25"/>
                <w:szCs w:val="25"/>
                <w:b w:val="1"/>
                <w:bCs w:val="1"/>
                <w:color w:val="auto"/>
                <w:w w:val="99"/>
                <w:vertAlign w:val="superscript"/>
              </w:rPr>
              <w:t>(1)</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7"/>
        </w:trPr>
        <w:tc>
          <w:tcPr>
            <w:tcW w:w="1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As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As</w:t>
            </w:r>
          </w:p>
        </w:tc>
      </w:tr>
      <w:tr>
        <w:trPr>
          <w:trHeight w:val="270"/>
        </w:trPr>
        <w:tc>
          <w:tcPr>
            <w:tcW w:w="16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Previously</w:t>
            </w:r>
          </w:p>
        </w:tc>
        <w:tc>
          <w:tcPr>
            <w:tcW w:w="160" w:type="dxa"/>
            <w:vAlign w:val="bottom"/>
          </w:tcPr>
          <w:p>
            <w:pPr>
              <w:spacing w:after="0"/>
              <w:rPr>
                <w:sz w:val="23"/>
                <w:szCs w:val="23"/>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Pension and</w:t>
            </w:r>
          </w:p>
        </w:tc>
        <w:tc>
          <w:tcPr>
            <w:tcW w:w="140" w:type="dxa"/>
            <w:vAlign w:val="bottom"/>
          </w:tcPr>
          <w:p>
            <w:pPr>
              <w:spacing w:after="0"/>
              <w:rPr>
                <w:sz w:val="23"/>
                <w:szCs w:val="23"/>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Intangibles</w:t>
            </w:r>
          </w:p>
        </w:tc>
        <w:tc>
          <w:tcPr>
            <w:tcW w:w="180" w:type="dxa"/>
            <w:vAlign w:val="bottom"/>
          </w:tcPr>
          <w:p>
            <w:pPr>
              <w:spacing w:after="0"/>
              <w:rPr>
                <w:sz w:val="23"/>
                <w:szCs w:val="23"/>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Currently</w:t>
            </w:r>
          </w:p>
        </w:tc>
      </w:tr>
      <w:tr>
        <w:trPr>
          <w:trHeight w:val="270"/>
        </w:trPr>
        <w:tc>
          <w:tcPr>
            <w:tcW w:w="3500" w:type="dxa"/>
            <w:vAlign w:val="bottom"/>
            <w:gridSpan w:val="3"/>
          </w:tcPr>
          <w:p>
            <w:pPr>
              <w:ind w:left="20"/>
              <w:spacing w:after="0"/>
              <w:rPr>
                <w:sz w:val="20"/>
                <w:szCs w:val="20"/>
                <w:color w:val="auto"/>
              </w:rPr>
            </w:pPr>
            <w:r>
              <w:rPr>
                <w:rFonts w:ascii="Arial" w:cs="Arial" w:eastAsia="Arial" w:hAnsi="Arial"/>
                <w:sz w:val="18"/>
                <w:szCs w:val="18"/>
                <w:b w:val="1"/>
                <w:bCs w:val="1"/>
                <w:color w:val="auto"/>
              </w:rPr>
              <w:t>Segment</w:t>
            </w:r>
          </w:p>
        </w:tc>
        <w:tc>
          <w:tcPr>
            <w:tcW w:w="160" w:type="dxa"/>
            <w:vAlign w:val="bottom"/>
          </w:tcPr>
          <w:p>
            <w:pPr>
              <w:spacing w:after="0"/>
              <w:rPr>
                <w:sz w:val="23"/>
                <w:szCs w:val="2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Reported</w:t>
            </w: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Postretirement</w:t>
            </w:r>
          </w:p>
        </w:tc>
        <w:tc>
          <w:tcPr>
            <w:tcW w:w="13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3"/>
                <w:szCs w:val="23"/>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Reported</w:t>
            </w:r>
          </w:p>
        </w:tc>
      </w:tr>
      <w:tr>
        <w:trPr>
          <w:trHeight w:val="27"/>
        </w:trPr>
        <w:tc>
          <w:tcPr>
            <w:tcW w:w="1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European Beverage</w:t>
            </w: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Non-reportable</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Corporate and unallocated</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16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segment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245</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244</w:t>
            </w:r>
          </w:p>
        </w:tc>
      </w:tr>
      <w:tr>
        <w:trPr>
          <w:trHeight w:val="20"/>
        </w:trPr>
        <w:tc>
          <w:tcPr>
            <w:tcW w:w="1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292" w:type="dxa"/>
        <w:tblCellMar>
          <w:top w:w="0" w:type="dxa"/>
          <w:left w:w="0" w:type="dxa"/>
          <w:bottom w:w="0" w:type="dxa"/>
          <w:right w:w="0" w:type="dxa"/>
        </w:tblCellMar>
      </w:tblPr>
      <w:tr>
        <w:trPr>
          <w:trHeight w:val="287"/>
        </w:trPr>
        <w:tc>
          <w:tcPr>
            <w:tcW w:w="350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Full Year 2017 Segment Income </w:t>
            </w:r>
            <w:r>
              <w:rPr>
                <w:rFonts w:ascii="Arial" w:cs="Arial" w:eastAsia="Arial" w:hAnsi="Arial"/>
                <w:sz w:val="25"/>
                <w:szCs w:val="25"/>
                <w:b w:val="1"/>
                <w:bCs w:val="1"/>
                <w:color w:val="auto"/>
                <w:vertAlign w:val="superscript"/>
              </w:rPr>
              <w:t>(1)</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7"/>
        </w:trPr>
        <w:tc>
          <w:tcPr>
            <w:tcW w:w="33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As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As</w:t>
            </w:r>
          </w:p>
        </w:tc>
      </w:tr>
      <w:tr>
        <w:trPr>
          <w:trHeight w:val="270"/>
        </w:trPr>
        <w:tc>
          <w:tcPr>
            <w:tcW w:w="3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Previously</w:t>
            </w:r>
          </w:p>
        </w:tc>
        <w:tc>
          <w:tcPr>
            <w:tcW w:w="160" w:type="dxa"/>
            <w:vAlign w:val="bottom"/>
          </w:tcPr>
          <w:p>
            <w:pPr>
              <w:spacing w:after="0"/>
              <w:rPr>
                <w:sz w:val="23"/>
                <w:szCs w:val="23"/>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Pension and</w:t>
            </w:r>
          </w:p>
        </w:tc>
        <w:tc>
          <w:tcPr>
            <w:tcW w:w="140" w:type="dxa"/>
            <w:vAlign w:val="bottom"/>
          </w:tcPr>
          <w:p>
            <w:pPr>
              <w:spacing w:after="0"/>
              <w:rPr>
                <w:sz w:val="23"/>
                <w:szCs w:val="2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Intangibles</w:t>
            </w:r>
          </w:p>
        </w:tc>
        <w:tc>
          <w:tcPr>
            <w:tcW w:w="180" w:type="dxa"/>
            <w:vAlign w:val="bottom"/>
          </w:tcPr>
          <w:p>
            <w:pPr>
              <w:spacing w:after="0"/>
              <w:rPr>
                <w:sz w:val="23"/>
                <w:szCs w:val="23"/>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Currently</w:t>
            </w:r>
          </w:p>
        </w:tc>
      </w:tr>
      <w:tr>
        <w:trPr>
          <w:trHeight w:val="270"/>
        </w:trPr>
        <w:tc>
          <w:tcPr>
            <w:tcW w:w="35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60" w:type="dxa"/>
            <w:vAlign w:val="bottom"/>
          </w:tcPr>
          <w:p>
            <w:pPr>
              <w:spacing w:after="0"/>
              <w:rPr>
                <w:sz w:val="23"/>
                <w:szCs w:val="2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Reported</w:t>
            </w: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Postretirement</w:t>
            </w: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3"/>
                <w:szCs w:val="23"/>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Reported</w:t>
            </w:r>
          </w:p>
        </w:tc>
      </w:tr>
      <w:tr>
        <w:trPr>
          <w:trHeight w:val="27"/>
        </w:trPr>
        <w:tc>
          <w:tcPr>
            <w:tcW w:w="3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Americas Beverage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470</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European Beverage</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43"/>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European Food</w:t>
            </w: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264</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Non-reportable</w:t>
            </w: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unallocated</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57"/>
        </w:trPr>
        <w:tc>
          <w:tcPr>
            <w:tcW w:w="35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segment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1,128</w:t>
            </w:r>
          </w:p>
        </w:tc>
        <w:tc>
          <w:tcPr>
            <w:tcW w:w="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1,117</w:t>
            </w:r>
          </w:p>
        </w:tc>
      </w:tr>
      <w:tr>
        <w:trPr>
          <w:trHeight w:val="20"/>
        </w:trPr>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232" w:hanging="232"/>
        <w:spacing w:after="0" w:line="281" w:lineRule="auto"/>
        <w:tabs>
          <w:tab w:leader="none" w:pos="232" w:val="left"/>
        </w:tabs>
        <w:numPr>
          <w:ilvl w:val="0"/>
          <w:numId w:val="9"/>
        </w:numPr>
        <w:rPr>
          <w:rFonts w:ascii="Arial" w:cs="Arial" w:eastAsia="Arial" w:hAnsi="Arial"/>
          <w:sz w:val="18"/>
          <w:szCs w:val="18"/>
          <w:color w:val="auto"/>
        </w:rPr>
      </w:pPr>
      <w:r>
        <w:rPr>
          <w:rFonts w:ascii="Arial" w:cs="Arial" w:eastAsia="Arial" w:hAnsi="Arial"/>
          <w:sz w:val="16"/>
          <w:szCs w:val="16"/>
          <w:color w:val="auto"/>
        </w:rPr>
        <w:t>Prior year segment income has been restated to reflect new accounting guidance on the presentation of pension and postretirement expense and the Company’s revised policy to exclude intangibles amortization charges from segment income.</w:t>
      </w:r>
    </w:p>
    <w:p>
      <w:pPr>
        <w:spacing w:after="0" w:line="200" w:lineRule="exact"/>
        <w:rPr>
          <w:sz w:val="20"/>
          <w:szCs w:val="20"/>
          <w:color w:val="auto"/>
        </w:rPr>
      </w:pPr>
    </w:p>
    <w:p>
      <w:pPr>
        <w:spacing w:after="0" w:line="216" w:lineRule="exact"/>
        <w:rPr>
          <w:sz w:val="20"/>
          <w:szCs w:val="20"/>
          <w:color w:val="auto"/>
        </w:rPr>
      </w:pPr>
    </w:p>
    <w:p>
      <w:pPr>
        <w:jc w:val="center"/>
        <w:ind w:right="-371"/>
        <w:spacing w:after="0"/>
        <w:rPr>
          <w:sz w:val="20"/>
          <w:szCs w:val="20"/>
          <w:color w:val="auto"/>
        </w:rPr>
      </w:pPr>
      <w:r>
        <w:rPr>
          <w:rFonts w:ascii="Arial" w:cs="Arial" w:eastAsia="Arial" w:hAnsi="Arial"/>
          <w:sz w:val="18"/>
          <w:szCs w:val="18"/>
          <w:color w:val="auto"/>
        </w:rPr>
        <w:t>Page 10 of 11</w:t>
      </w:r>
    </w:p>
    <w:p>
      <w:pPr>
        <w:sectPr>
          <w:pgSz w:w="11900" w:h="16838" w:orient="portrait"/>
          <w:cols w:equalWidth="0" w:num="1">
            <w:col w:w="11032"/>
          </w:cols>
          <w:pgMar w:left="248" w:top="852" w:right="619" w:bottom="1440" w:gutter="0" w:footer="0" w:header="0"/>
        </w:sectPr>
      </w:pPr>
    </w:p>
    <w:bookmarkStart w:id="16" w:name="page17"/>
    <w:bookmarkEnd w:id="16"/>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200" w:lineRule="exact"/>
        <w:rPr>
          <w:sz w:val="20"/>
          <w:szCs w:val="20"/>
          <w:color w:val="auto"/>
        </w:rPr>
      </w:pPr>
    </w:p>
    <w:p>
      <w:pPr>
        <w:spacing w:after="0" w:line="36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u w:val="single" w:color="auto"/>
          <w:color w:val="auto"/>
        </w:rPr>
        <w:t>Consolidated Supplemental Data (Unaudited)</w:t>
      </w:r>
    </w:p>
    <w:p>
      <w:pPr>
        <w:spacing w:after="0" w:line="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Comparative Results for Transit Packaging</w:t>
      </w:r>
    </w:p>
    <w:p>
      <w:pPr>
        <w:spacing w:after="0" w:line="200" w:lineRule="exact"/>
        <w:rPr>
          <w:sz w:val="20"/>
          <w:szCs w:val="20"/>
          <w:color w:val="auto"/>
        </w:rPr>
      </w:pPr>
    </w:p>
    <w:p>
      <w:pPr>
        <w:spacing w:after="0" w:line="377" w:lineRule="exact"/>
        <w:rPr>
          <w:sz w:val="20"/>
          <w:szCs w:val="20"/>
          <w:color w:val="auto"/>
        </w:rPr>
      </w:pPr>
    </w:p>
    <w:tbl>
      <w:tblPr>
        <w:tblLayout w:type="fixed"/>
        <w:tblInd w:w="2240" w:type="dxa"/>
        <w:tblCellMar>
          <w:top w:w="0" w:type="dxa"/>
          <w:left w:w="0" w:type="dxa"/>
          <w:bottom w:w="0" w:type="dxa"/>
          <w:right w:w="0" w:type="dxa"/>
        </w:tblCellMar>
      </w:tblPr>
      <w:tr>
        <w:trPr>
          <w:trHeight w:val="287"/>
        </w:trPr>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Revenue</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5"/>
          </w:tcPr>
          <w:p>
            <w:pPr>
              <w:ind w:left="160"/>
              <w:spacing w:after="0"/>
              <w:rPr>
                <w:sz w:val="20"/>
                <w:szCs w:val="20"/>
                <w:color w:val="auto"/>
              </w:rPr>
            </w:pPr>
            <w:r>
              <w:rPr>
                <w:rFonts w:ascii="Arial" w:cs="Arial" w:eastAsia="Arial" w:hAnsi="Arial"/>
                <w:sz w:val="18"/>
                <w:szCs w:val="18"/>
                <w:b w:val="1"/>
                <w:bCs w:val="1"/>
                <w:color w:val="auto"/>
              </w:rPr>
              <w:t>Segment Income</w:t>
            </w:r>
          </w:p>
        </w:tc>
        <w:tc>
          <w:tcPr>
            <w:tcW w:w="200" w:type="dxa"/>
            <w:vAlign w:val="bottom"/>
          </w:tcPr>
          <w:p>
            <w:pPr>
              <w:spacing w:after="0"/>
              <w:rPr>
                <w:sz w:val="24"/>
                <w:szCs w:val="24"/>
                <w:color w:val="auto"/>
              </w:rPr>
            </w:pPr>
          </w:p>
        </w:tc>
        <w:tc>
          <w:tcPr>
            <w:tcW w:w="18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 xml:space="preserve">Depreciation </w:t>
            </w:r>
            <w:r>
              <w:rPr>
                <w:rFonts w:ascii="Arial" w:cs="Arial" w:eastAsia="Arial" w:hAnsi="Arial"/>
                <w:sz w:val="25"/>
                <w:szCs w:val="25"/>
                <w:b w:val="1"/>
                <w:bCs w:val="1"/>
                <w:color w:val="auto"/>
                <w:vertAlign w:val="superscript"/>
              </w:rPr>
              <w:t>(1)</w:t>
            </w:r>
          </w:p>
        </w:tc>
      </w:tr>
      <w:tr>
        <w:trPr>
          <w:trHeight w:val="237"/>
        </w:trPr>
        <w:tc>
          <w:tcPr>
            <w:tcW w:w="7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2018</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r>
      <w:tr>
        <w:trPr>
          <w:trHeight w:val="27"/>
        </w:trPr>
        <w:tc>
          <w:tcPr>
            <w:tcW w:w="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ind w:left="40"/>
              <w:spacing w:after="0"/>
              <w:rPr>
                <w:sz w:val="20"/>
                <w:szCs w:val="20"/>
                <w:color w:val="auto"/>
              </w:rPr>
            </w:pPr>
            <w:r>
              <w:rPr>
                <w:rFonts w:ascii="Arial" w:cs="Arial" w:eastAsia="Arial" w:hAnsi="Arial"/>
                <w:sz w:val="18"/>
                <w:szCs w:val="18"/>
                <w:color w:val="auto"/>
              </w:rPr>
              <w:t>Q1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Q2</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20" w:type="dxa"/>
            <w:vAlign w:val="bottom"/>
          </w:tcPr>
          <w:p>
            <w:pPr>
              <w:ind w:left="40"/>
              <w:spacing w:after="0"/>
              <w:rPr>
                <w:sz w:val="20"/>
                <w:szCs w:val="20"/>
                <w:color w:val="auto"/>
              </w:rPr>
            </w:pPr>
            <w:r>
              <w:rPr>
                <w:rFonts w:ascii="Arial" w:cs="Arial" w:eastAsia="Arial" w:hAnsi="Arial"/>
                <w:sz w:val="18"/>
                <w:szCs w:val="18"/>
                <w:color w:val="auto"/>
              </w:rPr>
              <w:t>Q3</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Q4</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7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2,388</w:t>
            </w: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2,232</w:t>
            </w:r>
          </w:p>
        </w:tc>
        <w:tc>
          <w:tcPr>
            <w:tcW w:w="1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334</w:t>
            </w:r>
          </w:p>
        </w:tc>
        <w:tc>
          <w:tcPr>
            <w:tcW w:w="1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w:t>
            </w:r>
          </w:p>
        </w:tc>
        <w:tc>
          <w:tcPr>
            <w:tcW w:w="1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r>
      <w:tr>
        <w:trPr>
          <w:trHeight w:val="27"/>
        </w:trPr>
        <w:tc>
          <w:tcPr>
            <w:tcW w:w="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(1) Amount of depreciation expense included in segment income, including acquisition step-up depreciation in 2018.</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gridSpan w:val="3"/>
          </w:tcPr>
          <w:p>
            <w:pPr>
              <w:spacing w:after="0"/>
              <w:rPr>
                <w:sz w:val="20"/>
                <w:szCs w:val="20"/>
                <w:color w:val="auto"/>
              </w:rPr>
            </w:pPr>
            <w:r>
              <w:rPr>
                <w:rFonts w:ascii="Arial" w:cs="Arial" w:eastAsia="Arial" w:hAnsi="Arial"/>
                <w:sz w:val="18"/>
                <w:szCs w:val="18"/>
                <w:b w:val="1"/>
                <w:bCs w:val="1"/>
                <w:color w:val="auto"/>
              </w:rPr>
              <w:t>Reconciliation of Adjusted EBITDA and Net Leverage Ratio</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615"/>
        </w:trPr>
        <w:tc>
          <w:tcPr>
            <w:tcW w:w="1220" w:type="dxa"/>
            <w:vAlign w:val="bottom"/>
            <w:tcBorders>
              <w:top w:val="single" w:sz="8" w:color="auto"/>
            </w:tcBorders>
          </w:tcPr>
          <w:p>
            <w:pPr>
              <w:spacing w:after="0"/>
              <w:rPr>
                <w:sz w:val="24"/>
                <w:szCs w:val="24"/>
                <w:color w:val="auto"/>
              </w:rPr>
            </w:pPr>
          </w:p>
        </w:tc>
        <w:tc>
          <w:tcPr>
            <w:tcW w:w="344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0"/>
              </w:rPr>
              <w:t>December 31,</w:t>
            </w:r>
          </w:p>
        </w:tc>
        <w:tc>
          <w:tcPr>
            <w:tcW w:w="660" w:type="dxa"/>
            <w:vAlign w:val="bottom"/>
          </w:tcPr>
          <w:p>
            <w:pPr>
              <w:spacing w:after="0"/>
              <w:rPr>
                <w:sz w:val="24"/>
                <w:szCs w:val="24"/>
                <w:color w:val="auto"/>
              </w:rPr>
            </w:pPr>
          </w:p>
        </w:tc>
      </w:tr>
      <w:tr>
        <w:trPr>
          <w:trHeight w:val="27"/>
        </w:trPr>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1220" w:type="dxa"/>
            <w:vAlign w:val="bottom"/>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1220" w:type="dxa"/>
            <w:vAlign w:val="bottom"/>
          </w:tcPr>
          <w:p>
            <w:pPr>
              <w:spacing w:after="0"/>
              <w:rPr>
                <w:sz w:val="21"/>
                <w:szCs w:val="21"/>
                <w:color w:val="auto"/>
              </w:rPr>
            </w:pPr>
          </w:p>
        </w:tc>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1,096</w:t>
            </w:r>
          </w:p>
        </w:tc>
        <w:tc>
          <w:tcPr>
            <w:tcW w:w="1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1,024</w:t>
            </w:r>
          </w:p>
        </w:tc>
      </w:tr>
      <w:tr>
        <w:trPr>
          <w:trHeight w:val="243"/>
        </w:trPr>
        <w:tc>
          <w:tcPr>
            <w:tcW w:w="1220" w:type="dxa"/>
            <w:vAlign w:val="bottom"/>
          </w:tcPr>
          <w:p>
            <w:pPr>
              <w:spacing w:after="0"/>
              <w:rPr>
                <w:sz w:val="21"/>
                <w:szCs w:val="21"/>
                <w:color w:val="auto"/>
              </w:rPr>
            </w:pPr>
          </w:p>
        </w:tc>
        <w:tc>
          <w:tcPr>
            <w:tcW w:w="6140" w:type="dxa"/>
            <w:vAlign w:val="bottom"/>
            <w:gridSpan w:val="2"/>
          </w:tcPr>
          <w:p>
            <w:pPr>
              <w:ind w:left="40"/>
              <w:spacing w:after="0"/>
              <w:rPr>
                <w:sz w:val="20"/>
                <w:szCs w:val="20"/>
                <w:color w:val="auto"/>
              </w:rPr>
            </w:pPr>
            <w:r>
              <w:rPr>
                <w:rFonts w:ascii="Arial" w:cs="Arial" w:eastAsia="Arial" w:hAnsi="Arial"/>
                <w:sz w:val="18"/>
                <w:szCs w:val="18"/>
                <w:color w:val="auto"/>
              </w:rPr>
              <w:t>Add:</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1220" w:type="dxa"/>
            <w:vAlign w:val="bottom"/>
          </w:tcPr>
          <w:p>
            <w:pPr>
              <w:spacing w:after="0"/>
              <w:rPr>
                <w:sz w:val="21"/>
                <w:szCs w:val="21"/>
                <w:color w:val="auto"/>
              </w:rPr>
            </w:pPr>
          </w:p>
        </w:tc>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Intangibles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1220" w:type="dxa"/>
            <w:vAlign w:val="bottom"/>
          </w:tcPr>
          <w:p>
            <w:pPr>
              <w:spacing w:after="0"/>
              <w:rPr>
                <w:sz w:val="21"/>
                <w:szCs w:val="21"/>
                <w:color w:val="auto"/>
              </w:rPr>
            </w:pPr>
          </w:p>
        </w:tc>
        <w:tc>
          <w:tcPr>
            <w:tcW w:w="6140" w:type="dxa"/>
            <w:vAlign w:val="bottom"/>
            <w:gridSpan w:val="2"/>
          </w:tcPr>
          <w:p>
            <w:pPr>
              <w:ind w:left="40"/>
              <w:spacing w:after="0"/>
              <w:rPr>
                <w:sz w:val="20"/>
                <w:szCs w:val="20"/>
                <w:color w:val="auto"/>
              </w:rPr>
            </w:pPr>
            <w:r>
              <w:rPr>
                <w:rFonts w:ascii="Arial" w:cs="Arial" w:eastAsia="Arial" w:hAnsi="Arial"/>
                <w:sz w:val="18"/>
                <w:szCs w:val="18"/>
                <w:color w:val="auto"/>
              </w:rPr>
              <w:t>Fair value adjustment to inventory</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1220" w:type="dxa"/>
            <w:vAlign w:val="bottom"/>
          </w:tcPr>
          <w:p>
            <w:pPr>
              <w:spacing w:after="0"/>
              <w:rPr>
                <w:sz w:val="21"/>
                <w:szCs w:val="21"/>
                <w:color w:val="auto"/>
              </w:rPr>
            </w:pPr>
          </w:p>
        </w:tc>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asbestos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1220" w:type="dxa"/>
            <w:vAlign w:val="bottom"/>
          </w:tcPr>
          <w:p>
            <w:pPr>
              <w:spacing w:after="0"/>
              <w:rPr>
                <w:sz w:val="21"/>
                <w:szCs w:val="21"/>
                <w:color w:val="auto"/>
              </w:rPr>
            </w:pPr>
          </w:p>
        </w:tc>
        <w:tc>
          <w:tcPr>
            <w:tcW w:w="6140" w:type="dxa"/>
            <w:vAlign w:val="bottom"/>
            <w:gridSpan w:val="2"/>
          </w:tcPr>
          <w:p>
            <w:pPr>
              <w:ind w:left="40"/>
              <w:spacing w:after="0"/>
              <w:rPr>
                <w:sz w:val="20"/>
                <w:szCs w:val="20"/>
                <w:color w:val="auto"/>
              </w:rPr>
            </w:pPr>
            <w:r>
              <w:rPr>
                <w:rFonts w:ascii="Arial" w:cs="Arial" w:eastAsia="Arial" w:hAnsi="Arial"/>
                <w:sz w:val="18"/>
                <w:szCs w:val="18"/>
                <w:color w:val="auto"/>
              </w:rPr>
              <w:t>Provision for restructuring and other</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1220" w:type="dxa"/>
            <w:vAlign w:val="bottom"/>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1220" w:type="dxa"/>
            <w:vAlign w:val="bottom"/>
          </w:tcPr>
          <w:p>
            <w:pPr>
              <w:spacing w:after="0"/>
              <w:rPr>
                <w:sz w:val="21"/>
                <w:szCs w:val="21"/>
                <w:color w:val="auto"/>
              </w:rPr>
            </w:pPr>
          </w:p>
        </w:tc>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income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r>
      <w:tr>
        <w:trPr>
          <w:trHeight w:val="270"/>
        </w:trPr>
        <w:tc>
          <w:tcPr>
            <w:tcW w:w="1220" w:type="dxa"/>
            <w:vAlign w:val="bottom"/>
          </w:tcPr>
          <w:p>
            <w:pPr>
              <w:spacing w:after="0"/>
              <w:rPr>
                <w:sz w:val="23"/>
                <w:szCs w:val="23"/>
                <w:color w:val="auto"/>
              </w:rPr>
            </w:pPr>
          </w:p>
        </w:tc>
        <w:tc>
          <w:tcPr>
            <w:tcW w:w="61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Other pension and postretirement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50"/>
        </w:trPr>
        <w:tc>
          <w:tcPr>
            <w:tcW w:w="1220" w:type="dxa"/>
            <w:vAlign w:val="bottom"/>
          </w:tcPr>
          <w:p>
            <w:pPr>
              <w:spacing w:after="0"/>
              <w:rPr>
                <w:sz w:val="21"/>
                <w:szCs w:val="21"/>
                <w:color w:val="auto"/>
              </w:rPr>
            </w:pPr>
          </w:p>
        </w:tc>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70"/>
        </w:trPr>
        <w:tc>
          <w:tcPr>
            <w:tcW w:w="1220" w:type="dxa"/>
            <w:vAlign w:val="bottom"/>
          </w:tcPr>
          <w:p>
            <w:pPr>
              <w:spacing w:after="0"/>
              <w:rPr>
                <w:sz w:val="23"/>
                <w:szCs w:val="23"/>
                <w:color w:val="auto"/>
              </w:rPr>
            </w:pPr>
          </w:p>
        </w:tc>
        <w:tc>
          <w:tcPr>
            <w:tcW w:w="614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Proforma Q1 Signode </w:t>
            </w:r>
            <w:r>
              <w:rPr>
                <w:rFonts w:ascii="Arial" w:cs="Arial" w:eastAsia="Arial" w:hAnsi="Arial"/>
                <w:sz w:val="25"/>
                <w:szCs w:val="25"/>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60" w:type="dxa"/>
            <w:vAlign w:val="bottom"/>
            <w:tcBorders>
              <w:bottom w:val="single" w:sz="8" w:color="auto"/>
            </w:tcBorders>
          </w:tcPr>
          <w:p>
            <w:pPr>
              <w:spacing w:after="0"/>
              <w:rPr>
                <w:sz w:val="23"/>
                <w:szCs w:val="23"/>
                <w:color w:val="auto"/>
              </w:rPr>
            </w:pPr>
          </w:p>
        </w:tc>
        <w:tc>
          <w:tcPr>
            <w:tcW w:w="10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r>
      <w:tr>
        <w:trPr>
          <w:trHeight w:val="257"/>
        </w:trPr>
        <w:tc>
          <w:tcPr>
            <w:tcW w:w="1220" w:type="dxa"/>
            <w:vAlign w:val="bottom"/>
          </w:tcPr>
          <w:p>
            <w:pPr>
              <w:spacing w:after="0"/>
              <w:rPr>
                <w:sz w:val="22"/>
                <w:szCs w:val="22"/>
                <w:color w:val="auto"/>
              </w:rPr>
            </w:pPr>
          </w:p>
        </w:tc>
        <w:tc>
          <w:tcPr>
            <w:tcW w:w="61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Proforma Adjusted EBITDA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1,764</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1,375</w:t>
            </w:r>
          </w:p>
        </w:tc>
      </w:tr>
      <w:tr>
        <w:trPr>
          <w:trHeight w:val="20"/>
        </w:trPr>
        <w:tc>
          <w:tcPr>
            <w:tcW w:w="12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1220" w:type="dxa"/>
        <w:tblCellMar>
          <w:top w:w="0" w:type="dxa"/>
          <w:left w:w="0" w:type="dxa"/>
          <w:bottom w:w="0" w:type="dxa"/>
          <w:right w:w="0" w:type="dxa"/>
        </w:tblCellMar>
      </w:tblPr>
      <w:tr>
        <w:trPr>
          <w:trHeight w:val="270"/>
        </w:trPr>
        <w:tc>
          <w:tcPr>
            <w:tcW w:w="61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debt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8,692</w:t>
            </w:r>
          </w:p>
        </w:tc>
        <w:tc>
          <w:tcPr>
            <w:tcW w:w="106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5,343</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(607)</w:t>
            </w: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8,085</w:t>
            </w:r>
          </w:p>
        </w:tc>
        <w:tc>
          <w:tcPr>
            <w:tcW w:w="1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4,919</w:t>
            </w:r>
          </w:p>
        </w:tc>
      </w:tr>
      <w:tr>
        <w:trPr>
          <w:trHeight w:val="20"/>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71"/>
        </w:trPr>
        <w:tc>
          <w:tcPr>
            <w:tcW w:w="6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64"/>
        </w:trPr>
        <w:tc>
          <w:tcPr>
            <w:tcW w:w="61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leverage ratio</w:t>
            </w:r>
          </w:p>
        </w:tc>
        <w:tc>
          <w:tcPr>
            <w:tcW w:w="28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b w:val="1"/>
                <w:bCs w:val="1"/>
                <w:color w:val="auto"/>
              </w:rPr>
              <w:t>4.6x</w:t>
            </w: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3.6x</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840" w:hanging="832"/>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6"/>
          <w:szCs w:val="16"/>
          <w:color w:val="auto"/>
        </w:rPr>
        <w:t>Excludes settlement and curtailment charges of $42 million in 2018 and benefits of $3 million in 2017.</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6"/>
          <w:szCs w:val="16"/>
          <w:color w:val="auto"/>
        </w:rPr>
        <w:t>Signode acquisition closed April 3, 2018.</w:t>
      </w:r>
    </w:p>
    <w:p>
      <w:pPr>
        <w:spacing w:after="0" w:line="23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11 of 11</w:t>
      </w:r>
    </w:p>
    <w:sectPr>
      <w:pgSz w:w="11900" w:h="16838" w:orient="portrait"/>
      <w:cols w:equalWidth="0" w:num="1">
        <w:col w:w="10219"/>
      </w:cols>
      <w:pgMar w:left="240" w:top="8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3"/>
    </w:lvl>
  </w:abstractNum>
  <w:abstractNum w:abstractNumId="7">
    <w:nsid w:val="5BD062C2"/>
    <w:multiLevelType w:val="hybridMultilevel"/>
    <w:lvl w:ilvl="0">
      <w:lvlJc w:val="left"/>
      <w:lvlText w:val="(%1)"/>
      <w:numFmt w:val="decimal"/>
      <w:start w:val="4"/>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2019-12-28T17:01:25Z</dcterms:created>
  <dcterms:modified xsi:type="dcterms:W3CDTF">2019-12-28T17:01:25Z</dcterms:modified>
</cp:coreProperties>
</file>