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rdgdoc.xml.htm"/>
      <w:bookmarkStart w:id="1" w:name="ksrdgdoc"/>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pPr>
                  <w:hyperlink r:id="rId3">
                    <w:r>
                      <w:rPr>
                        <w:rStyle w:val="InternetLink"/>
                      </w:rPr>
                      <w:t>NOVAES DJALMA JR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2"/>
            </w:tblGrid>
            <w:tr>
              <w:trPr/>
              <w:tc>
                <w:tcPr>
                  <w:tcW w:w="345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 TOWNSHIP LINE ROAD</w:t>
                  </w:r>
                </w:p>
              </w:tc>
            </w:tr>
            <w:tr>
              <w:trPr/>
              <w:tc>
                <w:tcPr>
                  <w:tcW w:w="345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YARDLEY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19067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1"/>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CROWN HOLDINGS INC</w:t>
              </w:r>
            </w:hyperlink>
            <w:r>
              <w:rPr/>
              <w:t xml:space="preserve"> [ </w:t>
            </w:r>
            <w:r>
              <w:rPr>
                <w:rFonts w:ascii="Times;serif" w:hAnsi="Times;serif"/>
                <w:color w:val="0000FF"/>
                <w:sz w:val="24"/>
                <w:highlight w:val="white"/>
              </w:rPr>
              <w:t>CCK</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0"/>
              <w:gridCol w:w="441"/>
              <w:gridCol w:w="1030"/>
            </w:tblGrid>
            <w:tr>
              <w:trPr/>
              <w:tc>
                <w:tcPr>
                  <w:tcW w:w="440"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President - Americas Division</w:t>
                  </w:r>
                </w:p>
              </w:tc>
            </w:tr>
          </w:tbl>
          <w:p>
            <w:pPr>
              <w:pStyle w:val="TableContents"/>
              <w:spacing w:before="0" w:after="283"/>
              <w:rPr>
                <w:sz w:val="4"/>
                <w:szCs w:val="4"/>
              </w:rPr>
            </w:pPr>
            <w:r>
              <w:rPr>
                <w:sz w:val="4"/>
                <w:szCs w:val="4"/>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02/24/2022</w:t>
            </w:r>
            <w:r>
              <w:rPr/>
              <w:t xml:space="preserve"> </w:t>
            </w:r>
          </w:p>
        </w:tc>
        <w:tc>
          <w:tcPr>
            <w:tcW w:w="3061"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2"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4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4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2,336</w:t>
            </w:r>
            <w:r>
              <w:rPr>
                <w:rFonts w:ascii="Times;serif" w:hAnsi="Times;serif"/>
                <w:color w:val="008000"/>
                <w:position w:val="7"/>
                <w:sz w:val="16"/>
                <w:sz w:val="20"/>
                <w:highlight w:val="white"/>
              </w:rPr>
              <w:t>(1)</w:t>
            </w:r>
            <w:r>
              <w:rPr/>
              <w:t xml:space="preserve"> </w:t>
            </w:r>
          </w:p>
        </w:tc>
        <w:tc>
          <w:tcPr>
            <w:tcW w:w="45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3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89,312</w:t>
            </w:r>
          </w:p>
        </w:tc>
        <w:tc>
          <w:tcPr>
            <w:tcW w:w="99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3,984</w:t>
            </w:r>
            <w:r>
              <w:rPr>
                <w:rFonts w:ascii="Times;serif" w:hAnsi="Times;serif"/>
                <w:color w:val="008000"/>
                <w:position w:val="7"/>
                <w:sz w:val="16"/>
                <w:sz w:val="20"/>
                <w:highlight w:val="white"/>
              </w:rPr>
              <w:t>(2)</w:t>
            </w:r>
            <w:r>
              <w:rPr/>
              <w:t xml:space="preserve"> </w:t>
            </w:r>
          </w:p>
        </w:tc>
        <w:tc>
          <w:tcPr>
            <w:tcW w:w="45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83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117.99</w:t>
            </w:r>
            <w:r>
              <w:rPr/>
              <w:t xml:space="preserve"> </w:t>
            </w:r>
          </w:p>
        </w:tc>
        <w:tc>
          <w:tcPr>
            <w:tcW w:w="11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85,328</w:t>
            </w:r>
          </w:p>
        </w:tc>
        <w:tc>
          <w:tcPr>
            <w:tcW w:w="9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additional performance-based shares of Restricted Common Stock that vested on February 24, 2022 whose grant was originally reported on a Form 4 filed with the Securities and Exchange Commission on January 9, 2019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7,788.</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shares transferred to the Company for tax withholding in connection with vesting of restricted stock.</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Rosemary Haselroth, by Power of Attorney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02/24/2022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27599" TargetMode="External"/><Relationship Id="rId4" Type="http://schemas.openxmlformats.org/officeDocument/2006/relationships/hyperlink" Target="http://www.sec.gov/cgi-bin/browse-edgar?action=getcompany&amp;CIK=000121960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633</Words>
  <CharactersWithSpaces>3998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