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Bourque Robert H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CROWN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CROWN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CCK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08/07/2018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President - Transit Packaging</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19154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332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54"/>
              <w:spacing w:after="0"/>
              <w:rPr>
                <w:sz w:val="20"/>
                <w:szCs w:val="20"/>
                <w:color w:val="auto"/>
              </w:rPr>
            </w:pPr>
            <w:r>
              <w:rPr>
                <w:rFonts w:ascii="Arial" w:cs="Arial" w:eastAsia="Arial" w:hAnsi="Arial"/>
                <w:sz w:val="18"/>
                <w:szCs w:val="18"/>
                <w:color w:val="0000FF"/>
              </w:rPr>
              <w:t>233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08/07/2018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3,119</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45.2</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54"/>
              <w:spacing w:after="0"/>
              <w:rPr>
                <w:sz w:val="20"/>
                <w:szCs w:val="20"/>
                <w:color w:val="auto"/>
              </w:rPr>
            </w:pPr>
            <w:r>
              <w:rPr>
                <w:rFonts w:ascii="Arial" w:cs="Arial" w:eastAsia="Arial" w:hAnsi="Arial"/>
                <w:sz w:val="18"/>
                <w:szCs w:val="18"/>
                <w:color w:val="0000FF"/>
                <w:w w:val="83"/>
              </w:rPr>
              <w:t>32,093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4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3,119 shares of Restricted Common Stock under the 2013 Stock-Based Compensation Plan. 773 time-vested restricted shares vest over a three year period as follows: 258 time-vested restricted shares on August 7, 2019 and August 7, 2020, and 257 time-vested restricted shares on August 9, 2021. 1,573 performance-based restricted shares are targeted to vest on January 4, 2021 based on the Company's Total Shareholder Return versus a defined peer group of companies, with the final number of performance-based vested shares varying from 0 to 200% of 1,573. 773 performance-based restricted shares are targeted to vest on January 4, 2021 based on the Return on Invested Capital achieved by the Company compared to the ROIC target, with the final number of performance-based vested shares varying from 0 to 200% of 773.</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Rosemary M. Haselroth, by</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08/09/2018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2913"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2019-12-24T06:28:30Z</dcterms:created>
  <dcterms:modified xsi:type="dcterms:W3CDTF">2019-12-24T06:28:30Z</dcterms:modified>
</cp:coreProperties>
</file>