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770 Township Line Road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Yardley, PA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(215) 698-5100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14,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Filing Desk</w:t>
      </w:r>
    </w:p>
    <w:p>
      <w:pPr>
        <w:spacing w:after="0" w:line="234" w:lineRule="exact"/>
        <w:rPr>
          <w:sz w:val="24"/>
          <w:szCs w:val="24"/>
          <w:color w:val="auto"/>
        </w:rPr>
      </w:pPr>
    </w:p>
    <w:p>
      <w:pPr>
        <w:ind w:left="420"/>
        <w:spacing w:after="0"/>
        <w:tabs>
          <w:tab w:leader="none" w:pos="8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Crown Holdings, Inc.</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u w:val="single" w:color="auto"/>
          <w:color w:val="auto"/>
        </w:rPr>
        <w:t>File No. 333-228692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40" w:firstLine="440"/>
        <w:spacing w:after="0" w:line="301" w:lineRule="auto"/>
        <w:rPr>
          <w:sz w:val="20"/>
          <w:szCs w:val="20"/>
          <w:color w:val="auto"/>
        </w:rPr>
      </w:pPr>
      <w:r>
        <w:rPr>
          <w:rFonts w:ascii="Arial" w:cs="Arial" w:eastAsia="Arial" w:hAnsi="Arial"/>
          <w:sz w:val="16"/>
          <w:szCs w:val="16"/>
          <w:color w:val="auto"/>
        </w:rPr>
        <w:t>Pursuant to Rule 461 of the General Rules and Regulations under the Securities Act of 1933, as amended, we hereby request acceleration of the effective date of the above-captioned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Crown Holdings, Inc., Crown Americas LLC, Crown Americas Capital Corp. VI and the guarantors named in the Registration Statement (collectively, the “</w:t>
      </w:r>
      <w:r>
        <w:rPr>
          <w:rFonts w:ascii="Arial" w:cs="Arial" w:eastAsia="Arial" w:hAnsi="Arial"/>
          <w:sz w:val="16"/>
          <w:szCs w:val="16"/>
          <w:u w:val="single" w:color="auto"/>
          <w:color w:val="auto"/>
        </w:rPr>
        <w:t>Registrants</w:t>
      </w:r>
      <w:r>
        <w:rPr>
          <w:rFonts w:ascii="Arial" w:cs="Arial" w:eastAsia="Arial" w:hAnsi="Arial"/>
          <w:sz w:val="16"/>
          <w:szCs w:val="16"/>
          <w:color w:val="auto"/>
        </w:rPr>
        <w:t>”) so that such Registration Statement will become effective as of 2:00 P.M. (New York City time) on December 18, 2018, or as soon thereafter as practicable.</w:t>
      </w:r>
    </w:p>
    <w:p>
      <w:pPr>
        <w:spacing w:after="0" w:line="15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Registrants hereby acknowledge that:</w:t>
      </w:r>
    </w:p>
    <w:p>
      <w:pPr>
        <w:spacing w:after="0" w:line="117" w:lineRule="exact"/>
        <w:rPr>
          <w:sz w:val="24"/>
          <w:szCs w:val="24"/>
          <w:color w:val="auto"/>
        </w:rPr>
      </w:pPr>
    </w:p>
    <w:p>
      <w:pPr>
        <w:ind w:right="900" w:firstLine="436"/>
        <w:spacing w:after="0" w:line="342"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the staff, acting pursuant to delegated authority, declare the Registration Statement effective, the Commission is not foreclosed from taking any action with respect to the Registration Statement;</w:t>
      </w:r>
    </w:p>
    <w:p>
      <w:pPr>
        <w:spacing w:after="0" w:line="15" w:lineRule="exact"/>
        <w:rPr>
          <w:rFonts w:ascii="Arial" w:cs="Arial" w:eastAsia="Arial" w:hAnsi="Arial"/>
          <w:sz w:val="16"/>
          <w:szCs w:val="16"/>
          <w:color w:val="auto"/>
        </w:rPr>
      </w:pPr>
    </w:p>
    <w:p>
      <w:pPr>
        <w:ind w:right="440" w:firstLine="436"/>
        <w:spacing w:after="0" w:line="308"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Registration Statement effective does not relieve the Registrants of their full responsibility for the adequacy and accuracy of the disclosure in the Registration Statement; and</w:t>
      </w:r>
    </w:p>
    <w:p>
      <w:pPr>
        <w:spacing w:after="0" w:line="38" w:lineRule="exact"/>
        <w:rPr>
          <w:rFonts w:ascii="Arial" w:cs="Arial" w:eastAsia="Arial" w:hAnsi="Arial"/>
          <w:sz w:val="17"/>
          <w:szCs w:val="17"/>
          <w:color w:val="auto"/>
        </w:rPr>
      </w:pPr>
    </w:p>
    <w:p>
      <w:pPr>
        <w:ind w:right="140" w:firstLine="436"/>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may not assert the declaration of effectiveness of the Registration Statement by the Commission or the staff as a defense in any proceeding initiated by the Commission or any person under the federal securities laws of the United States.</w:t>
      </w:r>
    </w:p>
    <w:p>
      <w:pPr>
        <w:sectPr>
          <w:pgSz w:w="11900" w:h="16838" w:orient="portrait"/>
          <w:cols w:equalWidth="0" w:num="1">
            <w:col w:w="11020"/>
          </w:cols>
          <w:pgMar w:left="440" w:top="229" w:right="4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2020-10-07T23:33:47Z</dcterms:created>
  <dcterms:modified xsi:type="dcterms:W3CDTF">2020-10-07T23:33:47Z</dcterms:modified>
</cp:coreProperties>
</file>