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Sourisseau Didier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President, European Division</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11,029</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87,629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5,346</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92,975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77"/>
                <w:vertAlign w:val="subscript"/>
              </w:rPr>
              <w:t>833</w:t>
            </w:r>
            <w:r>
              <w:rPr>
                <w:rFonts w:ascii="Arial" w:cs="Arial" w:eastAsia="Arial" w:hAnsi="Arial"/>
                <w:sz w:val="11"/>
                <w:szCs w:val="11"/>
                <w:color w:val="008000"/>
                <w:w w:val="77"/>
              </w:rPr>
              <w:t>(3)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100.04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92,142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11,029 shares of Deferred Common Stock under the 2013 Stock-Based Compensation Plan. 3,788 time-vested deferred shares vest over a three year period as follows: 1,263 time-vested deferred shares on January 10, 2022 and January 09, 2023, respectively and 1,262 time-vested deferred shares on January 8, 2024. 3,453 performance-based deferred shares are targeted to vest on January 8, 2024 based on the Company's Total Shareholder Return versus a defined peer group of companies, with the final number of performance-based vested shares varying from 0 to 200% of 3,453. 3,788 performance-based deferred shares are targeted to vest on January 8, 2024 based on the Return on Invested Capital achieved by the Company compared to the ROIC target, with the final number of performance-based vested shares varying from 0 to 200% of 3,788.</w:t>
      </w:r>
    </w:p>
    <w:p>
      <w:pPr>
        <w:spacing w:after="0" w:line="29" w:lineRule="exact"/>
        <w:rPr>
          <w:rFonts w:ascii="Arial" w:cs="Arial" w:eastAsia="Arial" w:hAnsi="Arial"/>
          <w:sz w:val="13"/>
          <w:szCs w:val="13"/>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additional performance-based shares of Deferred Common Stock that vested on January 11, 2021 whose grant was originally reported on a Form 4 filed with the U.S. Securities and Exchange Commission on January 8, 2018 (the "Original Form 4"), and further amended on January 16, 2018 (the "Amended Form 4"). As reported on the Amended Form 4, such performance-based deferred shares were originally granted to the Reporting Person based on the Company's Total Shareholder Return versus a defined group of companies with the final number of performance-based vested shares varying from 0 to 200% of 5,346.</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deferred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2532"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2021-01-12T14:29:34Z</dcterms:created>
  <dcterms:modified xsi:type="dcterms:W3CDTF">2021-01-12T14:29:34Z</dcterms:modified>
</cp:coreProperties>
</file>