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000-50189</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0" w:lineRule="exact"/>
        <w:rPr>
          <w:sz w:val="24"/>
          <w:szCs w:val="24"/>
          <w:color w:val="auto"/>
        </w:rPr>
      </w:pPr>
    </w:p>
    <w:p>
      <w:pPr>
        <w:spacing w:after="0" w:line="20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70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60" w:type="dxa"/>
            <w:vAlign w:val="bottom"/>
          </w:tcPr>
          <w:p>
            <w:pPr>
              <w:spacing w:after="0"/>
              <w:rPr>
                <w:sz w:val="15"/>
                <w:szCs w:val="15"/>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Common</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6"/>
              </w:rPr>
              <w:t>Share Purchase</w:t>
            </w:r>
          </w:p>
        </w:tc>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1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Not Applicable</w:t>
      </w:r>
    </w:p>
    <w:p>
      <w:pPr>
        <w:spacing w:after="0" w:line="22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dated November 7, 2022, between the Company and Equiniti Trust Company, as Rights Agent. In connection with the Rights Agreement,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declared a dividend of one common share purchase right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payable on November 17, 2022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each share of Common Stock, par value $5.00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Company outstanding on the Record Date to the stockholders of record on that date. Each Right entitles the registered holder to purchase from the Company one share of Common Stock, at a price of $300.00 per share of Common Shares represented by a Right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subject to adjustment.</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are in all respects subject to and governed by the provisions of the Rights Agreement. The following description of the Rights Agreement does not purport to be complete and is qualified in its entirety by reference to the full text of the Rights Agreement, which is attached hereto as Exhibit 4.1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Distribution Date; Exercisability; Expiration</w:t>
      </w:r>
    </w:p>
    <w:p>
      <w:pPr>
        <w:spacing w:after="0" w:line="1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Initially, the Rights will be evidenced by the certificates representing Common Shares then outstanding, no separate certificates representing the Rights will be distributed and the Rights will not be tradeable separate from the Common Shares. New Common Share certificates issued after the Record Date will contain in accordance with the Rights Agreement a notation incorporating the Rights Agreement by reference.</w:t>
      </w:r>
    </w:p>
    <w:p>
      <w:pPr>
        <w:spacing w:after="0" w:line="176"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The Rights will become exercisable and will separate from the Common Shares upon the earlier of (i) ten (10) business days after a public announcement that a person or group of affiliated or associated persons (an “</w:t>
      </w:r>
      <w:r>
        <w:rPr>
          <w:rFonts w:ascii="Times New Roman" w:cs="Times New Roman" w:eastAsia="Times New Roman" w:hAnsi="Times New Roman"/>
          <w:sz w:val="17"/>
          <w:szCs w:val="17"/>
          <w:u w:val="single" w:color="auto"/>
          <w:color w:val="auto"/>
        </w:rPr>
        <w:t>Acquiring Person</w:t>
      </w:r>
      <w:r>
        <w:rPr>
          <w:rFonts w:ascii="Times New Roman" w:cs="Times New Roman" w:eastAsia="Times New Roman" w:hAnsi="Times New Roman"/>
          <w:sz w:val="17"/>
          <w:szCs w:val="17"/>
          <w:color w:val="auto"/>
        </w:rPr>
        <w:t>”) has acquired Beneficial Ownership of ten percent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 or more of the outstanding Common Shares, or (ii) ten (10) business days (or a later date as determined by the Board) after the commencement of, or first public announcement of an intention to commence, a tender offer or exchange offer that would result in a person or group Beneficially Owning ten percent (10%) or more of the outstanding Common Shares (the earlier of such dates being called the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As soon as practicable after the Distribution Date, Equiniti Trust Company, as the Rights Agent, will mail certificates representing the Rights to holders of record of the Common Shares as of the close of business on the Distribution Date, and thereafter, the separate certificates representing the Rights alone will represent the Rights. Except as otherwise provided by the Rights Agreement or determined by the Board, only Common Shares issued prior to the Distribution Date will be issued with Rights.</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Notwithstanding the foregoing,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will not include (i) the Company, (ii) any subsidiary of the Company, (iii) any employee benefit plan of the Company or of any subsidiary of the Company, (iv) any entity holding Common Shares for the benefit of present or future participants pursuant to the terms of any such employee benefit plan, (v) with respect to clauses (i) and (ii), the officers and members of the Board or the board of directors of any subsidiary of the Company, as applicable, acting in their fiduciary capacities, (vi) any person or entity who becomes the Beneficial Owner of ten percent (10%) or more of the Common Shares then outstanding as a result of a reduction in the number of Common Shares outstanding due to the repurchase of Common Shares by the Company (or any subsidiary of the Company, any employee benefit plan of the Company or of any subsidiary of the Company, or any person or entity organized, appointed or established by the Company for or pursuant to the terms of any such employee benefit plan), unless such person or entity, after becoming aware that such person or entity has become the Beneficial Owner of ten percent (10%) or more of the then outstanding Common Shares, acquires Beneficial Ownership of additional Common Shares representing one half of one percent (0.5%) or more of the Common Shares then outstanding, (vii) any person or entity who has reported or is required to report ownership on Schedule 13G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on Schedule 13D under the Exchange Act, which Schedule 13D does not state any intention to or reserve the right to control or influence the management or policies of the Company or engage in any of the actions specified in Item 4 of such schedule (other than the disposition of the Common Shares), if such person or entity either certifies to the Company that they acquired Common Shares in excess of 9.99% inadvertently or without knowledge of the terms of the Rights or thereafter reduces their Beneficial Ownership to less than ten percent (10)% of the Common Shares then</w:t>
      </w:r>
    </w:p>
    <w:p>
      <w:pPr>
        <w:sectPr>
          <w:pgSz w:w="11900" w:h="16838" w:orient="portrait"/>
          <w:cols w:equalWidth="0" w:num="1">
            <w:col w:w="11000"/>
          </w:cols>
          <w:pgMar w:left="440" w:top="270" w:right="4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(viii) any person or entity who would otherwise be deemed an “Acquiring Person” upon the execution of the Rights Agreement but who does not, subsequent to the issuance of the press release attached hereto as Exhibit 99.1, acquire additional Common Shares representing at least 0.5% of the Common Shares then outstanding, or (ix) any person or entity whose acquisition of Common Shares was expressly approved in advance by the Board prior to the Distribution Date and who does not subsequently acquire additional Common Shares representing at least 0.5% of the Common Shares then outstanding.</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purposes of the Rights and the Rights Agreement, a person or entity shall be deemed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any securities that, except under limited circumstances (including relating to such person’ or entity’s participation in good faith in a firm commitment underwriting), (i) that such person or entity (or any of their affiliates or associates), directly or indirectly has (A) the right to acquire pursuant to any agreement, arrangement or understanding, or upon the exercise of conversion rights, exchange rights, rights (other than the Rights), warrants or options, or otherwise (subject to certain exceptions), or (B) the right to vote or dispose of or otherwise has “beneficial ownership” of (as determined pursuant to Rule 13d-3 of the General Rules and Regulations under the Exchange Act), including pursuant to any agreement, arrangement or understanding (subject to certain exceptions), (ii) that are beneficially owned, directly or indirectly, by any other person or entity (or affiliate or associate thereof) with which such first person or entity (or affiliate or associate thereof) has any agreement, arrangement or understanding for the purpose of acquiring, holding, voting (subject to certain exceptions) or disposing of any securities of the Company, or (iii) that are the subject of a derivative transaction entered into by such person or entity (or any of their affiliates or associates), including, for these purposes, any derivative security that gives such person or entity (or any of their affiliates or associates) the economic equivalent of ownership of an amount of such securities due to the fact that the value of the derivative is explicitly determined by reference to the price or value of such securities, or which provides such person or entity (or any of their affiliates or associates) an opportunity, directly or indirectly, to profit, or to share in any profit, derived from any change in the value of such securities, in any case without regard to whether (a) such derivative conveys any voting rights in such securities to such person or entity (or any of their affiliates or associates), (b) the derivative is required to be, or capable of being, settled through delivery of such securities, or (c) such person or entity (or any of their affiliates or associates) may have entered into other transactions that hedge the economic effect of such derivative.</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determining the number of Common Shares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virtue of the operation of the definition of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in the preceding paragraph, the subject person or entity shall be deemed to “beneficially own” (without duplication) (1) the number of Common Shares that are synthetically owned pursuant to such derivative transactions or such derivative securities and (2) the notional or other number of Common Shares specified in the documentation evidencing the derivative position as being subject to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Common Shares is specified in such documentation or otherwise), as determined by the Board in good faith to be the number of Common Shares to which the derivative position relates.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November 6, 2023 (the “</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unless (i) the Final Expiration Date is extended or (ii) the Rights are earlier redeemed by the Company.</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Flip-in Event</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the event that a person or entity becomes an Acquiring Person, each holder of a Right will thereafter have the right to receive, upon exercise, Common Shares (or in certain circumstances, cash, property or other securities of the Company) having a value equal to two times the Purchase Price of the Right. Notwithstanding the foregoing, following the occurrence of such person becoming an Acquiring Person or any other triggering event with respect to the Rights as described below in the section of this report titled “Flip-over Event,” all Rights that are, or (under certain circumstances specified in the Rights Agreement) were, beneficially owned by any Acquiring Person will be null and void.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Flip-over Event</w:t>
      </w:r>
    </w:p>
    <w:p>
      <w:pPr>
        <w:spacing w:after="0" w:line="117"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Subject to Section 13 of the Rights Agreement, if, at any time after a person or entity becomes an Acquiring Person, (i) the Company consolidates, or merges with, any other person, and the Company is not the surviving corporation, (ii) any person engages in a share exchange, consolidation or merger with the Company where the outstanding Common Shares of the Company are exchanged for securities, cash or property of the other person and the Company is the surviving corporation, or (iii) more than 50% of the Company’s assets, cash flow or earning power is sold or transferred, proper provision will be made so that each holder of a Right will thereafter have the right to receive, upon exercise, common stock of the acquiring company having a value equal to two times the Purchase Price of the Right.</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Exchange</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At any time after any person becomes an Acquiring Person and prior to the acquisition by any person of more than 50% of the outstanding Common Shares, the Board may exchange the then outstanding and exercisable Rights (other than Rights owned by an Acquiring Person, which will have become null and void), in whole or in part, for Common Shares, each Right being exchangeable for one Common Share, subject to adjustment.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17"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The Company may redeem the Rights in whole, but not in part, at a price of $0.01 per Right (subject to adjustment), at any time before the close of business on (i) the date that is ten (10) business days after the first date of public announcement by the Company or an Acquiring Person that an Acquiring Person has become such, or (ii) the Final Expiration Date. Immediately upon the action of the Board ordering redemption of the Rights, the Rights will terminate and the only right of the holders of Rights will be to receive the redemption price.</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11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Prior to the earlier of (i) the Distribution Date or (ii) the occurrence of a triggering event with respect to the Rights as described above in the section of this report titled “Flip-over Event,” any provision of the Rights Agreement may be amended by the Board without the consent of the holders of the Rights. After the first to occur of such events, no such amendment may adversely affect the interests of the holders of the Rights (other than the Acquiring Person and its affiliates and associates).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Adjustment</w:t>
      </w:r>
    </w:p>
    <w:p>
      <w:pPr>
        <w:spacing w:after="0" w:line="117" w:lineRule="exact"/>
        <w:rPr>
          <w:sz w:val="20"/>
          <w:szCs w:val="20"/>
          <w:color w:val="auto"/>
        </w:rPr>
      </w:pPr>
    </w:p>
    <w:p>
      <w:pPr>
        <w:jc w:val="both"/>
        <w:ind w:left="4" w:right="60"/>
        <w:spacing w:after="0" w:line="276" w:lineRule="auto"/>
        <w:rPr>
          <w:sz w:val="20"/>
          <w:szCs w:val="20"/>
          <w:color w:val="auto"/>
        </w:rPr>
      </w:pPr>
      <w:r>
        <w:rPr>
          <w:rFonts w:ascii="Times New Roman" w:cs="Times New Roman" w:eastAsia="Times New Roman" w:hAnsi="Times New Roman"/>
          <w:sz w:val="17"/>
          <w:szCs w:val="17"/>
          <w:color w:val="auto"/>
        </w:rPr>
        <w:t>The Purchase Price payable, and the number of Common Shares or other securities, cash or property issuable, upon exercise of the Rights are subject to customary adjustments from time to time to prevent dilution in the event of certain changes in the shares of the Company (including, but not limited to,</w:t>
      </w:r>
    </w:p>
    <w:p>
      <w:pPr>
        <w:spacing w:after="0" w:line="1" w:lineRule="exact"/>
        <w:rPr>
          <w:sz w:val="20"/>
          <w:szCs w:val="20"/>
          <w:color w:val="auto"/>
        </w:rPr>
      </w:pPr>
    </w:p>
    <w:p>
      <w:pPr>
        <w:ind w:left="4" w:right="20" w:hanging="4"/>
        <w:spacing w:after="0" w:line="253"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a dividend payable in Common Shares; (ii) subdivision or combination of the Common Shares; or (iii) the issuance of any shares of capital stock in a reclassification of the Common Shares). With certain exceptions, no adjustment in the Purchase Price will be required until cumulative adjustments amount to an increase or decrease of at least one percent (1%) in the Purchase Price. The Company may determine not to issue fractional Rights or shares, and in lieu thereof, an adjustment in cash will be made based on the market value of the Rights or shares on the last trading date prior to the date of exercise.</w:t>
      </w:r>
    </w:p>
    <w:p>
      <w:pPr>
        <w:sectPr>
          <w:pgSz w:w="11900" w:h="16838" w:orient="portrait"/>
          <w:cols w:equalWidth="0" w:num="1">
            <w:col w:w="10984"/>
          </w:cols>
          <w:pgMar w:left="436"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Anti-Takeover Effects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Rights will cause substantial dilution to a person or group that attempts to acquire the Company without conditioning the offer on a substantial number of Rights being acquired. Accordingly, the existence of the Rights may deter certain acquirors from making takeover proposals or tender offers. However, the rights plan helps ensure that the Company’s shareholders receive fair and equal treatment in the event of any proposed takeover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of Holders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including, without limitation, the right to vote or to receive dividends.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as an Exhibit to this Registration Statement: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6"/>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Rights Agreement, dated as of November 7, 2022, between Crown Holdings, Inc. and Equiniti Trust Company, as Rights Agent</w:t>
            </w:r>
          </w:p>
        </w:tc>
      </w:t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dated November 7, 2022).</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Press Release of Crown Holdings, Inc. dated November 7, 2022 (incorporated by reference to Exhibit 99.1 to the Company’s Current Report</w:t>
            </w:r>
          </w:p>
        </w:tc>
      </w:t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on Form 8-K dated November 7, 2022).</w:t>
            </w:r>
          </w:p>
        </w:tc>
      </w:tr>
    </w:tbl>
    <w:p>
      <w:pPr>
        <w:sectPr>
          <w:pgSz w:w="11900" w:h="16838" w:orient="portrait"/>
          <w:cols w:equalWidth="0" w:num="1">
            <w:col w:w="11020"/>
          </w:cols>
          <w:pgMar w:left="440" w:top="270"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2022-11-07T08:33:11Z</dcterms:created>
  <dcterms:modified xsi:type="dcterms:W3CDTF">2022-11-07T08:33:11Z</dcterms:modified>
</cp:coreProperties>
</file>