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25, 2022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April 25, 2022 Crown Holdings, Inc. issued a press release announcing its earnings for the first quarter ended March 31, 2022.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April 25, 2022,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STRONG FIRST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Yardley, PA - April 25, 2022. </w:t>
      </w:r>
      <w:r>
        <w:rPr>
          <w:rFonts w:ascii="Times New Roman" w:cs="Times New Roman" w:eastAsia="Times New Roman" w:hAnsi="Times New Roman"/>
          <w:sz w:val="20"/>
          <w:szCs w:val="20"/>
          <w:color w:val="auto"/>
        </w:rPr>
        <w:t>Crown Holdings, Inc. (NYSE: CCK) today announced its financial results for the first quarter ended March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Highlights</w:t>
      </w:r>
    </w:p>
    <w:p>
      <w:pPr>
        <w:spacing w:after="0" w:line="2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Earnings per share $1.74 versus $1.57 in 2021</w:t>
      </w:r>
    </w:p>
    <w:p>
      <w:pPr>
        <w:spacing w:after="0" w:line="1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Adjusted earnings per share increased to $2.01 over the $1.83 in 2021</w:t>
      </w: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Global beverage can growth projects on target, to commercialize 6 billion units in 2022</w:t>
      </w:r>
    </w:p>
    <w:p>
      <w:pPr>
        <w:ind w:left="640" w:hanging="308"/>
        <w:spacing w:after="0" w:line="225"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Repurchased $400 million in Company shares year to date through April 25, 2022</w:t>
      </w: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Definitive agreement to sell Transit Packaging's Kiwiplan business for $182 million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Net sales in the first quarter were $3,162 million compared to $2,564 million in the first quarter of 2021 reflecting increased beverage sales unit volumes and the pass through of higher material costs.</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Income from operations was $344 million in the first quarter compared to $327 million in the first quarter of 2021. Segment income was $383 million in the first quarter compared to $369 million in the prior year primarily due to improved profitability in the North American tinplate and can-making equipment businesses, offset by the timing of insurance recovery related to incremental costs incurred as a result of tornado damage to the Company's Bowling Green plant and unfavorable foreign exchange of $8 million.</w:t>
      </w:r>
    </w:p>
    <w:p>
      <w:pPr>
        <w:spacing w:after="0" w:line="20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Commenting on the quarter, Timothy J. Donahue, President and Chief Executive Officer, stated, “Overall results for the Company during the first quarter were as anticipated. Strong performances in the North American Tinplate and can-making equipment businesses, combined with robust beverage can shipments in Vietnam, offset notable inflationary pressures in Europe and North America and transient market softness in Brazil. On April 1st, the inflation-recovery mechanisms built into our North American beverage can contracts commenced, which will allow us to begin to recoup many of the cost increases experienced over the past year. As previously stated, the Company is in the process of negotiating pending beverage can contracts in Europe to include more comprehensive raw material and other inflationary pass-through provisions. As expected, the Company’s Transit Packaging business experienced an inflationary cost/price squeeze during the first quarter, the recovery of which we expect will begin in the second quarter.</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“To meet accelerating global growth requirements, the Company will commercialize significant new beverage can capacity through the end of 2023 with several projects in construction, including new greenfield plants in Martinsville, Virginia; Mesquite, Nevada; Uberaba, Brazil; and Peterborough, United Kingdom. Additional production lines are also being installed to existing plants in Monterrey, Mexico; Phnom Penh, Cambodia; and Agoncillo, Spain.</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"First quarter results in our North American food can business benefitted from 16% unit volume growth in self-made two-piece cans as a result of new capacity installed to plants in Iowa and Pennsylvania in 2021. Additional two-piece food can capacity is expected to be commercialized later this year as we complete the construction of a third line to our Owatonna, Minnesota plant."</w:t>
      </w:r>
    </w:p>
    <w:p>
      <w:pPr>
        <w:spacing w:after="0" w:line="20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Interest expense was $54 million in the first quarter of 2022 compared to $69 million in 2021 primarily due to lower outstanding debt balances.</w:t>
      </w:r>
    </w:p>
    <w:p>
      <w:pPr>
        <w:spacing w:after="0" w:line="1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income attributable to Crown Holdings in the first quarter was $216 million compared to $211 million in the first quarter of 2021. Reported diluted earnings per share were $1.74 in the first quarter of 2022 compared to $1.57 in 2021. Adjusted diluted earnings per share increased to $2.01 over the $1.83 in 2021.</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10</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 reconciliation from net income and diluted earnings per share to adjusted net income and adjusted diluted earnings per share is provided below.</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Additionally, the Company has entered into a definitive agreement to sell the Transit Packaging segment’s Kiwiplan business and will receive pre-tax proceeds of approximately $182 million from the transaction. Kiwiplan provides manufacturing execution systems, logistics planning, and analytical software for corrugated packaging manufacturing operations. Kiwiplan, headquartered in Cincinnati, Ohio with software development centered in Auckland, New Zealand, generated $39 million and $10 million in revenue and EBITDA, respectively, in 2021. With all regulatory approvals now received, the sale of Kiwiplan is expected to close during the second quarter of 2022, and is subject to customary closing conditions. The Company expects to record an after tax gain of approximately $100 million related to the transaction with net proceeds, after taxes and other transaction related costs, expected to be used to further reduce debt, fund capital projects and repurchase shares over time.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currently expects second quarter adjusted earnings to be in the range of $2.00 to $2.10 per share.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full year adjusted earnings guidance is $8.00 to $8.20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Segment income, adjusted free cash flow, adjusted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The Company views segment income as the principal measure of the performance of its operations and adjusted free cash flow and adjusted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Reconciliations of estimated adjusted diluted earnings per share for the second quarter and full year of 2022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 The Company believes that adjusted net income, the adjusted effective tax rate and adjusted diluted earnings per share are useful in evaluating the Company’s operations as these measures are adjusted for items that affect comparability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adjusted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240"/>
          </w:cols>
          <w:pgMar w:left="320" w:top="6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The Company will hold a conference call tomorrow, April 26, 2022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20"/>
          <w:szCs w:val="20"/>
          <w:color w:val="0000FF"/>
        </w:rPr>
        <w:t>www.crowncork.com</w:t>
      </w:r>
      <w:r>
        <w:rPr>
          <w:rFonts w:ascii="Times New Roman" w:cs="Times New Roman" w:eastAsia="Times New Roman" w:hAnsi="Times New Roman"/>
          <w:sz w:val="20"/>
          <w:szCs w:val="20"/>
          <w:color w:val="auto"/>
        </w:rPr>
        <w:t>. A replay of the conference call will be available for a one-week period ending at midnight on May 3. The telephone numbers for the replay are 203-369-3289 or toll free 800-568-3652.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Except for historical information, all other information in this press release consists of forward-looking statements. These forward-looking statements involve a number of risks, uncertainties and other factors, including the future impact of the coronavirus pandemic on the Company’s operations, including the Company’s ability to continue to operate its plants, distribute its products, and maintain its supply chain; the impact of the coronavirus pandemic on demand for the Company’s products; the future impact of currency translation; the continuation of performance and market trends in 2022, including consumer preference for beverage cans and increasing global beverage can demand; future demand for food cans; the Company’s ability to recoup cost increases and include inflationary pass-through provisions in customer contracts and the Company’s ability to successfully complete its previously announced capacity expansion projects and begin production within expected timelines, including any delays related to the pandemic,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2021 and in subsequent filings made prior to or after the date hereof. The Company does not intend to review or revise any particular forward-looking statement in light of future events.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w:t>
      </w:r>
    </w:p>
    <w:p>
      <w:pPr>
        <w:spacing w:after="0" w:line="22" w:lineRule="exact"/>
        <w:rPr>
          <w:sz w:val="20"/>
          <w:szCs w:val="20"/>
          <w:color w:val="auto"/>
        </w:rPr>
      </w:pPr>
    </w:p>
    <w:p>
      <w:pPr>
        <w:ind w:right="3860"/>
        <w:spacing w:after="0" w:line="256" w:lineRule="auto"/>
        <w:rPr>
          <w:sz w:val="20"/>
          <w:szCs w:val="20"/>
          <w:color w:val="auto"/>
        </w:rPr>
      </w:pPr>
      <w:r>
        <w:rPr>
          <w:rFonts w:ascii="Times New Roman" w:cs="Times New Roman" w:eastAsia="Times New Roman" w:hAnsi="Times New Roman"/>
          <w:sz w:val="19"/>
          <w:szCs w:val="19"/>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39" w:lineRule="exact"/>
        <w:rPr>
          <w:sz w:val="20"/>
          <w:szCs w:val="20"/>
          <w:color w:val="auto"/>
        </w:rPr>
      </w:pPr>
    </w:p>
    <w:p>
      <w:pPr>
        <w:ind w:right="1080"/>
        <w:spacing w:after="0" w:line="259" w:lineRule="auto"/>
        <w:rPr>
          <w:sz w:val="20"/>
          <w:szCs w:val="20"/>
          <w:color w:val="auto"/>
        </w:rPr>
      </w:pPr>
      <w:r>
        <w:rPr>
          <w:rFonts w:ascii="Times New Roman" w:cs="Times New Roman" w:eastAsia="Times New Roman" w:hAnsi="Times New Roman"/>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1240"/>
          </w:cols>
          <w:pgMar w:left="320" w:top="601"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35" w:lineRule="exact"/>
        <w:rPr>
          <w:sz w:val="20"/>
          <w:szCs w:val="20"/>
          <w:color w:val="auto"/>
        </w:rPr>
      </w:pPr>
    </w:p>
    <w:tbl>
      <w:tblPr>
        <w:tblLayout w:type="fixed"/>
        <w:tblInd w:w="146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9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3,162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2,564</w:t>
            </w:r>
          </w:p>
        </w:tc>
      </w:tr>
      <w:tr>
        <w:trPr>
          <w:trHeight w:val="223"/>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products sold</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29"/>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other</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5280" w:type="dxa"/>
            <w:vAlign w:val="bottom"/>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(2)</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r>
      <w:tr>
        <w:trPr>
          <w:trHeight w:val="230"/>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Foreign exchange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w:t>
            </w:r>
          </w:p>
        </w:tc>
      </w:tr>
      <w:tr>
        <w:trPr>
          <w:trHeight w:val="229"/>
        </w:trPr>
        <w:tc>
          <w:tcPr>
            <w:tcW w:w="5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r>
      <w:tr>
        <w:trPr>
          <w:trHeight w:val="229"/>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5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Equity earnings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23"/>
        </w:trPr>
        <w:tc>
          <w:tcPr>
            <w:tcW w:w="5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r>
      <w:tr>
        <w:trPr>
          <w:trHeight w:val="175"/>
        </w:trPr>
        <w:tc>
          <w:tcPr>
            <w:tcW w:w="528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from continuing operations attributable to noncontrolling</w:t>
            </w: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75"/>
        </w:trPr>
        <w:tc>
          <w:tcPr>
            <w:tcW w:w="528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attributable to</w:t>
            </w: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260" w:right="1839" w:hanging="8"/>
        <w:spacing w:after="0" w:line="229" w:lineRule="auto"/>
        <w:tabs>
          <w:tab w:leader="none" w:pos="441" w:val="left"/>
        </w:tabs>
        <w:numPr>
          <w:ilvl w:val="1"/>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Prior period financial information has been recast to present the results of the European Tinplate business as discontinued operations. The business was sold on August 31, 2021.</w:t>
      </w:r>
    </w:p>
    <w:p>
      <w:pPr>
        <w:spacing w:after="0" w:line="195" w:lineRule="exact"/>
        <w:rPr>
          <w:rFonts w:ascii="Times New Roman" w:cs="Times New Roman" w:eastAsia="Times New Roman" w:hAnsi="Times New Roman"/>
          <w:sz w:val="23"/>
          <w:szCs w:val="23"/>
          <w:color w:val="auto"/>
          <w:vertAlign w:val="superscript"/>
        </w:rPr>
      </w:pPr>
    </w:p>
    <w:p>
      <w:pPr>
        <w:ind w:left="360" w:hanging="189"/>
        <w:spacing w:after="0"/>
        <w:tabs>
          <w:tab w:leader="none" w:pos="3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Reconciliation from income from operations to segment income follows.</w:t>
      </w:r>
    </w:p>
    <w:p>
      <w:pPr>
        <w:spacing w:after="0" w:line="200" w:lineRule="exact"/>
        <w:rPr>
          <w:sz w:val="20"/>
          <w:szCs w:val="20"/>
          <w:color w:val="auto"/>
        </w:rPr>
      </w:pPr>
    </w:p>
    <w:p>
      <w:pPr>
        <w:spacing w:after="0" w:line="3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Page 4 of 10</w:t>
      </w:r>
    </w:p>
    <w:p>
      <w:pPr>
        <w:sectPr>
          <w:pgSz w:w="11900" w:h="16838" w:orient="portrait"/>
          <w:cols w:equalWidth="0" w:num="1">
            <w:col w:w="10059"/>
          </w:cols>
          <w:pgMar w:left="400" w:top="601" w:right="1440"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770 Township Line Road</w:t>
      </w:r>
    </w:p>
    <w:p>
      <w:pPr>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u w:val="single" w:color="auto"/>
          <w:color w:val="auto"/>
        </w:rPr>
        <w:t>Earnings Per Share</w:t>
      </w:r>
    </w:p>
    <w:p>
      <w:pPr>
        <w:spacing w:after="0" w:line="30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23"/>
        </w:trPr>
        <w:tc>
          <w:tcPr>
            <w:tcW w:w="58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58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From discontinued operations </w:t>
            </w:r>
            <w:r>
              <w:rPr>
                <w:rFonts w:ascii="Times New Roman" w:cs="Times New Roman" w:eastAsia="Times New Roman" w:hAnsi="Times New Roman"/>
                <w:sz w:val="23"/>
                <w:szCs w:val="23"/>
                <w:color w:val="auto"/>
                <w:vertAlign w:val="superscript"/>
              </w:rPr>
              <w:t>(1)</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 attributable to Crown Holdings: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share from discontinued operations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 from continuing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 from discontinued operations</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4"/>
        </w:trPr>
        <w:tc>
          <w:tcPr>
            <w:tcW w:w="5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123,644,811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133,616,057</w:t>
            </w:r>
          </w:p>
        </w:tc>
      </w:tr>
      <w:tr>
        <w:trPr>
          <w:trHeight w:val="23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124,430,160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134,612,182</w:t>
            </w:r>
          </w:p>
        </w:tc>
      </w:tr>
      <w:tr>
        <w:trPr>
          <w:trHeight w:val="230"/>
        </w:trPr>
        <w:tc>
          <w:tcPr>
            <w:tcW w:w="4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123,362,113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134,909,337</w:t>
            </w:r>
          </w:p>
        </w:tc>
      </w:tr>
    </w:tbl>
    <w:p>
      <w:pPr>
        <w:spacing w:after="0" w:line="200" w:lineRule="exact"/>
        <w:rPr>
          <w:sz w:val="20"/>
          <w:szCs w:val="20"/>
          <w:color w:val="auto"/>
        </w:rPr>
      </w:pPr>
    </w:p>
    <w:p>
      <w:pPr>
        <w:spacing w:after="0" w:line="317" w:lineRule="exact"/>
        <w:rPr>
          <w:sz w:val="20"/>
          <w:szCs w:val="20"/>
          <w:color w:val="auto"/>
        </w:rPr>
      </w:pPr>
    </w:p>
    <w:p>
      <w:pPr>
        <w:ind w:left="1240" w:hanging="178"/>
        <w:spacing w:after="0"/>
        <w:tabs>
          <w:tab w:leader="none" w:pos="124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Discontinued operations does not include any allocation of interest expense or indirect costs.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1" w:lineRule="exact"/>
        <w:rPr>
          <w:rFonts w:ascii="Times New Roman" w:cs="Times New Roman" w:eastAsia="Times New Roman" w:hAnsi="Times New Roman"/>
          <w:sz w:val="22"/>
          <w:szCs w:val="22"/>
          <w:color w:val="auto"/>
          <w:vertAlign w:val="superscript"/>
        </w:rPr>
      </w:pPr>
    </w:p>
    <w:p>
      <w:pPr>
        <w:ind w:left="510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Page 5 of 10</w:t>
      </w:r>
    </w:p>
    <w:p>
      <w:pPr>
        <w:sectPr>
          <w:pgSz w:w="11900" w:h="16838" w:orient="portrait"/>
          <w:cols w:equalWidth="0" w:num="1">
            <w:col w:w="10059"/>
          </w:cols>
          <w:pgMar w:left="400" w:top="601" w:right="1440" w:bottom="1440" w:gutter="0" w:footer="0" w:header="0"/>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8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290" w:lineRule="exact"/>
        <w:rPr>
          <w:sz w:val="20"/>
          <w:szCs w:val="20"/>
          <w:color w:val="auto"/>
        </w:rPr>
      </w:pPr>
    </w:p>
    <w:tbl>
      <w:tblPr>
        <w:tblLayout w:type="fixed"/>
        <w:tblInd w:w="290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28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3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5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8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7"/>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8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r>
      <w:tr>
        <w:trPr>
          <w:trHeight w:val="223"/>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r>
      <w:tr>
        <w:trPr>
          <w:trHeight w:val="20"/>
        </w:trPr>
        <w:tc>
          <w:tcPr>
            <w:tcW w:w="2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319"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0"/>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2,270</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2,564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84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2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30"/>
        </w:trPr>
        <w:tc>
          <w:tcPr>
            <w:tcW w:w="28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2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unallocated items</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260" w:right="80" w:hanging="252"/>
        <w:spacing w:after="0" w:line="266" w:lineRule="auto"/>
        <w:tabs>
          <w:tab w:leader="none" w:pos="1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601" w:right="339" w:bottom="6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10</w:t>
      </w:r>
    </w:p>
    <w:p>
      <w:pPr>
        <w:sectPr>
          <w:pgSz w:w="11900" w:h="16838" w:orient="portrait"/>
          <w:cols w:equalWidth="0" w:num="1">
            <w:col w:w="11240"/>
          </w:cols>
          <w:pgMar w:left="320" w:top="601" w:right="339" w:bottom="634"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3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w:t>
      </w:r>
    </w:p>
    <w:p>
      <w:pPr>
        <w:spacing w:after="0" w:line="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earnings per share, as used elsewhere in this release. Some or all of each reconciling item is recorded within discontinued operations in the consolidated statement of operations.</w:t>
      </w:r>
    </w:p>
    <w:p>
      <w:pPr>
        <w:spacing w:after="0" w:line="200" w:lineRule="exact"/>
        <w:rPr>
          <w:sz w:val="20"/>
          <w:szCs w:val="20"/>
          <w:color w:val="auto"/>
        </w:rPr>
      </w:pPr>
    </w:p>
    <w:p>
      <w:pPr>
        <w:spacing w:after="0" w:line="228" w:lineRule="exact"/>
        <w:rPr>
          <w:sz w:val="20"/>
          <w:szCs w:val="20"/>
          <w:color w:val="auto"/>
        </w:rPr>
      </w:pPr>
    </w:p>
    <w:tbl>
      <w:tblPr>
        <w:tblLayout w:type="fixed"/>
        <w:tblInd w:w="232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338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4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$216</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$1.74</w:t>
            </w: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$211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$1.57</w:t>
            </w:r>
          </w:p>
        </w:tc>
        <w:tc>
          <w:tcPr>
            <w:tcW w:w="0" w:type="dxa"/>
            <w:vAlign w:val="bottom"/>
          </w:tcPr>
          <w:p>
            <w:pPr>
              <w:spacing w:after="0"/>
              <w:rPr>
                <w:sz w:val="1"/>
                <w:szCs w:val="1"/>
                <w:color w:val="auto"/>
              </w:rPr>
            </w:pPr>
          </w:p>
        </w:tc>
      </w:tr>
      <w:tr>
        <w:trPr>
          <w:trHeight w:val="23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2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7"/>
        </w:trPr>
        <w:tc>
          <w:tcPr>
            <w:tcW w:w="3240" w:type="dxa"/>
            <w:vAlign w:val="bottom"/>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ind w:left="24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(4)</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w:t>
            </w:r>
          </w:p>
        </w:tc>
        <w:tc>
          <w:tcPr>
            <w:tcW w:w="1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$1.83</w:t>
            </w:r>
          </w:p>
        </w:tc>
        <w:tc>
          <w:tcPr>
            <w:tcW w:w="0" w:type="dxa"/>
            <w:vAlign w:val="bottom"/>
          </w:tcPr>
          <w:p>
            <w:pPr>
              <w:spacing w:after="0"/>
              <w:rPr>
                <w:sz w:val="1"/>
                <w:szCs w:val="1"/>
                <w:color w:val="auto"/>
              </w:rPr>
            </w:pPr>
          </w:p>
        </w:tc>
      </w:tr>
      <w:tr>
        <w:trPr>
          <w:trHeight w:val="203"/>
        </w:trPr>
        <w:tc>
          <w:tcPr>
            <w:tcW w:w="32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8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94" w:lineRule="exact"/>
        <w:rPr>
          <w:sz w:val="20"/>
          <w:szCs w:val="20"/>
          <w:color w:val="auto"/>
        </w:rPr>
      </w:pPr>
    </w:p>
    <w:p>
      <w:pPr>
        <w:ind w:left="340" w:right="20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quarters of 2022 and 2021, the Company recorded charges of $40 million ($31 million net of tax) and $47 million ($36 million net of tax) for intangibles amortization arising from prior acquisitions.</w:t>
      </w:r>
    </w:p>
    <w:p>
      <w:pPr>
        <w:spacing w:after="0" w:line="229" w:lineRule="exact"/>
        <w:rPr>
          <w:rFonts w:ascii="Times New Roman" w:cs="Times New Roman" w:eastAsia="Times New Roman" w:hAnsi="Times New Roman"/>
          <w:sz w:val="18"/>
          <w:szCs w:val="18"/>
          <w:color w:val="auto"/>
        </w:rPr>
      </w:pPr>
    </w:p>
    <w:p>
      <w:pPr>
        <w:jc w:val="both"/>
        <w:ind w:left="340" w:right="200" w:hanging="332"/>
        <w:spacing w:after="0" w:line="260" w:lineRule="auto"/>
        <w:tabs>
          <w:tab w:leader="none" w:pos="33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first quarter of 2022, the Company recorded net restructuring and other gains of $1 million ($2 million net of tax). In the first quarter of 2021, the Company recorded net restructuring and other charges of $2 million ($2 million net of tax) primarily related to business reorganization activities.</w:t>
      </w:r>
    </w:p>
    <w:p>
      <w:pPr>
        <w:spacing w:after="0" w:line="1" w:lineRule="exact"/>
        <w:rPr>
          <w:rFonts w:ascii="Times New Roman" w:cs="Times New Roman" w:eastAsia="Times New Roman" w:hAnsi="Times New Roman"/>
          <w:sz w:val="17"/>
          <w:szCs w:val="17"/>
          <w:color w:val="auto"/>
        </w:rPr>
      </w:pPr>
    </w:p>
    <w:p>
      <w:pPr>
        <w:ind w:left="340" w:right="260" w:hanging="332"/>
        <w:spacing w:after="0" w:line="243"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quarters of 2022 and 2021, the Company recorded income tax benefits of $7 million and $14 million for tax matters including changes in tax laws, tax settlements and for the items described above.</w:t>
      </w:r>
    </w:p>
    <w:p>
      <w:pPr>
        <w:spacing w:after="0" w:line="208" w:lineRule="exact"/>
        <w:rPr>
          <w:rFonts w:ascii="Times New Roman" w:cs="Times New Roman" w:eastAsia="Times New Roman" w:hAnsi="Times New Roman"/>
          <w:sz w:val="18"/>
          <w:szCs w:val="18"/>
          <w:color w:val="auto"/>
        </w:rPr>
      </w:pPr>
    </w:p>
    <w:p>
      <w:pPr>
        <w:ind w:left="340" w:right="48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2022, the Company recorded its proportional share of intangible amortization and inventory step-up charges recorded by its equity method affiliate, Eviosys. These charges were recorded net of tax by the Company in the line Equity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1240"/>
          </w:cols>
          <w:pgMar w:left="320" w:top="601" w:right="3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00" w:type="dxa"/>
            <w:vAlign w:val="bottom"/>
          </w:tcPr>
          <w:p>
            <w:pPr>
              <w:spacing w:after="0"/>
              <w:rPr>
                <w:sz w:val="22"/>
                <w:szCs w:val="22"/>
                <w:color w:val="auto"/>
              </w:rPr>
            </w:pP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(1)</w:t>
            </w:r>
          </w:p>
        </w:tc>
        <w:tc>
          <w:tcPr>
            <w:tcW w:w="1480" w:type="dxa"/>
            <w:vAlign w:val="bottom"/>
          </w:tcPr>
          <w:p>
            <w:pPr>
              <w:spacing w:after="0"/>
              <w:rPr>
                <w:sz w:val="22"/>
                <w:szCs w:val="22"/>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2,873</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5,062</w:t>
            </w:r>
          </w:p>
        </w:tc>
        <w:tc>
          <w:tcPr>
            <w:tcW w:w="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6,688</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4,766</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7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480" w:type="dxa"/>
            <w:vAlign w:val="bottom"/>
          </w:tcPr>
          <w:p>
            <w:pPr>
              <w:spacing w:after="0"/>
              <w:rPr>
                <w:sz w:val="23"/>
                <w:szCs w:val="23"/>
                <w:color w:val="auto"/>
              </w:rPr>
            </w:pPr>
          </w:p>
        </w:tc>
      </w:tr>
      <w:tr>
        <w:trPr>
          <w:trHeight w:val="248"/>
        </w:trPr>
        <w:tc>
          <w:tcPr>
            <w:tcW w:w="150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14,430</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16,163</w:t>
            </w:r>
          </w:p>
        </w:tc>
        <w:tc>
          <w:tcPr>
            <w:tcW w:w="148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4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5,106</w:t>
            </w:r>
          </w:p>
        </w:tc>
        <w:tc>
          <w:tcPr>
            <w:tcW w:w="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3,933</w:t>
            </w:r>
          </w:p>
        </w:tc>
        <w:tc>
          <w:tcPr>
            <w:tcW w:w="1480" w:type="dxa"/>
            <w:vAlign w:val="bottom"/>
          </w:tcPr>
          <w:p>
            <w:pPr>
              <w:spacing w:after="0"/>
              <w:rPr>
                <w:sz w:val="21"/>
                <w:szCs w:val="21"/>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80" w:type="dxa"/>
            <w:vAlign w:val="bottom"/>
          </w:tcPr>
          <w:p>
            <w:pPr>
              <w:spacing w:after="0"/>
              <w:rPr>
                <w:sz w:val="21"/>
                <w:szCs w:val="21"/>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7,875</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7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48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7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2,377</w:t>
            </w:r>
          </w:p>
        </w:tc>
        <w:tc>
          <w:tcPr>
            <w:tcW w:w="1480" w:type="dxa"/>
            <w:vAlign w:val="bottom"/>
          </w:tcPr>
          <w:p>
            <w:pPr>
              <w:spacing w:after="0"/>
              <w:rPr>
                <w:sz w:val="23"/>
                <w:szCs w:val="23"/>
                <w:color w:val="auto"/>
              </w:rPr>
            </w:pPr>
          </w:p>
        </w:tc>
      </w:tr>
      <w:tr>
        <w:trPr>
          <w:trHeight w:val="250"/>
        </w:trPr>
        <w:tc>
          <w:tcPr>
            <w:tcW w:w="1500" w:type="dxa"/>
            <w:vAlign w:val="bottom"/>
          </w:tcPr>
          <w:p>
            <w:pPr>
              <w:spacing w:after="0"/>
              <w:rPr>
                <w:sz w:val="21"/>
                <w:szCs w:val="21"/>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7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2,808</w:t>
            </w:r>
          </w:p>
        </w:tc>
        <w:tc>
          <w:tcPr>
            <w:tcW w:w="1480" w:type="dxa"/>
            <w:vAlign w:val="bottom"/>
          </w:tcPr>
          <w:p>
            <w:pPr>
              <w:spacing w:after="0"/>
              <w:rPr>
                <w:sz w:val="21"/>
                <w:szCs w:val="21"/>
                <w:color w:val="auto"/>
              </w:rPr>
            </w:pPr>
          </w:p>
        </w:tc>
      </w:tr>
      <w:tr>
        <w:trPr>
          <w:trHeight w:val="223"/>
        </w:trPr>
        <w:tc>
          <w:tcPr>
            <w:tcW w:w="1500" w:type="dxa"/>
            <w:vAlign w:val="bottom"/>
          </w:tcPr>
          <w:p>
            <w:pPr>
              <w:spacing w:after="0"/>
              <w:rPr>
                <w:sz w:val="19"/>
                <w:szCs w:val="19"/>
                <w:color w:val="auto"/>
              </w:rPr>
            </w:pPr>
          </w:p>
        </w:tc>
        <w:tc>
          <w:tcPr>
            <w:tcW w:w="48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14,430</w:t>
            </w:r>
          </w:p>
        </w:tc>
        <w:tc>
          <w:tcPr>
            <w:tcW w:w="7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16,163</w:t>
            </w:r>
          </w:p>
        </w:tc>
        <w:tc>
          <w:tcPr>
            <w:tcW w:w="148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33"/>
        </w:trPr>
        <w:tc>
          <w:tcPr>
            <w:tcW w:w="15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319"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financial information has been recast to present the assets and liabilities of the European Tinplate business as held for sale.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Page 8 of 10</w:t>
      </w:r>
    </w:p>
    <w:p>
      <w:pPr>
        <w:sectPr>
          <w:pgSz w:w="11900" w:h="16838" w:orient="portrait"/>
          <w:cols w:equalWidth="0" w:num="1">
            <w:col w:w="11240"/>
          </w:cols>
          <w:pgMar w:left="320" w:top="601"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920" w:type="dxa"/>
            <w:vAlign w:val="bottom"/>
          </w:tcPr>
          <w:p>
            <w:pPr>
              <w:spacing w:after="0"/>
              <w:rPr>
                <w:sz w:val="19"/>
                <w:szCs w:val="19"/>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ind w:left="46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Net cash used for operating activities </w:t>
            </w:r>
            <w:r>
              <w:rPr>
                <w:rFonts w:ascii="Times New Roman" w:cs="Times New Roman" w:eastAsia="Times New Roman" w:hAnsi="Times New Roman"/>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4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1920" w:type="dxa"/>
            <w:vAlign w:val="bottom"/>
          </w:tcPr>
          <w:p>
            <w:pPr>
              <w:spacing w:after="0"/>
              <w:rPr>
                <w:sz w:val="20"/>
                <w:szCs w:val="20"/>
                <w:color w:val="auto"/>
              </w:rPr>
            </w:pPr>
          </w:p>
        </w:tc>
      </w:tr>
      <w:tr>
        <w:trPr>
          <w:trHeight w:val="209"/>
        </w:trPr>
        <w:tc>
          <w:tcPr>
            <w:tcW w:w="19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920" w:type="dxa"/>
            <w:vAlign w:val="bottom"/>
          </w:tcPr>
          <w:p>
            <w:pPr>
              <w:spacing w:after="0"/>
              <w:rPr>
                <w:sz w:val="19"/>
                <w:szCs w:val="19"/>
                <w:color w:val="auto"/>
              </w:rPr>
            </w:pPr>
          </w:p>
        </w:tc>
      </w:tr>
      <w:tr>
        <w:trPr>
          <w:trHeight w:val="237"/>
        </w:trPr>
        <w:tc>
          <w:tcPr>
            <w:tcW w:w="1940" w:type="dxa"/>
            <w:vAlign w:val="bottom"/>
          </w:tcPr>
          <w:p>
            <w:pPr>
              <w:spacing w:after="0"/>
              <w:rPr>
                <w:sz w:val="20"/>
                <w:szCs w:val="20"/>
                <w:color w:val="auto"/>
              </w:rPr>
            </w:pPr>
          </w:p>
        </w:tc>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920" w:type="dxa"/>
            <w:vAlign w:val="bottom"/>
          </w:tcPr>
          <w:p>
            <w:pPr>
              <w:spacing w:after="0"/>
              <w:rPr>
                <w:sz w:val="20"/>
                <w:szCs w:val="20"/>
                <w:color w:val="auto"/>
              </w:rPr>
            </w:pPr>
          </w:p>
        </w:tc>
      </w:tr>
      <w:tr>
        <w:trPr>
          <w:trHeight w:val="237"/>
        </w:trPr>
        <w:tc>
          <w:tcPr>
            <w:tcW w:w="1940" w:type="dxa"/>
            <w:vAlign w:val="bottom"/>
          </w:tcPr>
          <w:p>
            <w:pPr>
              <w:spacing w:after="0"/>
              <w:rPr>
                <w:sz w:val="20"/>
                <w:szCs w:val="20"/>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920" w:type="dxa"/>
            <w:vAlign w:val="bottom"/>
          </w:tcPr>
          <w:p>
            <w:pPr>
              <w:spacing w:after="0"/>
              <w:rPr>
                <w:sz w:val="20"/>
                <w:szCs w:val="20"/>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issue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920" w:type="dxa"/>
            <w:vAlign w:val="bottom"/>
          </w:tcPr>
          <w:p>
            <w:pPr>
              <w:spacing w:after="0"/>
              <w:rPr>
                <w:sz w:val="19"/>
                <w:szCs w:val="19"/>
                <w:color w:val="auto"/>
              </w:rPr>
            </w:pPr>
          </w:p>
        </w:tc>
      </w:tr>
      <w:tr>
        <w:trPr>
          <w:trHeight w:val="230"/>
        </w:trPr>
        <w:tc>
          <w:tcPr>
            <w:tcW w:w="1940" w:type="dxa"/>
            <w:vAlign w:val="bottom"/>
          </w:tcPr>
          <w:p>
            <w:pPr>
              <w:spacing w:after="0"/>
              <w:rPr>
                <w:sz w:val="19"/>
                <w:szCs w:val="19"/>
                <w:color w:val="auto"/>
              </w:rPr>
            </w:pPr>
          </w:p>
        </w:tc>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920" w:type="dxa"/>
            <w:vAlign w:val="bottom"/>
          </w:tcPr>
          <w:p>
            <w:pPr>
              <w:spacing w:after="0"/>
              <w:rPr>
                <w:sz w:val="19"/>
                <w:szCs w:val="19"/>
                <w:color w:val="auto"/>
              </w:rPr>
            </w:pPr>
          </w:p>
        </w:tc>
      </w:tr>
      <w:tr>
        <w:trPr>
          <w:trHeight w:val="236"/>
        </w:trPr>
        <w:tc>
          <w:tcPr>
            <w:tcW w:w="1940" w:type="dxa"/>
            <w:vAlign w:val="bottom"/>
          </w:tcPr>
          <w:p>
            <w:pPr>
              <w:spacing w:after="0"/>
              <w:rPr>
                <w:sz w:val="20"/>
                <w:szCs w:val="20"/>
                <w:color w:val="auto"/>
              </w:rPr>
            </w:pPr>
          </w:p>
        </w:tc>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Net cash provided by/(used for)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4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920" w:type="dxa"/>
            <w:vAlign w:val="bottom"/>
          </w:tcPr>
          <w:p>
            <w:pPr>
              <w:spacing w:after="0"/>
              <w:rPr>
                <w:sz w:val="20"/>
                <w:szCs w:val="20"/>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920" w:type="dxa"/>
            <w:vAlign w:val="bottom"/>
          </w:tcPr>
          <w:p>
            <w:pPr>
              <w:spacing w:after="0"/>
              <w:rPr>
                <w:sz w:val="7"/>
                <w:szCs w:val="7"/>
                <w:color w:val="auto"/>
              </w:rPr>
            </w:pPr>
          </w:p>
        </w:tc>
      </w:tr>
      <w:tr>
        <w:trPr>
          <w:trHeight w:val="257"/>
        </w:trPr>
        <w:tc>
          <w:tcPr>
            <w:tcW w:w="19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920" w:type="dxa"/>
            <w:vAlign w:val="bottom"/>
          </w:tcPr>
          <w:p>
            <w:pPr>
              <w:spacing w:after="0"/>
              <w:rPr>
                <w:sz w:val="22"/>
                <w:szCs w:val="22"/>
                <w:color w:val="auto"/>
              </w:rPr>
            </w:pPr>
          </w:p>
        </w:tc>
      </w:tr>
      <w:tr>
        <w:trPr>
          <w:trHeight w:val="256"/>
        </w:trPr>
        <w:tc>
          <w:tcPr>
            <w:tcW w:w="1940" w:type="dxa"/>
            <w:vAlign w:val="bottom"/>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4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920" w:type="dxa"/>
            <w:vAlign w:val="bottom"/>
          </w:tcPr>
          <w:p>
            <w:pPr>
              <w:spacing w:after="0"/>
              <w:rPr>
                <w:sz w:val="22"/>
                <w:szCs w:val="22"/>
                <w:color w:val="auto"/>
              </w:rPr>
            </w:pPr>
          </w:p>
        </w:tc>
      </w:tr>
      <w:tr>
        <w:trPr>
          <w:trHeight w:val="88"/>
        </w:trPr>
        <w:tc>
          <w:tcPr>
            <w:tcW w:w="1940" w:type="dxa"/>
            <w:vAlign w:val="bottom"/>
          </w:tcPr>
          <w:p>
            <w:pPr>
              <w:spacing w:after="0"/>
              <w:rPr>
                <w:sz w:val="7"/>
                <w:szCs w:val="7"/>
                <w:color w:val="auto"/>
              </w:rPr>
            </w:pPr>
          </w:p>
        </w:tc>
        <w:tc>
          <w:tcPr>
            <w:tcW w:w="4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255"/>
        </w:trPr>
        <w:tc>
          <w:tcPr>
            <w:tcW w:w="194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Cash and cash equivalents at March 31 </w:t>
            </w:r>
            <w:r>
              <w:rPr>
                <w:rFonts w:ascii="Times New Roman" w:cs="Times New Roman" w:eastAsia="Times New Roman" w:hAnsi="Times New Roman"/>
                <w:sz w:val="23"/>
                <w:szCs w:val="23"/>
                <w:b w:val="1"/>
                <w:bCs w:val="1"/>
                <w:color w:val="auto"/>
                <w:vertAlign w:val="superscript"/>
              </w:rPr>
              <w:t>(2)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1920" w:type="dxa"/>
            <w:vAlign w:val="bottom"/>
          </w:tcPr>
          <w:p>
            <w:pPr>
              <w:spacing w:after="0"/>
              <w:rPr>
                <w:sz w:val="21"/>
                <w:szCs w:val="21"/>
                <w:color w:val="auto"/>
              </w:rPr>
            </w:pPr>
          </w:p>
        </w:tc>
      </w:tr>
      <w:tr>
        <w:trPr>
          <w:trHeight w:val="20"/>
        </w:trPr>
        <w:tc>
          <w:tcPr>
            <w:tcW w:w="194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70"/>
        </w:trPr>
        <w:tc>
          <w:tcPr>
            <w:tcW w:w="194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r>
    </w:tbl>
    <w:p>
      <w:pPr>
        <w:spacing w:after="0" w:line="103" w:lineRule="exact"/>
        <w:rPr>
          <w:sz w:val="20"/>
          <w:szCs w:val="20"/>
          <w:color w:val="auto"/>
        </w:rPr>
      </w:pPr>
    </w:p>
    <w:p>
      <w:pPr>
        <w:ind w:left="420" w:right="360" w:hanging="331"/>
        <w:spacing w:after="0" w:line="296" w:lineRule="auto"/>
        <w:tabs>
          <w:tab w:leader="none" w:pos="4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free cash flow is defined by the Company as net cash used for operating activities less capital expenditures and certain other items. A reconciliation from net cash used for operating activities to adjusted free cash flow for the three months ended March 31, 2022 and 2021 follows.</w:t>
      </w:r>
    </w:p>
    <w:p>
      <w:pPr>
        <w:spacing w:after="0" w:line="165" w:lineRule="exact"/>
        <w:rPr>
          <w:rFonts w:ascii="Times New Roman" w:cs="Times New Roman" w:eastAsia="Times New Roman" w:hAnsi="Times New Roman"/>
          <w:sz w:val="17"/>
          <w:szCs w:val="17"/>
          <w:color w:val="auto"/>
        </w:rPr>
      </w:pPr>
    </w:p>
    <w:p>
      <w:pPr>
        <w:ind w:left="400" w:hanging="311"/>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includes $71 and $79 of restricted cash at March 31, 2022 and 2021.</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900" w:type="dxa"/>
            <w:vAlign w:val="bottom"/>
          </w:tcPr>
          <w:p>
            <w:pPr>
              <w:spacing w:after="0"/>
              <w:rPr>
                <w:sz w:val="20"/>
                <w:szCs w:val="20"/>
                <w:color w:val="auto"/>
              </w:rPr>
            </w:pPr>
          </w:p>
        </w:tc>
      </w:tr>
      <w:tr>
        <w:trPr>
          <w:trHeight w:val="25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for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w:t>
            </w:r>
          </w:p>
        </w:tc>
        <w:tc>
          <w:tcPr>
            <w:tcW w:w="3900" w:type="dxa"/>
            <w:vAlign w:val="bottom"/>
          </w:tcPr>
          <w:p>
            <w:pPr>
              <w:spacing w:after="0"/>
              <w:rPr>
                <w:sz w:val="21"/>
                <w:szCs w:val="21"/>
                <w:color w:val="auto"/>
              </w:rPr>
            </w:pPr>
          </w:p>
        </w:tc>
      </w:tr>
      <w:tr>
        <w:trPr>
          <w:trHeight w:val="256"/>
        </w:trPr>
        <w:tc>
          <w:tcPr>
            <w:tcW w:w="45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UK pension settlement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900" w:type="dxa"/>
            <w:vAlign w:val="bottom"/>
          </w:tcPr>
          <w:p>
            <w:pPr>
              <w:spacing w:after="0"/>
              <w:rPr>
                <w:sz w:val="22"/>
                <w:szCs w:val="22"/>
                <w:color w:val="auto"/>
              </w:rPr>
            </w:pPr>
          </w:p>
        </w:tc>
      </w:tr>
      <w:tr>
        <w:trPr>
          <w:trHeight w:val="2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(4)</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900" w:type="dxa"/>
            <w:vAlign w:val="bottom"/>
          </w:tcPr>
          <w:p>
            <w:pPr>
              <w:spacing w:after="0"/>
              <w:rPr>
                <w:sz w:val="23"/>
                <w:szCs w:val="23"/>
                <w:color w:val="auto"/>
              </w:rPr>
            </w:pPr>
          </w:p>
        </w:tc>
      </w:tr>
      <w:tr>
        <w:trPr>
          <w:trHeight w:val="27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900" w:type="dxa"/>
            <w:vAlign w:val="bottom"/>
          </w:tcPr>
          <w:p>
            <w:pPr>
              <w:spacing w:after="0"/>
              <w:rPr>
                <w:sz w:val="23"/>
                <w:szCs w:val="23"/>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3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3900" w:type="dxa"/>
            <w:vAlign w:val="bottom"/>
          </w:tcPr>
          <w:p>
            <w:pPr>
              <w:spacing w:after="0"/>
              <w:rPr>
                <w:sz w:val="20"/>
                <w:szCs w:val="20"/>
                <w:color w:val="auto"/>
              </w:rPr>
            </w:pPr>
          </w:p>
        </w:tc>
      </w:tr>
      <w:tr>
        <w:trPr>
          <w:trHeight w:val="189"/>
        </w:trPr>
        <w:tc>
          <w:tcPr>
            <w:tcW w:w="45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r>
    </w:tbl>
    <w:p>
      <w:pPr>
        <w:spacing w:after="0" w:line="306" w:lineRule="exact"/>
        <w:rPr>
          <w:sz w:val="20"/>
          <w:szCs w:val="20"/>
          <w:color w:val="auto"/>
        </w:rPr>
      </w:pPr>
    </w:p>
    <w:p>
      <w:pPr>
        <w:jc w:val="both"/>
        <w:ind w:left="420" w:hanging="331"/>
        <w:spacing w:after="0" w:line="250" w:lineRule="auto"/>
        <w:tabs>
          <w:tab w:leader="none" w:pos="4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the Company made a contribution of $271 million to its UK defined benefit pension plan in advance of a full settlement of the plan’s obligations in November 2021. Of the $271 million, the Company was reimbursed $55 million in the fourth quarter of 2021 and $24 million in the first quarter of 2022. The Company</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9 of 10</w:t>
      </w:r>
    </w:p>
    <w:p>
      <w:pPr>
        <w:sectPr>
          <w:pgSz w:w="11900" w:h="16838" w:orient="portrait"/>
          <w:cols w:equalWidth="0" w:num="1">
            <w:col w:w="11240"/>
          </w:cols>
          <w:pgMar w:left="320" w:top="601" w:right="339"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770 Township Line Road</w:t>
      </w:r>
    </w:p>
    <w:p>
      <w:pPr>
        <w:ind w:left="80"/>
        <w:spacing w:after="0"/>
        <w:rPr>
          <w:sz w:val="20"/>
          <w:szCs w:val="20"/>
          <w:color w:val="auto"/>
        </w:rPr>
      </w:pPr>
      <w:r>
        <w:rPr>
          <w:rFonts w:ascii="Arial" w:cs="Arial" w:eastAsia="Arial" w:hAnsi="Arial"/>
          <w:sz w:val="14"/>
          <w:szCs w:val="14"/>
          <w:color w:val="auto"/>
        </w:rPr>
        <w:t>Yardley, PA 19067</w:t>
      </w:r>
    </w:p>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expects to receive an additional $86 million of reimbursement in 2022 and 2023 as the plan sells its remaining illiquid assets.</w:t>
      </w: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 Interest benefit of cross currency swaps included in investing activities.</w:t>
      </w:r>
    </w:p>
    <w:p>
      <w:pPr>
        <w:spacing w:after="0" w:line="200" w:lineRule="exact"/>
        <w:rPr>
          <w:sz w:val="20"/>
          <w:szCs w:val="20"/>
          <w:color w:val="auto"/>
        </w:rPr>
      </w:pPr>
    </w:p>
    <w:p>
      <w:pPr>
        <w:spacing w:after="0" w:line="2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EBITDA</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Twelve Months</w:t>
            </w:r>
          </w:p>
        </w:tc>
        <w:tc>
          <w:tcPr>
            <w:tcW w:w="0" w:type="dxa"/>
            <w:vAlign w:val="bottom"/>
          </w:tcPr>
          <w:p>
            <w:pPr>
              <w:spacing w:after="0"/>
              <w:rPr>
                <w:sz w:val="1"/>
                <w:szCs w:val="1"/>
                <w:color w:val="auto"/>
              </w:rPr>
            </w:pPr>
          </w:p>
        </w:tc>
      </w:tr>
      <w:tr>
        <w:trPr>
          <w:trHeight w:val="184"/>
        </w:trPr>
        <w:tc>
          <w:tcPr>
            <w:tcW w:w="2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20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Q1 2021</w:t>
            </w:r>
          </w:p>
        </w:tc>
        <w:tc>
          <w:tcPr>
            <w:tcW w:w="220" w:type="dxa"/>
            <w:vAlign w:val="bottom"/>
          </w:tcPr>
          <w:p>
            <w:pPr>
              <w:spacing w:after="0"/>
              <w:rPr>
                <w:sz w:val="16"/>
                <w:szCs w:val="16"/>
                <w:color w:val="auto"/>
              </w:rPr>
            </w:pPr>
          </w:p>
        </w:tc>
        <w:tc>
          <w:tcPr>
            <w:tcW w:w="1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Full Year 2021</w:t>
            </w:r>
          </w:p>
        </w:tc>
        <w:tc>
          <w:tcPr>
            <w:tcW w:w="184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0" w:type="dxa"/>
            <w:vAlign w:val="bottom"/>
          </w:tcPr>
          <w:p>
            <w:pPr>
              <w:spacing w:after="0"/>
              <w:rPr>
                <w:sz w:val="1"/>
                <w:szCs w:val="1"/>
                <w:color w:val="auto"/>
              </w:rPr>
            </w:pPr>
          </w:p>
        </w:tc>
      </w:tr>
      <w:tr>
        <w:trPr>
          <w:trHeight w:val="223"/>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7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2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99"/>
              </w:rPr>
              <w:t>(28)</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7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3.2x</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3.6x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Page 10 of 10</w:t>
      </w:r>
    </w:p>
    <w:sectPr>
      <w:pgSz w:w="11900" w:h="16838" w:orient="portrait"/>
      <w:cols w:equalWidth="0" w:num="1">
        <w:col w:w="10240"/>
      </w:cols>
      <w:pgMar w:left="320" w:top="60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99"/>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2)"/>
      <w:numFmt w:val="decimal"/>
      <w:start w:val="1"/>
    </w:lvl>
  </w:abstractNum>
  <w:abstractNum w:abstractNumId="4">
    <w:nsid w:val="7545E146"/>
    <w:multiLevelType w:val="hybridMultilevel"/>
    <w:lvl w:ilvl="0">
      <w:lvlJc w:val="left"/>
      <w:lvlText w:val="(%1)"/>
      <w:numFmt w:val="decimal"/>
      <w:start w:val="2"/>
    </w:lvl>
    <w:lvl w:ilvl="1">
      <w:lvlJc w:val="left"/>
      <w:lvlText w:val="%2"/>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2022-04-25T18:15:12Z</dcterms:created>
  <dcterms:modified xsi:type="dcterms:W3CDTF">2022-04-25T18:15:12Z</dcterms:modified>
</cp:coreProperties>
</file>