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rdgdoc.xml.htm"/>
      <w:bookmarkStart w:id="1" w:name="ksrdgdoc"/>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2"/>
            </w:tblGrid>
            <w:tr>
              <w:trPr/>
              <w:tc>
                <w:tcPr>
                  <w:tcW w:w="3452" w:type="dxa"/>
                  <w:tcBorders/>
                  <w:shd w:fill="auto" w:val="clear"/>
                  <w:vAlign w:val="center"/>
                </w:tcPr>
                <w:p>
                  <w:pPr>
                    <w:pStyle w:val="TableContents"/>
                    <w:spacing w:before="0" w:after="283"/>
                    <w:rPr/>
                  </w:pPr>
                  <w:hyperlink r:id="rId3">
                    <w:r>
                      <w:rPr>
                        <w:rStyle w:val="InternetLink"/>
                      </w:rPr>
                      <w:t>GOH HOCK HUAT</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1"/>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2"/>
            </w:tblGrid>
            <w:tr>
              <w:trPr/>
              <w:tc>
                <w:tcPr>
                  <w:tcW w:w="345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 TOWNSHIP LINE ROAD</w:t>
                  </w:r>
                </w:p>
              </w:tc>
            </w:tr>
            <w:tr>
              <w:trPr/>
              <w:tc>
                <w:tcPr>
                  <w:tcW w:w="345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1"/>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YARDLEY</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PA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19067</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1"/>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CROWN HOLDINGS INC</w:t>
              </w:r>
            </w:hyperlink>
            <w:r>
              <w:rPr/>
              <w:t xml:space="preserve"> [ </w:t>
            </w:r>
            <w:r>
              <w:rPr>
                <w:rFonts w:ascii="Times;serif" w:hAnsi="Times;serif"/>
                <w:color w:val="0000FF"/>
                <w:sz w:val="24"/>
                <w:highlight w:val="white"/>
              </w:rPr>
              <w:t>CCK</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0"/>
              <w:gridCol w:w="441"/>
              <w:gridCol w:w="1030"/>
            </w:tblGrid>
            <w:tr>
              <w:trPr/>
              <w:tc>
                <w:tcPr>
                  <w:tcW w:w="440"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President - Asia Pacific Div.</w:t>
                  </w:r>
                </w:p>
              </w:tc>
            </w:tr>
          </w:tbl>
          <w:p>
            <w:pPr>
              <w:pStyle w:val="TableContents"/>
              <w:spacing w:before="0" w:after="283"/>
              <w:rPr>
                <w:sz w:val="4"/>
                <w:szCs w:val="4"/>
              </w:rPr>
            </w:pPr>
            <w:r>
              <w:rPr>
                <w:sz w:val="4"/>
                <w:szCs w:val="4"/>
              </w:rPr>
            </w:r>
          </w:p>
        </w:tc>
      </w:tr>
      <w:tr>
        <w:trPr/>
        <w:tc>
          <w:tcPr>
            <w:tcW w:w="3572"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02/24/2022</w:t>
            </w:r>
            <w:r>
              <w:rPr/>
              <w:t xml:space="preserve"> </w:t>
            </w:r>
          </w:p>
        </w:tc>
        <w:tc>
          <w:tcPr>
            <w:tcW w:w="3061"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2"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09"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7"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47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w:t>
            </w:r>
          </w:p>
        </w:tc>
        <w:tc>
          <w:tcPr>
            <w:tcW w:w="90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02/24/2022</w:t>
            </w:r>
          </w:p>
        </w:tc>
        <w:tc>
          <w:tcPr>
            <w:tcW w:w="77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5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9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1,440</w:t>
            </w:r>
            <w:r>
              <w:rPr>
                <w:rFonts w:ascii="Times;serif" w:hAnsi="Times;serif"/>
                <w:color w:val="008000"/>
                <w:position w:val="7"/>
                <w:sz w:val="16"/>
                <w:sz w:val="20"/>
                <w:highlight w:val="white"/>
              </w:rPr>
              <w:t>(1)</w:t>
            </w:r>
            <w:r>
              <w:rPr/>
              <w:t xml:space="preserve"> </w:t>
            </w:r>
          </w:p>
        </w:tc>
        <w:tc>
          <w:tcPr>
            <w:tcW w:w="46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2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t xml:space="preserve"> </w:t>
            </w:r>
          </w:p>
        </w:tc>
        <w:tc>
          <w:tcPr>
            <w:tcW w:w="117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56,660</w:t>
            </w:r>
          </w:p>
        </w:tc>
        <w:tc>
          <w:tcPr>
            <w:tcW w:w="100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7"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Represents additional performance-based shares of Restricted Common Stock that vested on February 24, 2022 whose grant was originally reported on a Form 4 filed with the Securities and Exchange Commission on January 9, 2019 (the "Original Form 4"). As reported on the Original Form 4, such performance-based shares were originally granted to the Reporting Person based on the Company's Return on Invested Capital achieved by the Company compared to the ROIC target with the final number of performance-based shares varying from 0 to 200% of 4,799.</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Rosemary Haselroth, by Power of Attorney</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02/24/2022</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48351" TargetMode="External"/><Relationship Id="rId4" Type="http://schemas.openxmlformats.org/officeDocument/2006/relationships/hyperlink" Target="http://www.sec.gov/cgi-bin/browse-edgar?action=getcompany&amp;CIK=000121960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609</Words>
  <CharactersWithSpaces>3838</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