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 INFORMATION</w:t>
      </w: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97"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912"/>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920" w:hanging="912"/>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920" w:hanging="91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20" w:hanging="912"/>
        <w:spacing w:after="0"/>
        <w:tabs>
          <w:tab w:leader="none" w:pos="9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2040" w:hanging="1114"/>
        <w:spacing w:after="0" w:line="277" w:lineRule="auto"/>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920" w:right="20" w:hanging="912"/>
        <w:spacing w:after="0" w:line="308" w:lineRule="auto"/>
        <w:tabs>
          <w:tab w:leader="none" w:pos="9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2040" w:hanging="1114"/>
        <w:spacing w:after="0"/>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-2899410</wp:posOffset>
            </wp:positionV>
            <wp:extent cx="58375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-2625090</wp:posOffset>
            </wp:positionV>
            <wp:extent cx="5837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-2213610</wp:posOffset>
            </wp:positionV>
            <wp:extent cx="5837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-1939290</wp:posOffset>
            </wp:positionV>
            <wp:extent cx="5837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-704850</wp:posOffset>
            </wp:positionV>
            <wp:extent cx="5837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-430530</wp:posOffset>
            </wp:positionV>
            <wp:extent cx="5837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-156210</wp:posOffset>
            </wp:positionV>
            <wp:extent cx="5837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117475</wp:posOffset>
            </wp:positionV>
            <wp:extent cx="5837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ectPr>
          <w:pgSz w:w="11900" w:h="16838" w:orient="portrait"/>
          <w:cols w:equalWidth="0" w:num="1">
            <w:col w:w="11100"/>
          </w:cols>
          <w:pgMar w:left="320" w:top="544"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200660</wp:posOffset>
            </wp:positionV>
            <wp:extent cx="2125980"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259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2021 ANNUAL MEETING OF SHAREHOLDERS</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40" w:type="dxa"/>
            <w:vAlign w:val="bottom"/>
          </w:tcPr>
          <w:p>
            <w:pPr>
              <w:spacing w:after="0"/>
              <w:rPr>
                <w:sz w:val="20"/>
                <w:szCs w:val="20"/>
                <w:color w:val="auto"/>
              </w:rPr>
            </w:pPr>
            <w:r>
              <w:rPr>
                <w:rFonts w:ascii="Arial" w:cs="Arial" w:eastAsia="Arial" w:hAnsi="Arial"/>
                <w:sz w:val="22"/>
                <w:szCs w:val="22"/>
                <w:color w:val="auto"/>
              </w:rPr>
              <w:t>Date:</w:t>
            </w:r>
          </w:p>
        </w:tc>
        <w:tc>
          <w:tcPr>
            <w:tcW w:w="3260" w:type="dxa"/>
            <w:vAlign w:val="bottom"/>
            <w:gridSpan w:val="2"/>
          </w:tcPr>
          <w:p>
            <w:pPr>
              <w:ind w:left="600"/>
              <w:spacing w:after="0"/>
              <w:rPr>
                <w:sz w:val="20"/>
                <w:szCs w:val="20"/>
                <w:color w:val="auto"/>
              </w:rPr>
            </w:pPr>
            <w:r>
              <w:rPr>
                <w:rFonts w:ascii="Arial" w:cs="Arial" w:eastAsia="Arial" w:hAnsi="Arial"/>
                <w:sz w:val="22"/>
                <w:szCs w:val="22"/>
                <w:color w:val="auto"/>
              </w:rPr>
              <w:t>April 22,2021</w:t>
            </w:r>
          </w:p>
        </w:tc>
        <w:tc>
          <w:tcPr>
            <w:tcW w:w="700" w:type="dxa"/>
            <w:vAlign w:val="bottom"/>
          </w:tcPr>
          <w:p>
            <w:pPr>
              <w:spacing w:after="0"/>
              <w:rPr>
                <w:sz w:val="23"/>
                <w:szCs w:val="23"/>
                <w:color w:val="auto"/>
              </w:rPr>
            </w:pPr>
          </w:p>
        </w:tc>
        <w:tc>
          <w:tcPr>
            <w:tcW w:w="4380" w:type="dxa"/>
            <w:vAlign w:val="bottom"/>
          </w:tcPr>
          <w:p>
            <w:pPr>
              <w:spacing w:after="0"/>
              <w:rPr>
                <w:sz w:val="23"/>
                <w:szCs w:val="23"/>
                <w:color w:val="auto"/>
              </w:rPr>
            </w:pPr>
          </w:p>
        </w:tc>
      </w:tr>
      <w:tr>
        <w:trPr>
          <w:trHeight w:val="455"/>
        </w:trPr>
        <w:tc>
          <w:tcPr>
            <w:tcW w:w="1440" w:type="dxa"/>
            <w:vAlign w:val="bottom"/>
          </w:tcPr>
          <w:p>
            <w:pPr>
              <w:spacing w:after="0"/>
              <w:rPr>
                <w:sz w:val="20"/>
                <w:szCs w:val="20"/>
                <w:color w:val="auto"/>
              </w:rPr>
            </w:pPr>
            <w:r>
              <w:rPr>
                <w:rFonts w:ascii="Arial" w:cs="Arial" w:eastAsia="Arial" w:hAnsi="Arial"/>
                <w:sz w:val="22"/>
                <w:szCs w:val="22"/>
                <w:color w:val="auto"/>
              </w:rPr>
              <w:t>Time:</w:t>
            </w:r>
          </w:p>
        </w:tc>
        <w:tc>
          <w:tcPr>
            <w:tcW w:w="3260" w:type="dxa"/>
            <w:vAlign w:val="bottom"/>
            <w:gridSpan w:val="2"/>
          </w:tcPr>
          <w:p>
            <w:pPr>
              <w:ind w:left="600"/>
              <w:spacing w:after="0"/>
              <w:rPr>
                <w:sz w:val="20"/>
                <w:szCs w:val="20"/>
                <w:color w:val="auto"/>
              </w:rPr>
            </w:pPr>
            <w:r>
              <w:rPr>
                <w:rFonts w:ascii="Arial" w:cs="Arial" w:eastAsia="Arial" w:hAnsi="Arial"/>
                <w:sz w:val="22"/>
                <w:szCs w:val="22"/>
                <w:color w:val="auto"/>
              </w:rPr>
              <w:t>Online check-in begins:</w:t>
            </w:r>
          </w:p>
        </w:tc>
        <w:tc>
          <w:tcPr>
            <w:tcW w:w="5080" w:type="dxa"/>
            <w:vAlign w:val="bottom"/>
            <w:gridSpan w:val="2"/>
          </w:tcPr>
          <w:p>
            <w:pPr>
              <w:ind w:left="480"/>
              <w:spacing w:after="0"/>
              <w:rPr>
                <w:sz w:val="20"/>
                <w:szCs w:val="20"/>
                <w:color w:val="auto"/>
              </w:rPr>
            </w:pPr>
            <w:r>
              <w:rPr>
                <w:rFonts w:ascii="Arial" w:cs="Arial" w:eastAsia="Arial" w:hAnsi="Arial"/>
                <w:sz w:val="22"/>
                <w:szCs w:val="22"/>
                <w:color w:val="auto"/>
              </w:rPr>
              <w:t>9:15 a.m. Eastern Time</w:t>
            </w:r>
          </w:p>
        </w:tc>
      </w:tr>
      <w:tr>
        <w:trPr>
          <w:trHeight w:val="274"/>
        </w:trPr>
        <w:tc>
          <w:tcPr>
            <w:tcW w:w="1440" w:type="dxa"/>
            <w:vAlign w:val="bottom"/>
          </w:tcPr>
          <w:p>
            <w:pPr>
              <w:spacing w:after="0"/>
              <w:rPr>
                <w:sz w:val="23"/>
                <w:szCs w:val="23"/>
                <w:color w:val="auto"/>
              </w:rPr>
            </w:pPr>
          </w:p>
        </w:tc>
        <w:tc>
          <w:tcPr>
            <w:tcW w:w="3260" w:type="dxa"/>
            <w:vAlign w:val="bottom"/>
            <w:gridSpan w:val="2"/>
          </w:tcPr>
          <w:p>
            <w:pPr>
              <w:ind w:left="600"/>
              <w:spacing w:after="0"/>
              <w:rPr>
                <w:sz w:val="20"/>
                <w:szCs w:val="20"/>
                <w:color w:val="auto"/>
              </w:rPr>
            </w:pPr>
            <w:r>
              <w:rPr>
                <w:rFonts w:ascii="Arial" w:cs="Arial" w:eastAsia="Arial" w:hAnsi="Arial"/>
                <w:sz w:val="22"/>
                <w:szCs w:val="22"/>
                <w:color w:val="auto"/>
              </w:rPr>
              <w:t>Online Meeting begins:</w:t>
            </w:r>
          </w:p>
        </w:tc>
        <w:tc>
          <w:tcPr>
            <w:tcW w:w="5080" w:type="dxa"/>
            <w:vAlign w:val="bottom"/>
            <w:gridSpan w:val="2"/>
          </w:tcPr>
          <w:p>
            <w:pPr>
              <w:ind w:left="480"/>
              <w:spacing w:after="0"/>
              <w:rPr>
                <w:sz w:val="20"/>
                <w:szCs w:val="20"/>
                <w:color w:val="auto"/>
              </w:rPr>
            </w:pPr>
            <w:r>
              <w:rPr>
                <w:rFonts w:ascii="Arial" w:cs="Arial" w:eastAsia="Arial" w:hAnsi="Arial"/>
                <w:sz w:val="22"/>
                <w:szCs w:val="22"/>
                <w:color w:val="auto"/>
              </w:rPr>
              <w:t>9:30 a.m. Eastern Time</w:t>
            </w:r>
          </w:p>
        </w:tc>
      </w:tr>
      <w:tr>
        <w:trPr>
          <w:trHeight w:val="436"/>
        </w:trPr>
        <w:tc>
          <w:tcPr>
            <w:tcW w:w="1440" w:type="dxa"/>
            <w:vAlign w:val="bottom"/>
          </w:tcPr>
          <w:p>
            <w:pPr>
              <w:spacing w:after="0"/>
              <w:rPr>
                <w:sz w:val="20"/>
                <w:szCs w:val="20"/>
                <w:color w:val="auto"/>
              </w:rPr>
            </w:pPr>
            <w:r>
              <w:rPr>
                <w:rFonts w:ascii="Arial" w:cs="Arial" w:eastAsia="Arial" w:hAnsi="Arial"/>
                <w:sz w:val="22"/>
                <w:szCs w:val="22"/>
                <w:color w:val="auto"/>
              </w:rPr>
              <w:t>Place:</w:t>
            </w:r>
          </w:p>
        </w:tc>
        <w:tc>
          <w:tcPr>
            <w:tcW w:w="8340" w:type="dxa"/>
            <w:vAlign w:val="bottom"/>
            <w:gridSpan w:val="4"/>
          </w:tcPr>
          <w:p>
            <w:pPr>
              <w:ind w:left="600"/>
              <w:spacing w:after="0"/>
              <w:rPr>
                <w:sz w:val="20"/>
                <w:szCs w:val="20"/>
                <w:color w:val="auto"/>
              </w:rPr>
            </w:pPr>
            <w:r>
              <w:rPr>
                <w:rFonts w:ascii="Arial" w:cs="Arial" w:eastAsia="Arial" w:hAnsi="Arial"/>
                <w:sz w:val="22"/>
                <w:szCs w:val="22"/>
                <w:color w:val="auto"/>
                <w:w w:val="89"/>
              </w:rPr>
              <w:t xml:space="preserve">Meeting via the Internet – please visit: </w:t>
            </w:r>
            <w:r>
              <w:rPr>
                <w:rFonts w:ascii="Arial" w:cs="Arial" w:eastAsia="Arial" w:hAnsi="Arial"/>
                <w:sz w:val="22"/>
                <w:szCs w:val="22"/>
                <w:b w:val="1"/>
                <w:bCs w:val="1"/>
                <w:color w:val="29650B"/>
                <w:w w:val="89"/>
              </w:rPr>
              <w:t>www.virtualshareholdermeeting.com/CCK2021</w:t>
            </w:r>
          </w:p>
        </w:tc>
      </w:tr>
      <w:tr>
        <w:trPr>
          <w:trHeight w:val="503"/>
        </w:trPr>
        <w:tc>
          <w:tcPr>
            <w:tcW w:w="1440" w:type="dxa"/>
            <w:vAlign w:val="bottom"/>
          </w:tcPr>
          <w:p>
            <w:pPr>
              <w:spacing w:after="0"/>
              <w:rPr>
                <w:sz w:val="20"/>
                <w:szCs w:val="20"/>
                <w:color w:val="auto"/>
              </w:rPr>
            </w:pPr>
            <w:r>
              <w:rPr>
                <w:rFonts w:ascii="Arial" w:cs="Arial" w:eastAsia="Arial" w:hAnsi="Arial"/>
                <w:sz w:val="22"/>
                <w:szCs w:val="22"/>
                <w:color w:val="auto"/>
              </w:rPr>
              <w:t>Purposes:</w:t>
            </w:r>
          </w:p>
        </w:tc>
        <w:tc>
          <w:tcPr>
            <w:tcW w:w="1080" w:type="dxa"/>
            <w:vAlign w:val="bottom"/>
          </w:tcPr>
          <w:p>
            <w:pPr>
              <w:ind w:left="600"/>
              <w:spacing w:after="0"/>
              <w:rPr>
                <w:sz w:val="20"/>
                <w:szCs w:val="20"/>
                <w:color w:val="auto"/>
              </w:rPr>
            </w:pPr>
            <w:r>
              <w:rPr>
                <w:rFonts w:ascii="Arial" w:cs="Arial" w:eastAsia="Arial" w:hAnsi="Arial"/>
                <w:sz w:val="22"/>
                <w:szCs w:val="22"/>
                <w:color w:val="auto"/>
              </w:rPr>
              <w:t>·</w:t>
            </w:r>
          </w:p>
        </w:tc>
        <w:tc>
          <w:tcPr>
            <w:tcW w:w="2180" w:type="dxa"/>
            <w:vAlign w:val="bottom"/>
          </w:tcPr>
          <w:p>
            <w:pPr>
              <w:ind w:left="420"/>
              <w:spacing w:after="0"/>
              <w:rPr>
                <w:sz w:val="20"/>
                <w:szCs w:val="20"/>
                <w:color w:val="auto"/>
              </w:rPr>
            </w:pPr>
            <w:r>
              <w:rPr>
                <w:rFonts w:ascii="Arial" w:cs="Arial" w:eastAsia="Arial" w:hAnsi="Arial"/>
                <w:sz w:val="22"/>
                <w:szCs w:val="22"/>
                <w:color w:val="auto"/>
              </w:rPr>
              <w:t>Elect Directors</w:t>
            </w:r>
          </w:p>
        </w:tc>
        <w:tc>
          <w:tcPr>
            <w:tcW w:w="700" w:type="dxa"/>
            <w:vAlign w:val="bottom"/>
          </w:tcPr>
          <w:p>
            <w:pPr>
              <w:spacing w:after="0"/>
              <w:rPr>
                <w:sz w:val="24"/>
                <w:szCs w:val="24"/>
                <w:color w:val="auto"/>
              </w:rPr>
            </w:pPr>
          </w:p>
        </w:tc>
        <w:tc>
          <w:tcPr>
            <w:tcW w:w="4380" w:type="dxa"/>
            <w:vAlign w:val="bottom"/>
            <w:tcBorders>
              <w:top w:val="single" w:sz="8" w:color="29650B"/>
            </w:tcBorders>
          </w:tcPr>
          <w:p>
            <w:pPr>
              <w:spacing w:after="0"/>
              <w:rPr>
                <w:sz w:val="24"/>
                <w:szCs w:val="24"/>
                <w:color w:val="auto"/>
              </w:rPr>
            </w:pPr>
          </w:p>
        </w:tc>
      </w:tr>
    </w:tbl>
    <w:p>
      <w:pPr>
        <w:ind w:left="2940" w:hanging="907"/>
        <w:spacing w:after="0"/>
        <w:tabs>
          <w:tab w:leader="none" w:pos="2940" w:val="left"/>
        </w:tabs>
        <w:numPr>
          <w:ilvl w:val="0"/>
          <w:numId w:val="6"/>
        </w:numPr>
        <w:rPr>
          <w:rFonts w:ascii="Arial" w:cs="Arial" w:eastAsia="Arial" w:hAnsi="Arial"/>
          <w:sz w:val="16"/>
          <w:szCs w:val="16"/>
          <w:color w:val="auto"/>
        </w:rPr>
      </w:pPr>
      <w:r>
        <w:rPr>
          <w:rFonts w:ascii="Arial" w:cs="Arial" w:eastAsia="Arial" w:hAnsi="Arial"/>
          <w:sz w:val="19"/>
          <w:szCs w:val="19"/>
          <w:color w:val="auto"/>
        </w:rPr>
        <w:t>Ratify the appointment of independent auditors for the fiscal year ending December 31, 2021</w:t>
      </w:r>
    </w:p>
    <w:p>
      <w:pPr>
        <w:spacing w:after="0" w:line="24" w:lineRule="exact"/>
        <w:rPr>
          <w:rFonts w:ascii="Arial" w:cs="Arial" w:eastAsia="Arial" w:hAnsi="Arial"/>
          <w:sz w:val="16"/>
          <w:szCs w:val="16"/>
          <w:color w:val="auto"/>
        </w:rPr>
      </w:pPr>
    </w:p>
    <w:p>
      <w:pPr>
        <w:ind w:left="2940" w:right="340" w:hanging="907"/>
        <w:spacing w:after="0" w:line="230" w:lineRule="auto"/>
        <w:tabs>
          <w:tab w:leader="none" w:pos="2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Vote on an advisory resolution to approve executive compensation for the Named Executive Officers as disclosed in this Proxy Statement</w:t>
      </w:r>
    </w:p>
    <w:p>
      <w:pPr>
        <w:spacing w:after="0" w:line="1" w:lineRule="exact"/>
        <w:rPr>
          <w:rFonts w:ascii="Arial" w:cs="Arial" w:eastAsia="Arial" w:hAnsi="Arial"/>
          <w:sz w:val="22"/>
          <w:szCs w:val="22"/>
          <w:color w:val="auto"/>
        </w:rPr>
      </w:pPr>
    </w:p>
    <w:p>
      <w:pPr>
        <w:ind w:left="2940" w:hanging="907"/>
        <w:spacing w:after="0"/>
        <w:tabs>
          <w:tab w:leader="none" w:pos="2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Conduct such other business as may properly come before the Annual Meeting</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Shareholders are cordially invited to attend our virtual Annual Meeting of Shareholders, conducted via the Internet. Due to the ongoing public health impact of the COVID-19 pandemic and the travel and public gathering restrictions that have been imposed throughout Pennsylvania as a result thereof, the Annual Meeting will be held in a virtual meeting format to support the health and well-being of the Company’s Shareholders, employees and their families. Shareholders will not be able to attend the Annual Meeting in person this year.</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Only Shareholders as of the close of business on March 2, 2021, the record date for the Annual Meeting, may participate and vote at the meeting. During the virtual Meeting, you may submit questions and will be able to vote your shares electronically. To participate, you will need the 16-digit control number included on your proxy card or voting instruction form. We encourage you to allow ample time for online check-in, which will begin at 9:15 a.m. Eastern Time on April 22, 2021.</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This Proxy Statement, the Proxy Card relating to the Annual Meeting of Shareholders and the Annual Report to Shareholders are available electronically at: </w:t>
      </w:r>
      <w:r>
        <w:rPr>
          <w:rFonts w:ascii="Arial" w:cs="Arial" w:eastAsia="Arial" w:hAnsi="Arial"/>
          <w:sz w:val="22"/>
          <w:szCs w:val="22"/>
          <w:b w:val="1"/>
          <w:bCs w:val="1"/>
          <w:u w:val="single" w:color="auto"/>
          <w:color w:val="29650B"/>
        </w:rPr>
        <w:t>www.crowncork.com/investors/proxy-online</w:t>
      </w:r>
      <w:r>
        <w:rPr>
          <w:rFonts w:ascii="Arial" w:cs="Arial" w:eastAsia="Arial" w:hAnsi="Arial"/>
          <w:sz w:val="22"/>
          <w:szCs w:val="22"/>
          <w:color w:val="auto"/>
        </w:rPr>
        <w:t>.</w:t>
      </w:r>
    </w:p>
    <w:p>
      <w:pPr>
        <w:spacing w:after="0" w:line="391" w:lineRule="exact"/>
        <w:rPr>
          <w:sz w:val="20"/>
          <w:szCs w:val="20"/>
          <w:color w:val="auto"/>
        </w:rPr>
      </w:pPr>
    </w:p>
    <w:p>
      <w:pPr>
        <w:ind w:left="5200"/>
        <w:spacing w:after="0"/>
        <w:rPr>
          <w:sz w:val="20"/>
          <w:szCs w:val="20"/>
          <w:color w:val="auto"/>
        </w:rPr>
      </w:pPr>
      <w:r>
        <w:rPr>
          <w:rFonts w:ascii="Arial" w:cs="Arial" w:eastAsia="Arial" w:hAnsi="Arial"/>
          <w:sz w:val="22"/>
          <w:szCs w:val="22"/>
          <w:i w:val="1"/>
          <w:iCs w:val="1"/>
          <w:color w:val="auto"/>
        </w:rPr>
        <w:t>By Order of the Board of Directors</w:t>
      </w:r>
    </w:p>
    <w:p>
      <w:pPr>
        <w:spacing w:after="0" w:line="23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ADAM J. DICKSTEIN</w:t>
      </w:r>
    </w:p>
    <w:p>
      <w:pPr>
        <w:ind w:left="5740"/>
        <w:spacing w:after="0" w:line="238" w:lineRule="auto"/>
        <w:rPr>
          <w:sz w:val="20"/>
          <w:szCs w:val="20"/>
          <w:color w:val="auto"/>
        </w:rPr>
      </w:pPr>
      <w:r>
        <w:rPr>
          <w:rFonts w:ascii="Arial" w:cs="Arial" w:eastAsia="Arial" w:hAnsi="Arial"/>
          <w:sz w:val="22"/>
          <w:szCs w:val="22"/>
          <w:color w:val="auto"/>
        </w:rPr>
        <w:t>Corporate Secretary</w:t>
      </w:r>
    </w:p>
    <w:p>
      <w:pPr>
        <w:spacing w:after="0" w:line="230" w:lineRule="auto"/>
        <w:rPr>
          <w:sz w:val="20"/>
          <w:szCs w:val="20"/>
          <w:color w:val="auto"/>
        </w:rPr>
      </w:pPr>
      <w:r>
        <w:rPr>
          <w:rFonts w:ascii="Arial" w:cs="Arial" w:eastAsia="Arial" w:hAnsi="Arial"/>
          <w:sz w:val="22"/>
          <w:szCs w:val="22"/>
          <w:color w:val="auto"/>
        </w:rPr>
        <w:t>Yardley, Pennsylvania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March 15, 2021</w:t>
      </w:r>
    </w:p>
    <w:p>
      <w:pPr>
        <w:sectPr>
          <w:pgSz w:w="11900" w:h="16838" w:orient="portrait"/>
          <w:cols w:equalWidth="0" w:num="1">
            <w:col w:w="11240"/>
          </w:cols>
          <w:pgMar w:left="320" w:top="1440" w:right="339" w:bottom="1440" w:gutter="0" w:footer="0" w:header="0"/>
        </w:sectPr>
      </w:pPr>
    </w:p>
    <w:bookmarkStart w:id="2" w:name="page3"/>
    <w:bookmarkEnd w:id="2"/>
    <w:p>
      <w:pPr>
        <w:ind w:left="1640"/>
        <w:spacing w:after="0"/>
        <w:rPr>
          <w:sz w:val="20"/>
          <w:szCs w:val="20"/>
          <w:color w:val="auto"/>
        </w:rPr>
      </w:pPr>
      <w:r>
        <w:rPr>
          <w:rFonts w:ascii="Arial" w:cs="Arial" w:eastAsia="Arial" w:hAnsi="Arial"/>
          <w:sz w:val="22"/>
          <w:szCs w:val="22"/>
          <w:b w:val="1"/>
          <w:bCs w:val="1"/>
          <w:color w:val="auto"/>
        </w:rPr>
        <w:t>ADDITIONAL INFORMATION ABOUT THE 2021 VIRTUAL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Attendance and Participation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Only Shareholders as of the close of business on March 2, 2021, which is the record date for the Annual Meeting, will be entitled to participate online, vote their shares electronically and submit questions during the Annual Meeting. You will be able to access the meeting at </w:t>
      </w:r>
      <w:r>
        <w:rPr>
          <w:rFonts w:ascii="Arial" w:cs="Arial" w:eastAsia="Arial" w:hAnsi="Arial"/>
          <w:sz w:val="21"/>
          <w:szCs w:val="21"/>
          <w:b w:val="1"/>
          <w:bCs w:val="1"/>
          <w:u w:val="single" w:color="auto"/>
          <w:color w:val="29650B"/>
        </w:rPr>
        <w:t>www.virtualshareholdermeeting.com/CCK2021</w:t>
      </w:r>
      <w:r>
        <w:rPr>
          <w:rFonts w:ascii="Arial" w:cs="Arial" w:eastAsia="Arial" w:hAnsi="Arial"/>
          <w:sz w:val="21"/>
          <w:szCs w:val="21"/>
          <w:color w:val="auto"/>
        </w:rPr>
        <w:t xml:space="preserve"> using your 16-digit control number.</w:t>
      </w:r>
    </w:p>
    <w:p>
      <w:pPr>
        <w:spacing w:after="0" w:line="196" w:lineRule="exact"/>
        <w:rPr>
          <w:sz w:val="20"/>
          <w:szCs w:val="20"/>
          <w:color w:val="auto"/>
        </w:rPr>
      </w:pPr>
    </w:p>
    <w:p>
      <w:pPr>
        <w:jc w:val="both"/>
        <w:ind w:left="380" w:hanging="318"/>
        <w:spacing w:after="0" w:line="238"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your shares are registered directly in your name with EQ Shareowner Services, the Company’s stock transfer agent, and you received proxy materials by mail, your 16-digit control number will be contained on your proxy card. If you are a participant in the Company’s Employee Stock Purchase Plan or any other applicable Company employee benefit plan, your 16-digit control number will be contained on your proxy card.</w:t>
      </w:r>
    </w:p>
    <w:p>
      <w:pPr>
        <w:spacing w:after="0" w:line="211" w:lineRule="exact"/>
        <w:rPr>
          <w:rFonts w:ascii="Arial" w:cs="Arial" w:eastAsia="Arial" w:hAnsi="Arial"/>
          <w:sz w:val="22"/>
          <w:szCs w:val="22"/>
          <w:color w:val="auto"/>
        </w:rPr>
      </w:pPr>
    </w:p>
    <w:p>
      <w:pPr>
        <w:jc w:val="both"/>
        <w:ind w:left="380" w:hanging="31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your shares are held in a bank or brokerage account, your 16-digit control number will be contained on the voting instruction form provided by your bank or broker. If you do not receive a voting instruction form with this control number, please contact your bank or broker.</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encourage you to access the virtual Annual Meeting before the start time of 9:30 a.m., Eastern Time, on April 22, 2021. Please allow ample time for online check-in, which will begin at 9:15 a.m., Eastern Time, on April 22, 2021. The decision to have a virtual Annual Meeting again this year due to the ongoing public health impact of the COVID-19 pandemic does not represent a change in our Shareholder engagement philosophy. The Company expects to return to an in person meeting next year.</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virtual Annual Meeting platform is fully supported across browsers (Internet Explorer, Microsoft Edge, Firefox, Chrome and Safari) and devices (desktops, laptops, tablets and cell phones) running the most updated version of applicable software and plugins. Participants should ensure they have a strong Internet connection wherever they intend to participate in the Annual Meeting. Participants should also allow plenty of time to log in and ensure that they can hear streaming audio prior to the start of the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Lists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 list of the Shareholders entitled to vote at the meeting will be open to examination by any Shareholder during the meeting.</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Questions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Shareholders may submit questions during the Annual Meeting. If you wish to submit a question, you may do so by logging into the virtual meeting platform at </w:t>
      </w:r>
      <w:r>
        <w:rPr>
          <w:rFonts w:ascii="Arial" w:cs="Arial" w:eastAsia="Arial" w:hAnsi="Arial"/>
          <w:sz w:val="22"/>
          <w:szCs w:val="22"/>
          <w:b w:val="1"/>
          <w:bCs w:val="1"/>
          <w:u w:val="single" w:color="auto"/>
          <w:color w:val="29650B"/>
        </w:rPr>
        <w:t>www.virtualshareholdermeeting.com/CCK2021</w:t>
      </w:r>
      <w:r>
        <w:rPr>
          <w:rFonts w:ascii="Arial" w:cs="Arial" w:eastAsia="Arial" w:hAnsi="Arial"/>
          <w:sz w:val="22"/>
          <w:szCs w:val="22"/>
          <w:color w:val="auto"/>
        </w:rPr>
        <w:t>, typing your question into the “Ask a Question” field, and clicking “Submit.” Questions pertinent to the Annual Meeting will be answered during the Annual Meeting, subject to time constraints.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Technical Support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 encounter any difficulties accessing the virtual Annual Meeting during the check-in or meeting time, please call 844-986-0822 (Toll Free) or 303-562-9302 for assistance. Technical support will be available beginning at 9:15 a.m. Eastern Time on April 22, 2021 through the conclusion of the Annual Meeting.</w:t>
      </w:r>
    </w:p>
    <w:p>
      <w:pPr>
        <w:sectPr>
          <w:pgSz w:w="11900" w:h="16838" w:orient="portrait"/>
          <w:cols w:equalWidth="0" w:num="1">
            <w:col w:w="11240"/>
          </w:cols>
          <w:pgMar w:left="320" w:top="679" w:right="3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60"/>
          </w:cols>
          <w:pgMar w:left="320" w:top="449" w:right="1019" w:bottom="1440" w:gutter="0" w:footer="0" w:header="0"/>
        </w:sectPr>
      </w:pPr>
    </w:p>
    <w:p>
      <w:pPr>
        <w:spacing w:after="0" w:line="294"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9300" w:type="dxa"/>
            <w:vAlign w:val="bottom"/>
          </w:tcPr>
          <w:p>
            <w:pPr>
              <w:spacing w:after="0"/>
              <w:rPr>
                <w:sz w:val="20"/>
                <w:szCs w:val="20"/>
                <w:color w:val="auto"/>
              </w:rPr>
            </w:pPr>
            <w:r>
              <w:rPr>
                <w:rFonts w:ascii="Arial" w:cs="Arial" w:eastAsia="Arial" w:hAnsi="Arial"/>
                <w:sz w:val="22"/>
                <w:szCs w:val="22"/>
                <w:b w:val="1"/>
                <w:bCs w:val="1"/>
                <w:color w:val="29650B"/>
              </w:rPr>
              <w:t>2021 Proxy Statement Summary</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rPr>
              <w:t>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Questions &amp; Answers about the 2020 Annual Meeting</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11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1: Election of Directors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17</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Director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w w:val="98"/>
              </w:rPr>
              <w:t>Common Stock Ownership of Certain Beneficial Owners, Directors and Executive Officers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23</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Corporate Governance</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25</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Compensation Discussion and Analysis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008000"/>
                <w:w w:val="81"/>
              </w:rPr>
              <w:t>31</w:t>
            </w:r>
          </w:p>
        </w:tc>
      </w:tr>
      <w:tr>
        <w:trPr>
          <w:trHeight w:val="341"/>
        </w:trPr>
        <w:tc>
          <w:tcPr>
            <w:tcW w:w="9300" w:type="dxa"/>
            <w:vAlign w:val="bottom"/>
          </w:tcPr>
          <w:p>
            <w:pPr>
              <w:ind w:left="300"/>
              <w:spacing w:after="0"/>
              <w:rPr>
                <w:sz w:val="20"/>
                <w:szCs w:val="20"/>
                <w:color w:val="auto"/>
              </w:rPr>
            </w:pPr>
            <w:r>
              <w:rPr>
                <w:rFonts w:ascii="Arial" w:cs="Arial" w:eastAsia="Arial" w:hAnsi="Arial"/>
                <w:sz w:val="22"/>
                <w:szCs w:val="22"/>
                <w:color w:val="auto"/>
              </w:rPr>
              <w:t>2020 Say-On-Pay Vote Results</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31</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At-Risk Compensation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32</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Pay-for-Performance Alignment - Performance-Based Shares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33</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Role of the Compensation Committee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33</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Philosophy and Objectives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33</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Committee Process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34</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Role of Executive Officers in Compensation Decisions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2"/>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Executive Compensation Consultant</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Use of Benchmarking</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Peer Group Composition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Strategy for CEO</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36</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Compensation Strategy for NEOs other than the CEO</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37</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Components of Compensation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37</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Base Salary</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37</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Annual Incentive Bonus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38</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Long-Term Equity Incentives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41</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Retirement Benefits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45</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Perquisites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46</w:t>
            </w:r>
          </w:p>
        </w:tc>
      </w:tr>
      <w:tr>
        <w:trPr>
          <w:trHeight w:val="203"/>
        </w:trPr>
        <w:tc>
          <w:tcPr>
            <w:tcW w:w="9300" w:type="dxa"/>
            <w:vAlign w:val="bottom"/>
          </w:tcPr>
          <w:p>
            <w:pPr>
              <w:ind w:left="300"/>
              <w:spacing w:after="0" w:line="203" w:lineRule="exact"/>
              <w:rPr>
                <w:sz w:val="20"/>
                <w:szCs w:val="20"/>
                <w:color w:val="auto"/>
              </w:rPr>
            </w:pPr>
            <w:r>
              <w:rPr>
                <w:rFonts w:ascii="Arial" w:cs="Arial" w:eastAsia="Arial" w:hAnsi="Arial"/>
                <w:sz w:val="22"/>
                <w:szCs w:val="22"/>
                <w:color w:val="auto"/>
              </w:rPr>
              <w:t>Severance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46</w:t>
            </w:r>
          </w:p>
        </w:tc>
      </w:tr>
      <w:tr>
        <w:trPr>
          <w:trHeight w:val="274"/>
        </w:trPr>
        <w:tc>
          <w:tcPr>
            <w:tcW w:w="9300" w:type="dxa"/>
            <w:vAlign w:val="bottom"/>
          </w:tcPr>
          <w:p>
            <w:pPr>
              <w:ind w:left="300"/>
              <w:spacing w:after="0"/>
              <w:rPr>
                <w:sz w:val="20"/>
                <w:szCs w:val="20"/>
                <w:color w:val="auto"/>
              </w:rPr>
            </w:pPr>
            <w:r>
              <w:rPr>
                <w:rFonts w:ascii="Arial" w:cs="Arial" w:eastAsia="Arial" w:hAnsi="Arial"/>
                <w:sz w:val="22"/>
                <w:szCs w:val="22"/>
                <w:color w:val="auto"/>
              </w:rPr>
              <w:t>Tax Deductibility of Executive Compensation</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46</w:t>
            </w:r>
          </w:p>
        </w:tc>
      </w:tr>
      <w:tr>
        <w:trPr>
          <w:trHeight w:val="397"/>
        </w:trPr>
        <w:tc>
          <w:tcPr>
            <w:tcW w:w="9300" w:type="dxa"/>
            <w:vAlign w:val="bottom"/>
          </w:tcPr>
          <w:p>
            <w:pPr>
              <w:spacing w:after="0"/>
              <w:rPr>
                <w:sz w:val="20"/>
                <w:szCs w:val="20"/>
                <w:color w:val="auto"/>
              </w:rPr>
            </w:pPr>
            <w:r>
              <w:rPr>
                <w:rFonts w:ascii="Arial" w:cs="Arial" w:eastAsia="Arial" w:hAnsi="Arial"/>
                <w:sz w:val="22"/>
                <w:szCs w:val="22"/>
                <w:b w:val="1"/>
                <w:bCs w:val="1"/>
                <w:color w:val="29650B"/>
              </w:rPr>
              <w:t>Compensation Committee Report</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47</w:t>
            </w:r>
          </w:p>
        </w:tc>
      </w:tr>
      <w:tr>
        <w:trPr>
          <w:trHeight w:val="341"/>
        </w:trPr>
        <w:tc>
          <w:tcPr>
            <w:tcW w:w="9300" w:type="dxa"/>
            <w:vAlign w:val="bottom"/>
          </w:tcPr>
          <w:p>
            <w:pPr>
              <w:spacing w:after="0"/>
              <w:rPr>
                <w:sz w:val="20"/>
                <w:szCs w:val="20"/>
                <w:color w:val="auto"/>
              </w:rPr>
            </w:pPr>
            <w:r>
              <w:rPr>
                <w:rFonts w:ascii="Arial" w:cs="Arial" w:eastAsia="Arial" w:hAnsi="Arial"/>
                <w:sz w:val="22"/>
                <w:szCs w:val="22"/>
                <w:b w:val="1"/>
                <w:bCs w:val="1"/>
                <w:color w:val="29650B"/>
              </w:rPr>
              <w:t>Executive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49</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Summary Compensation Table</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49</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Grants of Plan-Based Awards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51</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Outstanding Equity Awards at Fiscal Year-End</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53</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Option Exercises and Stock Vested</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55</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Pension Benefits</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56</w:t>
            </w:r>
          </w:p>
        </w:tc>
      </w:tr>
      <w:tr>
        <w:trPr>
          <w:trHeight w:val="203"/>
        </w:trPr>
        <w:tc>
          <w:tcPr>
            <w:tcW w:w="9300" w:type="dxa"/>
            <w:vAlign w:val="bottom"/>
          </w:tcPr>
          <w:p>
            <w:pPr>
              <w:ind w:left="220"/>
              <w:spacing w:after="0" w:line="203" w:lineRule="exact"/>
              <w:rPr>
                <w:sz w:val="20"/>
                <w:szCs w:val="20"/>
                <w:color w:val="auto"/>
              </w:rPr>
            </w:pPr>
            <w:r>
              <w:rPr>
                <w:rFonts w:ascii="Arial" w:cs="Arial" w:eastAsia="Arial" w:hAnsi="Arial"/>
                <w:sz w:val="22"/>
                <w:szCs w:val="22"/>
                <w:color w:val="auto"/>
              </w:rPr>
              <w:t>Employment Agreements and Potential Payments upon Termination</w:t>
            </w:r>
          </w:p>
        </w:tc>
        <w:tc>
          <w:tcPr>
            <w:tcW w:w="1160" w:type="dxa"/>
            <w:vAlign w:val="bottom"/>
          </w:tcPr>
          <w:p>
            <w:pPr>
              <w:ind w:left="940"/>
              <w:spacing w:after="0" w:line="203" w:lineRule="exact"/>
              <w:rPr>
                <w:sz w:val="20"/>
                <w:szCs w:val="20"/>
                <w:color w:val="auto"/>
              </w:rPr>
            </w:pPr>
            <w:r>
              <w:rPr>
                <w:rFonts w:ascii="Arial" w:cs="Arial" w:eastAsia="Arial" w:hAnsi="Arial"/>
                <w:sz w:val="22"/>
                <w:szCs w:val="22"/>
                <w:color w:val="auto"/>
                <w:w w:val="81"/>
              </w:rPr>
              <w:t>57</w:t>
            </w:r>
          </w:p>
        </w:tc>
      </w:tr>
      <w:tr>
        <w:trPr>
          <w:trHeight w:val="274"/>
        </w:trPr>
        <w:tc>
          <w:tcPr>
            <w:tcW w:w="9300" w:type="dxa"/>
            <w:vAlign w:val="bottom"/>
          </w:tcPr>
          <w:p>
            <w:pPr>
              <w:ind w:left="220"/>
              <w:spacing w:after="0"/>
              <w:rPr>
                <w:sz w:val="20"/>
                <w:szCs w:val="20"/>
                <w:color w:val="auto"/>
              </w:rPr>
            </w:pPr>
            <w:r>
              <w:rPr>
                <w:rFonts w:ascii="Arial" w:cs="Arial" w:eastAsia="Arial" w:hAnsi="Arial"/>
                <w:sz w:val="22"/>
                <w:szCs w:val="22"/>
                <w:color w:val="auto"/>
              </w:rPr>
              <w:t>Pay Ratio Disclosure</w:t>
            </w:r>
          </w:p>
        </w:tc>
        <w:tc>
          <w:tcPr>
            <w:tcW w:w="1160" w:type="dxa"/>
            <w:vAlign w:val="bottom"/>
          </w:tcPr>
          <w:p>
            <w:pPr>
              <w:ind w:left="940"/>
              <w:spacing w:after="0"/>
              <w:rPr>
                <w:sz w:val="20"/>
                <w:szCs w:val="20"/>
                <w:color w:val="auto"/>
              </w:rPr>
            </w:pPr>
            <w:r>
              <w:rPr>
                <w:rFonts w:ascii="Arial" w:cs="Arial" w:eastAsia="Arial" w:hAnsi="Arial"/>
                <w:sz w:val="22"/>
                <w:szCs w:val="22"/>
                <w:color w:val="auto"/>
                <w:w w:val="81"/>
              </w:rPr>
              <w:t>60</w:t>
            </w:r>
          </w:p>
        </w:tc>
      </w:tr>
      <w:tr>
        <w:trPr>
          <w:trHeight w:val="397"/>
        </w:trPr>
        <w:tc>
          <w:tcPr>
            <w:tcW w:w="9300" w:type="dxa"/>
            <w:vAlign w:val="bottom"/>
          </w:tcPr>
          <w:p>
            <w:pPr>
              <w:spacing w:after="0"/>
              <w:rPr>
                <w:sz w:val="20"/>
                <w:szCs w:val="20"/>
                <w:color w:val="auto"/>
              </w:rPr>
            </w:pPr>
            <w:r>
              <w:rPr>
                <w:rFonts w:ascii="Arial" w:cs="Arial" w:eastAsia="Arial" w:hAnsi="Arial"/>
                <w:sz w:val="22"/>
                <w:szCs w:val="22"/>
                <w:b w:val="1"/>
                <w:bCs w:val="1"/>
                <w:color w:val="29650B"/>
              </w:rPr>
              <w:t>Principal Accountant Fees and Services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61</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Audit Committee Report</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62</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2: Ratification of Appointment of Independent Auditors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63</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Proposal 3: Advisory Vote to Approve Executive Compensation</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64</w:t>
            </w:r>
          </w:p>
        </w:tc>
      </w:tr>
      <w:tr>
        <w:trPr>
          <w:trHeight w:val="405"/>
        </w:trPr>
        <w:tc>
          <w:tcPr>
            <w:tcW w:w="9300" w:type="dxa"/>
            <w:vAlign w:val="bottom"/>
          </w:tcPr>
          <w:p>
            <w:pPr>
              <w:spacing w:after="0"/>
              <w:rPr>
                <w:sz w:val="20"/>
                <w:szCs w:val="20"/>
                <w:color w:val="auto"/>
              </w:rPr>
            </w:pPr>
            <w:r>
              <w:rPr>
                <w:rFonts w:ascii="Arial" w:cs="Arial" w:eastAsia="Arial" w:hAnsi="Arial"/>
                <w:sz w:val="22"/>
                <w:szCs w:val="22"/>
                <w:b w:val="1"/>
                <w:bCs w:val="1"/>
                <w:color w:val="29650B"/>
              </w:rPr>
              <w:t>Other Matters</w:t>
            </w:r>
          </w:p>
        </w:tc>
        <w:tc>
          <w:tcPr>
            <w:tcW w:w="1160" w:type="dxa"/>
            <w:vAlign w:val="bottom"/>
          </w:tcPr>
          <w:p>
            <w:pPr>
              <w:ind w:left="940"/>
              <w:spacing w:after="0"/>
              <w:rPr>
                <w:sz w:val="20"/>
                <w:szCs w:val="20"/>
                <w:color w:val="auto"/>
              </w:rPr>
            </w:pPr>
            <w:r>
              <w:rPr>
                <w:rFonts w:ascii="Arial" w:cs="Arial" w:eastAsia="Arial" w:hAnsi="Arial"/>
                <w:sz w:val="22"/>
                <w:szCs w:val="22"/>
                <w:b w:val="1"/>
                <w:bCs w:val="1"/>
                <w:color w:val="29650B"/>
                <w:w w:val="81"/>
              </w:rPr>
              <w:t>65</w:t>
            </w:r>
          </w:p>
        </w:tc>
      </w:tr>
    </w:tbl>
    <w:p>
      <w:pPr>
        <w:spacing w:after="0" w:line="37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560"/>
          </w:cols>
          <w:pgMar w:left="320" w:top="449" w:right="10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32"/>
          <w:szCs w:val="32"/>
          <w:b w:val="1"/>
          <w:bCs w:val="1"/>
          <w:color w:val="29650B"/>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is a summary only and does not contain all the information that you should consider. We urge you to carefully read the entire Proxy Statement before voting.</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Crown Holdings, Inc. - 2021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b w:val="1"/>
          <w:bCs w:val="1"/>
          <w:color w:val="auto"/>
        </w:rPr>
        <w:t>Time and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9:30 a.m. Eastern Time, April 22, 2021</w:t>
      </w:r>
    </w:p>
    <w:p>
      <w:pPr>
        <w:spacing w:after="0" w:line="23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b w:val="1"/>
          <w:bCs w:val="1"/>
          <w:color w:val="auto"/>
        </w:rPr>
        <w:t>Place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Meeting via the Internet – </w:t>
      </w:r>
      <w:r>
        <w:rPr>
          <w:rFonts w:ascii="Arial" w:cs="Arial" w:eastAsia="Arial" w:hAnsi="Arial"/>
          <w:sz w:val="19"/>
          <w:szCs w:val="19"/>
          <w:b w:val="1"/>
          <w:bCs w:val="1"/>
          <w:u w:val="single" w:color="auto"/>
          <w:color w:val="29650B"/>
        </w:rPr>
        <w:t>www.virtualshareholdermeeting.com/CCK2021</w:t>
      </w:r>
    </w:p>
    <w:p>
      <w:pPr>
        <w:spacing w:after="0" w:line="233" w:lineRule="exact"/>
        <w:rPr>
          <w:sz w:val="20"/>
          <w:szCs w:val="20"/>
          <w:color w:val="auto"/>
        </w:rPr>
      </w:pPr>
    </w:p>
    <w:p>
      <w:pPr>
        <w:ind w:left="2600" w:hanging="2591"/>
        <w:spacing w:after="0" w:line="250" w:lineRule="auto"/>
        <w:tabs>
          <w:tab w:leader="none" w:pos="2580" w:val="left"/>
        </w:tabs>
        <w:rPr>
          <w:sz w:val="20"/>
          <w:szCs w:val="20"/>
          <w:color w:val="auto"/>
        </w:rPr>
      </w:pPr>
      <w:r>
        <w:rPr>
          <w:rFonts w:ascii="Arial" w:cs="Arial" w:eastAsia="Arial" w:hAnsi="Arial"/>
          <w:sz w:val="22"/>
          <w:szCs w:val="22"/>
          <w:b w:val="1"/>
          <w:bCs w:val="1"/>
          <w:color w:val="auto"/>
        </w:rPr>
        <w:t>Record Date:</w:t>
      </w:r>
      <w:r>
        <w:rPr>
          <w:sz w:val="20"/>
          <w:szCs w:val="20"/>
          <w:color w:val="auto"/>
        </w:rPr>
        <w:tab/>
      </w:r>
      <w:r>
        <w:rPr>
          <w:rFonts w:ascii="Arial" w:cs="Arial" w:eastAsia="Arial" w:hAnsi="Arial"/>
          <w:sz w:val="22"/>
          <w:szCs w:val="22"/>
          <w:color w:val="auto"/>
        </w:rPr>
        <w:t>March 2, 2021. Only Shareholders of record of the Company’s Common Stock at the close of business on the Record Date will be entitled to vote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2021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20" w:type="dxa"/>
            <w:vAlign w:val="bottom"/>
            <w:tcBorders>
              <w:top w:val="single" w:sz="8" w:color="auto"/>
              <w:left w:val="single" w:sz="8" w:color="auto"/>
              <w:bottom w:val="single" w:sz="8" w:color="auto"/>
            </w:tcBorders>
            <w:shd w:val="clear" w:color="auto" w:fill="29650B"/>
          </w:tcPr>
          <w:p>
            <w:pPr>
              <w:spacing w:after="0"/>
              <w:rPr>
                <w:sz w:val="22"/>
                <w:szCs w:val="22"/>
                <w:color w:val="auto"/>
              </w:rPr>
            </w:pPr>
          </w:p>
        </w:tc>
        <w:tc>
          <w:tcPr>
            <w:tcW w:w="5660" w:type="dxa"/>
            <w:vAlign w:val="bottom"/>
            <w:tcBorders>
              <w:top w:val="single" w:sz="8" w:color="auto"/>
              <w:bottom w:val="single" w:sz="8" w:color="auto"/>
              <w:right w:val="single" w:sz="8" w:color="auto"/>
            </w:tcBorders>
            <w:shd w:val="clear" w:color="auto" w:fill="29650B"/>
          </w:tcPr>
          <w:p>
            <w:pPr>
              <w:ind w:left="2080"/>
              <w:spacing w:after="0"/>
              <w:rPr>
                <w:sz w:val="20"/>
                <w:szCs w:val="20"/>
                <w:color w:val="auto"/>
              </w:rPr>
            </w:pPr>
            <w:r>
              <w:rPr>
                <w:rFonts w:ascii="Arial" w:cs="Arial" w:eastAsia="Arial" w:hAnsi="Arial"/>
                <w:sz w:val="22"/>
                <w:szCs w:val="22"/>
                <w:b w:val="1"/>
                <w:bCs w:val="1"/>
                <w:color w:val="FFFFFF"/>
              </w:rPr>
              <w:t>Agenda Item</w:t>
            </w:r>
          </w:p>
        </w:tc>
        <w:tc>
          <w:tcPr>
            <w:tcW w:w="448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72"/>
              <w:spacing w:after="0"/>
              <w:rPr>
                <w:sz w:val="20"/>
                <w:szCs w:val="20"/>
                <w:color w:val="auto"/>
              </w:rPr>
            </w:pPr>
            <w:r>
              <w:rPr>
                <w:rFonts w:ascii="Arial" w:cs="Arial" w:eastAsia="Arial" w:hAnsi="Arial"/>
                <w:sz w:val="22"/>
                <w:szCs w:val="22"/>
                <w:b w:val="1"/>
                <w:bCs w:val="1"/>
                <w:color w:val="FFFFFF"/>
              </w:rPr>
              <w:t>Page</w:t>
            </w:r>
          </w:p>
        </w:tc>
      </w:tr>
      <w:tr>
        <w:trPr>
          <w:trHeight w:val="304"/>
        </w:trPr>
        <w:tc>
          <w:tcPr>
            <w:tcW w:w="3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5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Election of Directors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FOR EACH DIRECTOR NOMINEE</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17</w:t>
            </w:r>
          </w:p>
        </w:tc>
      </w:tr>
      <w:tr>
        <w:trPr>
          <w:trHeight w:val="304"/>
        </w:trPr>
        <w:tc>
          <w:tcPr>
            <w:tcW w:w="32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2.</w:t>
            </w:r>
          </w:p>
        </w:tc>
        <w:tc>
          <w:tcPr>
            <w:tcW w:w="5660" w:type="dxa"/>
            <w:vAlign w:val="bottom"/>
            <w:tcBorders>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2"/>
                <w:szCs w:val="22"/>
                <w:color w:val="auto"/>
              </w:rPr>
              <w:t>Ratification of appointment of Independent Auditors</w:t>
            </w:r>
          </w:p>
        </w:tc>
        <w:tc>
          <w:tcPr>
            <w:tcW w:w="4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bottom w:val="single" w:sz="8" w:color="auto"/>
              <w:right w:val="single" w:sz="8" w:color="auto"/>
            </w:tcBorders>
            <w:shd w:val="clear" w:color="auto" w:fill="D9D9D9"/>
          </w:tcPr>
          <w:p>
            <w:pPr>
              <w:jc w:val="right"/>
              <w:ind w:right="52"/>
              <w:spacing w:after="0"/>
              <w:rPr>
                <w:sz w:val="20"/>
                <w:szCs w:val="20"/>
                <w:color w:val="auto"/>
              </w:rPr>
            </w:pPr>
            <w:r>
              <w:rPr>
                <w:rFonts w:ascii="Arial" w:cs="Arial" w:eastAsia="Arial" w:hAnsi="Arial"/>
                <w:sz w:val="22"/>
                <w:szCs w:val="22"/>
                <w:color w:val="auto"/>
              </w:rPr>
              <w:t>63</w:t>
            </w:r>
          </w:p>
        </w:tc>
      </w:tr>
      <w:tr>
        <w:trPr>
          <w:trHeight w:val="304"/>
        </w:trPr>
        <w:tc>
          <w:tcPr>
            <w:tcW w:w="32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5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Advisory vote to approve executive compensation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FOR</w:t>
            </w:r>
          </w:p>
        </w:tc>
        <w:tc>
          <w:tcPr>
            <w:tcW w:w="7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22"/>
                <w:szCs w:val="22"/>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You can vote by any of the following methods:</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64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right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96"/>
              </w:rPr>
              <w:t>Internet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Phone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Mail</w:t>
            </w: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gridSpan w:val="3"/>
          </w:tcPr>
          <w:p>
            <w:pPr>
              <w:jc w:val="center"/>
              <w:ind w:right="520"/>
              <w:spacing w:after="0"/>
              <w:rPr>
                <w:sz w:val="20"/>
                <w:szCs w:val="20"/>
                <w:color w:val="auto"/>
              </w:rPr>
            </w:pPr>
            <w:r>
              <w:rPr>
                <w:rFonts w:ascii="Arial" w:cs="Arial" w:eastAsia="Arial" w:hAnsi="Arial"/>
                <w:sz w:val="18"/>
                <w:szCs w:val="18"/>
                <w:b w:val="1"/>
                <w:bCs w:val="1"/>
                <w:color w:val="auto"/>
                <w:w w:val="93"/>
              </w:rPr>
              <w:t>During Meeting</w:t>
            </w:r>
          </w:p>
        </w:tc>
      </w:tr>
      <w:tr>
        <w:trPr>
          <w:trHeight w:val="1525"/>
        </w:trPr>
        <w:tc>
          <w:tcPr>
            <w:tcW w:w="640" w:type="dxa"/>
            <w:vAlign w:val="bottom"/>
            <w:tcBorders>
              <w:left w:val="single" w:sz="8" w:color="auto"/>
            </w:tcBorders>
          </w:tcPr>
          <w:p>
            <w:pPr>
              <w:spacing w:after="0"/>
              <w:rPr>
                <w:sz w:val="24"/>
                <w:szCs w:val="24"/>
                <w:color w:val="auto"/>
              </w:rPr>
            </w:pPr>
          </w:p>
        </w:tc>
        <w:tc>
          <w:tcPr>
            <w:tcW w:w="1560" w:type="dxa"/>
            <w:vAlign w:val="bottom"/>
            <w:tcBorders>
              <w:bottom w:val="single" w:sz="8" w:color="29650B"/>
            </w:tcBorders>
          </w:tcPr>
          <w:p>
            <w:pPr>
              <w:jc w:val="center"/>
              <w:spacing w:after="0"/>
              <w:rPr>
                <w:sz w:val="20"/>
                <w:szCs w:val="20"/>
                <w:color w:val="auto"/>
              </w:rPr>
            </w:pPr>
            <w:r>
              <w:rPr>
                <w:rFonts w:ascii="Arial" w:cs="Arial" w:eastAsia="Arial" w:hAnsi="Arial"/>
                <w:sz w:val="18"/>
                <w:szCs w:val="18"/>
                <w:b w:val="1"/>
                <w:bCs w:val="1"/>
                <w:color w:val="29650B"/>
                <w:w w:val="89"/>
              </w:rPr>
              <w:t>www.proxyvote.com</w:t>
            </w:r>
          </w:p>
        </w:tc>
        <w:tc>
          <w:tcPr>
            <w:tcW w:w="6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1-800-690-6903</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 sign and date your proxy card</w:t>
            </w:r>
          </w:p>
        </w:tc>
        <w:tc>
          <w:tcPr>
            <w:tcW w:w="27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1"/>
              </w:rPr>
              <w:t>You may vote online during</w:t>
            </w:r>
          </w:p>
        </w:tc>
      </w:tr>
      <w:tr>
        <w:trPr>
          <w:trHeight w:val="218"/>
        </w:trPr>
        <w:tc>
          <w:tcPr>
            <w:tcW w:w="2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Deadline for voting online is 11:59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Deadline for voting by phone is 11:59</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and return it in the postage-paid</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the Annual Meeting at</w:t>
            </w:r>
          </w:p>
        </w:tc>
      </w:tr>
      <w:tr>
        <w:trPr>
          <w:trHeight w:val="194"/>
        </w:trPr>
        <w:tc>
          <w:tcPr>
            <w:tcW w:w="2840" w:type="dxa"/>
            <w:vAlign w:val="bottom"/>
            <w:tcBorders>
              <w:left w:val="single" w:sz="8" w:color="auto"/>
              <w:right w:val="single" w:sz="8" w:color="auto"/>
            </w:tcBorders>
            <w:gridSpan w:val="3"/>
          </w:tcPr>
          <w:p>
            <w:pPr>
              <w:jc w:val="center"/>
              <w:spacing w:after="0" w:line="174" w:lineRule="exact"/>
              <w:rPr>
                <w:sz w:val="20"/>
                <w:szCs w:val="20"/>
                <w:color w:val="auto"/>
              </w:rPr>
            </w:pPr>
            <w:r>
              <w:rPr>
                <w:rFonts w:ascii="Arial" w:cs="Arial" w:eastAsia="Arial" w:hAnsi="Arial"/>
                <w:sz w:val="18"/>
                <w:szCs w:val="18"/>
                <w:color w:val="auto"/>
                <w:w w:val="94"/>
              </w:rPr>
              <w:t>p.m. (ET) on April 21, 2021.</w:t>
            </w:r>
          </w:p>
        </w:tc>
        <w:tc>
          <w:tcPr>
            <w:tcW w:w="280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4"/>
              </w:rPr>
              <w:t>p.m. (ET) on April 21, 2021.</w:t>
            </w:r>
          </w:p>
        </w:tc>
        <w:tc>
          <w:tcPr>
            <w:tcW w:w="282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2"/>
              </w:rPr>
              <w:t>envelope provided. Your proxy card</w:t>
            </w:r>
          </w:p>
        </w:tc>
        <w:tc>
          <w:tcPr>
            <w:tcW w:w="440" w:type="dxa"/>
            <w:vAlign w:val="bottom"/>
          </w:tcPr>
          <w:p>
            <w:pPr>
              <w:spacing w:after="0"/>
              <w:rPr>
                <w:sz w:val="16"/>
                <w:szCs w:val="16"/>
                <w:color w:val="auto"/>
              </w:rPr>
            </w:pPr>
          </w:p>
        </w:tc>
        <w:tc>
          <w:tcPr>
            <w:tcW w:w="2340" w:type="dxa"/>
            <w:vAlign w:val="bottom"/>
            <w:tcBorders>
              <w:right w:val="single" w:sz="8" w:color="auto"/>
            </w:tcBorders>
            <w:gridSpan w:val="4"/>
          </w:tcPr>
          <w:p>
            <w:pPr>
              <w:jc w:val="center"/>
              <w:ind w:right="480"/>
              <w:spacing w:after="0" w:line="174" w:lineRule="exact"/>
              <w:rPr>
                <w:sz w:val="20"/>
                <w:szCs w:val="20"/>
                <w:color w:val="auto"/>
              </w:rPr>
            </w:pPr>
            <w:r>
              <w:rPr>
                <w:rFonts w:ascii="Arial" w:cs="Arial" w:eastAsia="Arial" w:hAnsi="Arial"/>
                <w:sz w:val="18"/>
                <w:szCs w:val="18"/>
                <w:b w:val="1"/>
                <w:bCs w:val="1"/>
                <w:color w:val="29650B"/>
                <w:w w:val="91"/>
              </w:rPr>
              <w:t>www.virtualshareholder</w:t>
            </w:r>
          </w:p>
        </w:tc>
      </w:tr>
      <w:tr>
        <w:trPr>
          <w:trHeight w:val="196"/>
        </w:trPr>
        <w:tc>
          <w:tcPr>
            <w:tcW w:w="640" w:type="dxa"/>
            <w:vAlign w:val="bottom"/>
            <w:tcBorders>
              <w:lef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must be received before the Annual</w:t>
            </w:r>
          </w:p>
        </w:tc>
        <w:tc>
          <w:tcPr>
            <w:tcW w:w="440" w:type="dxa"/>
            <w:vAlign w:val="bottom"/>
          </w:tcPr>
          <w:p>
            <w:pPr>
              <w:spacing w:after="0"/>
              <w:rPr>
                <w:sz w:val="17"/>
                <w:szCs w:val="17"/>
                <w:color w:val="auto"/>
              </w:rPr>
            </w:pPr>
          </w:p>
        </w:tc>
        <w:tc>
          <w:tcPr>
            <w:tcW w:w="40" w:type="dxa"/>
            <w:vAlign w:val="bottom"/>
            <w:tcBorders>
              <w:top w:val="single" w:sz="8" w:color="29650B"/>
            </w:tcBorders>
          </w:tcPr>
          <w:p>
            <w:pPr>
              <w:spacing w:after="0"/>
              <w:rPr>
                <w:sz w:val="17"/>
                <w:szCs w:val="17"/>
                <w:color w:val="auto"/>
              </w:rPr>
            </w:pPr>
          </w:p>
        </w:tc>
        <w:tc>
          <w:tcPr>
            <w:tcW w:w="1820" w:type="dxa"/>
            <w:vAlign w:val="bottom"/>
            <w:tcBorders>
              <w:top w:val="single" w:sz="8" w:color="29650B"/>
            </w:tcBorders>
            <w:gridSpan w:val="2"/>
          </w:tcPr>
          <w:p>
            <w:pPr>
              <w:jc w:val="center"/>
              <w:ind w:right="40"/>
              <w:spacing w:after="0" w:line="196" w:lineRule="exact"/>
              <w:rPr>
                <w:sz w:val="20"/>
                <w:szCs w:val="20"/>
                <w:color w:val="auto"/>
              </w:rPr>
            </w:pPr>
            <w:r>
              <w:rPr>
                <w:rFonts w:ascii="Arial" w:cs="Arial" w:eastAsia="Arial" w:hAnsi="Arial"/>
                <w:sz w:val="18"/>
                <w:szCs w:val="18"/>
                <w:b w:val="1"/>
                <w:bCs w:val="1"/>
                <w:color w:val="29650B"/>
                <w:w w:val="91"/>
              </w:rPr>
              <w:t>meeting.com/CCK2021</w:t>
            </w:r>
          </w:p>
        </w:tc>
        <w:tc>
          <w:tcPr>
            <w:tcW w:w="480" w:type="dxa"/>
            <w:vAlign w:val="bottom"/>
            <w:tcBorders>
              <w:right w:val="single" w:sz="8" w:color="auto"/>
            </w:tcBorders>
          </w:tcPr>
          <w:p>
            <w:pPr>
              <w:spacing w:after="0"/>
              <w:rPr>
                <w:sz w:val="17"/>
                <w:szCs w:val="17"/>
                <w:color w:val="auto"/>
              </w:rPr>
            </w:pPr>
          </w:p>
        </w:tc>
      </w:tr>
      <w:tr>
        <w:trPr>
          <w:trHeight w:val="244"/>
        </w:trPr>
        <w:tc>
          <w:tcPr>
            <w:tcW w:w="640" w:type="dxa"/>
            <w:vAlign w:val="bottom"/>
            <w:tcBorders>
              <w:left w:val="single" w:sz="8" w:color="auto"/>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Meeting.</w:t>
            </w: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780" w:type="dxa"/>
            <w:vAlign w:val="bottom"/>
            <w:tcBorders>
              <w:top w:val="single" w:sz="8" w:color="29650B"/>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-1422400</wp:posOffset>
            </wp:positionV>
            <wp:extent cx="96837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643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-1422400</wp:posOffset>
            </wp:positionV>
            <wp:extent cx="92583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830" cy="65151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-1422400</wp:posOffset>
            </wp:positionV>
            <wp:extent cx="85725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65151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-1422400</wp:posOffset>
            </wp:positionV>
            <wp:extent cx="85725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0" cy="651510"/>
                    </a:xfrm>
                    <a:prstGeom prst="rect">
                      <a:avLst/>
                    </a:prstGeom>
                    <a:noFill/>
                  </pic:spPr>
                </pic:pic>
              </a:graphicData>
            </a:graphic>
          </wp:anchor>
        </w:drawing>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29650B"/>
        </w:rPr>
        <w:t>Proposal 1: Election of Directors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There are thirteen nominees for election to the Board of Directors. This year’s Board nominees include one new Director</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Dwayne Wilson. Six of the Company’s independent Directors have joined the Board in the last five years as a result of a Board refreshment process where Director candidates were identified through Board, Shareholder and third-party search firm input. Our Board refreshment strategy has further strengthened and diversified the skills and experiences of the Board. Each Director nominee is listed below, and you can find additional information about each nominee under Proposal 1: Election of Directors, beginning on page 17.</w:t>
      </w: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0" w:type="dxa"/>
            <w:vAlign w:val="bottom"/>
            <w:tcBorders>
              <w:left w:val="single" w:sz="8" w:color="29650B"/>
            </w:tcBorders>
            <w:shd w:val="clear" w:color="auto" w:fill="29650B"/>
          </w:tcPr>
          <w:p>
            <w:pPr>
              <w:spacing w:after="0"/>
              <w:rPr>
                <w:sz w:val="22"/>
                <w:szCs w:val="22"/>
                <w:color w:val="auto"/>
              </w:rPr>
            </w:pPr>
          </w:p>
        </w:tc>
        <w:tc>
          <w:tcPr>
            <w:tcW w:w="640" w:type="dxa"/>
            <w:vAlign w:val="bottom"/>
            <w:shd w:val="clear" w:color="auto" w:fill="29650B"/>
          </w:tcPr>
          <w:p>
            <w:pPr>
              <w:spacing w:after="0"/>
              <w:rPr>
                <w:sz w:val="22"/>
                <w:szCs w:val="22"/>
                <w:color w:val="auto"/>
              </w:rPr>
            </w:pPr>
          </w:p>
        </w:tc>
        <w:tc>
          <w:tcPr>
            <w:tcW w:w="92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Director</w:t>
            </w:r>
          </w:p>
        </w:tc>
        <w:tc>
          <w:tcPr>
            <w:tcW w:w="1220" w:type="dxa"/>
            <w:vAlign w:val="bottom"/>
            <w:shd w:val="clear" w:color="auto" w:fill="29650B"/>
          </w:tcPr>
          <w:p>
            <w:pPr>
              <w:spacing w:after="0"/>
              <w:rPr>
                <w:sz w:val="22"/>
                <w:szCs w:val="22"/>
                <w:color w:val="auto"/>
              </w:rPr>
            </w:pPr>
          </w:p>
        </w:tc>
        <w:tc>
          <w:tcPr>
            <w:tcW w:w="580" w:type="dxa"/>
            <w:vAlign w:val="bottom"/>
            <w:shd w:val="clear" w:color="auto" w:fill="29650B"/>
          </w:tcPr>
          <w:p>
            <w:pPr>
              <w:spacing w:after="0"/>
              <w:rPr>
                <w:sz w:val="22"/>
                <w:szCs w:val="22"/>
                <w:color w:val="auto"/>
              </w:rPr>
            </w:pPr>
          </w:p>
        </w:tc>
        <w:tc>
          <w:tcPr>
            <w:tcW w:w="2500" w:type="dxa"/>
            <w:vAlign w:val="bottom"/>
            <w:tcBorders>
              <w:right w:val="single" w:sz="8" w:color="auto"/>
            </w:tcBorders>
            <w:gridSpan w:val="3"/>
            <w:shd w:val="clear" w:color="auto" w:fill="29650B"/>
          </w:tcPr>
          <w:p>
            <w:pPr>
              <w:spacing w:after="0"/>
              <w:rPr>
                <w:sz w:val="20"/>
                <w:szCs w:val="20"/>
                <w:color w:val="auto"/>
              </w:rPr>
            </w:pPr>
            <w:r>
              <w:rPr>
                <w:rFonts w:ascii="Arial" w:cs="Arial" w:eastAsia="Arial" w:hAnsi="Arial"/>
                <w:sz w:val="18"/>
                <w:szCs w:val="18"/>
                <w:b w:val="1"/>
                <w:bCs w:val="1"/>
                <w:color w:val="FFFFFF"/>
              </w:rPr>
              <w:t>Committee Memberships</w:t>
            </w:r>
          </w:p>
        </w:tc>
        <w:tc>
          <w:tcPr>
            <w:tcW w:w="0" w:type="dxa"/>
            <w:vAlign w:val="bottom"/>
          </w:tcPr>
          <w:p>
            <w:pPr>
              <w:spacing w:after="0"/>
              <w:rPr>
                <w:sz w:val="1"/>
                <w:szCs w:val="1"/>
                <w:color w:val="auto"/>
              </w:rPr>
            </w:pPr>
          </w:p>
        </w:tc>
      </w:tr>
      <w:tr>
        <w:trPr>
          <w:trHeight w:val="243"/>
        </w:trPr>
        <w:tc>
          <w:tcPr>
            <w:tcW w:w="5400" w:type="dxa"/>
            <w:vAlign w:val="bottom"/>
            <w:tcBorders>
              <w:left w:val="single" w:sz="8" w:color="29650B"/>
              <w:bottom w:val="single" w:sz="8" w:color="auto"/>
            </w:tcBorders>
            <w:shd w:val="clear" w:color="auto" w:fill="29650B"/>
          </w:tcPr>
          <w:p>
            <w:pPr>
              <w:ind w:left="1500"/>
              <w:spacing w:after="0"/>
              <w:rPr>
                <w:sz w:val="20"/>
                <w:szCs w:val="20"/>
                <w:color w:val="auto"/>
              </w:rPr>
            </w:pPr>
            <w:r>
              <w:rPr>
                <w:rFonts w:ascii="Arial" w:cs="Arial" w:eastAsia="Arial" w:hAnsi="Arial"/>
                <w:sz w:val="18"/>
                <w:szCs w:val="18"/>
                <w:b w:val="1"/>
                <w:bCs w:val="1"/>
                <w:color w:val="FFFFFF"/>
              </w:rPr>
              <w:t>Name and Primary Occupation</w:t>
            </w:r>
          </w:p>
        </w:tc>
        <w:tc>
          <w:tcPr>
            <w:tcW w:w="64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Age</w:t>
            </w:r>
          </w:p>
        </w:tc>
        <w:tc>
          <w:tcPr>
            <w:tcW w:w="92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3"/>
              </w:rPr>
              <w:t>Since</w:t>
            </w:r>
          </w:p>
        </w:tc>
        <w:tc>
          <w:tcPr>
            <w:tcW w:w="122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Independent</w:t>
            </w:r>
          </w:p>
        </w:tc>
        <w:tc>
          <w:tcPr>
            <w:tcW w:w="580" w:type="dxa"/>
            <w:vAlign w:val="bottom"/>
            <w:tcBorders>
              <w:bottom w:val="single" w:sz="8" w:color="auto"/>
            </w:tcBorders>
            <w:shd w:val="clear" w:color="auto" w:fill="29650B"/>
          </w:tcPr>
          <w:p>
            <w:pPr>
              <w:jc w:val="center"/>
              <w:ind w:left="10"/>
              <w:spacing w:after="0"/>
              <w:rPr>
                <w:sz w:val="20"/>
                <w:szCs w:val="20"/>
                <w:color w:val="auto"/>
              </w:rPr>
            </w:pPr>
            <w:r>
              <w:rPr>
                <w:rFonts w:ascii="Arial" w:cs="Arial" w:eastAsia="Arial" w:hAnsi="Arial"/>
                <w:sz w:val="18"/>
                <w:szCs w:val="18"/>
                <w:b w:val="1"/>
                <w:bCs w:val="1"/>
                <w:color w:val="FFFFFF"/>
                <w:w w:val="91"/>
              </w:rPr>
              <w:t>A</w:t>
            </w:r>
          </w:p>
        </w:tc>
        <w:tc>
          <w:tcPr>
            <w:tcW w:w="78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C</w:t>
            </w:r>
          </w:p>
        </w:tc>
        <w:tc>
          <w:tcPr>
            <w:tcW w:w="80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NCG</w:t>
            </w:r>
          </w:p>
        </w:tc>
        <w:tc>
          <w:tcPr>
            <w:tcW w:w="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E</w:t>
            </w:r>
          </w:p>
        </w:tc>
        <w:tc>
          <w:tcPr>
            <w:tcW w:w="0" w:type="dxa"/>
            <w:vAlign w:val="bottom"/>
          </w:tcPr>
          <w:p>
            <w:pPr>
              <w:spacing w:after="0"/>
              <w:rPr>
                <w:sz w:val="1"/>
                <w:szCs w:val="1"/>
                <w:color w:val="auto"/>
              </w:rPr>
            </w:pPr>
          </w:p>
        </w:tc>
      </w:tr>
      <w:tr>
        <w:trPr>
          <w:trHeight w:val="195"/>
        </w:trPr>
        <w:tc>
          <w:tcPr>
            <w:tcW w:w="540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John W. Conway</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75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1997</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29650B"/>
                <w:w w:val="99"/>
              </w:rPr>
              <w:t>Chair</w:t>
            </w: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Chairman of the Board of the Company</w:t>
            </w:r>
          </w:p>
        </w:tc>
        <w:tc>
          <w:tcPr>
            <w:tcW w:w="6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40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Timothy J. Donahue</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58</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2015</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920" w:type="dxa"/>
            <w:vAlign w:val="bottom"/>
            <w:tcBorders>
              <w:right w:val="single" w:sz="8" w:color="auto"/>
            </w:tcBorders>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President and Chief Executive Officer of the Company</w:t>
            </w:r>
          </w:p>
        </w:tc>
        <w:tc>
          <w:tcPr>
            <w:tcW w:w="640" w:type="dxa"/>
            <w:vAlign w:val="bottom"/>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2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400" w:type="dxa"/>
            <w:vAlign w:val="bottom"/>
            <w:tcBorders>
              <w:left w:val="single" w:sz="8" w:color="auto"/>
            </w:tcBorders>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2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580" w:type="dxa"/>
            <w:vAlign w:val="bottom"/>
            <w:shd w:val="clear" w:color="auto" w:fill="D9D9D9"/>
          </w:tcPr>
          <w:p>
            <w:pPr>
              <w:spacing w:after="0"/>
              <w:rPr>
                <w:sz w:val="7"/>
                <w:szCs w:val="7"/>
                <w:color w:val="auto"/>
              </w:rPr>
            </w:pPr>
          </w:p>
        </w:tc>
        <w:tc>
          <w:tcPr>
            <w:tcW w:w="78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Richard H. Fearon</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Vice Chairman and Chief Financial and Planning Officer of Eaton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400" w:type="dxa"/>
            <w:vAlign w:val="bottom"/>
            <w:tcBorders>
              <w:left w:val="single" w:sz="8" w:color="auto"/>
            </w:tcBorders>
          </w:tcPr>
          <w:p>
            <w:pPr>
              <w:ind w:left="120"/>
              <w:spacing w:after="0" w:line="267" w:lineRule="exact"/>
              <w:rPr>
                <w:sz w:val="20"/>
                <w:szCs w:val="20"/>
                <w:color w:val="auto"/>
              </w:rPr>
            </w:pPr>
            <w:r>
              <w:rPr>
                <w:rFonts w:ascii="Arial" w:cs="Arial" w:eastAsia="Arial" w:hAnsi="Arial"/>
                <w:sz w:val="18"/>
                <w:szCs w:val="18"/>
                <w:i w:val="1"/>
                <w:iCs w:val="1"/>
                <w:color w:val="auto"/>
              </w:rPr>
              <w:t>Corporation</w:t>
            </w:r>
            <w:r>
              <w:rPr>
                <w:rFonts w:ascii="Arial" w:cs="Arial" w:eastAsia="Arial" w:hAnsi="Arial"/>
                <w:sz w:val="29"/>
                <w:szCs w:val="29"/>
                <w:b w:val="1"/>
                <w:bCs w:val="1"/>
                <w:i w:val="1"/>
                <w:iCs w:val="1"/>
                <w:color w:val="auto"/>
                <w:vertAlign w:val="superscript"/>
              </w:rPr>
              <w:t>[1]</w:t>
            </w: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Andrea J. Funk</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51</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2017</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restart"/>
            <w:shd w:val="clear" w:color="auto" w:fill="D9D9D9"/>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shd w:val="clear" w:color="auto" w:fill="D9D9D9"/>
          </w:tcPr>
          <w:p>
            <w:pPr>
              <w:spacing w:after="0"/>
              <w:rPr>
                <w:sz w:val="17"/>
                <w:szCs w:val="17"/>
                <w:color w:val="auto"/>
              </w:rPr>
            </w:pP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VP Finance, Americas of EnerSys</w:t>
            </w:r>
          </w:p>
        </w:tc>
        <w:tc>
          <w:tcPr>
            <w:tcW w:w="640" w:type="dxa"/>
            <w:vAlign w:val="bottom"/>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580" w:type="dxa"/>
            <w:vAlign w:val="bottom"/>
            <w:vMerge w:val="continue"/>
            <w:shd w:val="clear" w:color="auto" w:fill="D9D9D9"/>
          </w:tcPr>
          <w:p>
            <w:pPr>
              <w:spacing w:after="0"/>
              <w:rPr>
                <w:sz w:val="12"/>
                <w:szCs w:val="12"/>
                <w:color w:val="auto"/>
              </w:rPr>
            </w:pPr>
          </w:p>
        </w:tc>
        <w:tc>
          <w:tcPr>
            <w:tcW w:w="780" w:type="dxa"/>
            <w:vAlign w:val="bottom"/>
            <w:vMerge w:val="continue"/>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92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400" w:type="dxa"/>
            <w:vAlign w:val="bottom"/>
            <w:tcBorders>
              <w:left w:val="single" w:sz="8" w:color="auto"/>
            </w:tcBorders>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2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580" w:type="dxa"/>
            <w:vAlign w:val="bottom"/>
            <w:shd w:val="clear" w:color="auto" w:fill="D9D9D9"/>
          </w:tcPr>
          <w:p>
            <w:pPr>
              <w:spacing w:after="0"/>
              <w:rPr>
                <w:sz w:val="7"/>
                <w:szCs w:val="7"/>
                <w:color w:val="auto"/>
              </w:rPr>
            </w:pPr>
          </w:p>
        </w:tc>
        <w:tc>
          <w:tcPr>
            <w:tcW w:w="78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Stephen J. Hagge</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69</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7"/>
                <w:szCs w:val="17"/>
                <w:color w:val="auto"/>
              </w:rPr>
            </w:pPr>
          </w:p>
        </w:tc>
        <w:tc>
          <w:tcPr>
            <w:tcW w:w="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Former President and Chief Executive Officer of AptarGroup</w:t>
            </w: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00" w:type="dxa"/>
            <w:vAlign w:val="bottom"/>
            <w:tcBorders>
              <w:left w:val="single" w:sz="8" w:color="auto"/>
            </w:tcBorders>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Rose Lee</w:t>
            </w:r>
          </w:p>
        </w:tc>
        <w:tc>
          <w:tcPr>
            <w:tcW w:w="64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55</w:t>
            </w:r>
          </w:p>
        </w:tc>
        <w:tc>
          <w:tcPr>
            <w:tcW w:w="9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9"/>
              </w:rPr>
              <w:t>2016</w:t>
            </w:r>
          </w:p>
        </w:tc>
        <w:tc>
          <w:tcPr>
            <w:tcW w:w="122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0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i w:val="1"/>
                <w:iCs w:val="1"/>
                <w:color w:val="auto"/>
              </w:rPr>
              <w:t>President of DuPont Water &amp; Protection</w:t>
            </w:r>
          </w:p>
        </w:tc>
        <w:tc>
          <w:tcPr>
            <w:tcW w:w="640" w:type="dxa"/>
            <w:vAlign w:val="bottom"/>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1220" w:type="dxa"/>
            <w:vAlign w:val="bottom"/>
            <w:vMerge w:val="continue"/>
            <w:shd w:val="clear" w:color="auto" w:fill="D9D9D9"/>
          </w:tcPr>
          <w:p>
            <w:pPr>
              <w:spacing w:after="0"/>
              <w:rPr>
                <w:sz w:val="12"/>
                <w:szCs w:val="12"/>
                <w:color w:val="auto"/>
              </w:rPr>
            </w:pPr>
          </w:p>
        </w:tc>
        <w:tc>
          <w:tcPr>
            <w:tcW w:w="580" w:type="dxa"/>
            <w:vAlign w:val="bottom"/>
            <w:shd w:val="clear" w:color="auto" w:fill="D9D9D9"/>
          </w:tcPr>
          <w:p>
            <w:pPr>
              <w:spacing w:after="0"/>
              <w:rPr>
                <w:sz w:val="12"/>
                <w:szCs w:val="12"/>
                <w:color w:val="auto"/>
              </w:rPr>
            </w:pPr>
          </w:p>
        </w:tc>
        <w:tc>
          <w:tcPr>
            <w:tcW w:w="780" w:type="dxa"/>
            <w:vAlign w:val="bottom"/>
            <w:shd w:val="clear" w:color="auto" w:fill="D9D9D9"/>
          </w:tcPr>
          <w:p>
            <w:pPr>
              <w:spacing w:after="0"/>
              <w:rPr>
                <w:sz w:val="12"/>
                <w:szCs w:val="12"/>
                <w:color w:val="auto"/>
              </w:rPr>
            </w:pPr>
          </w:p>
        </w:tc>
        <w:tc>
          <w:tcPr>
            <w:tcW w:w="800" w:type="dxa"/>
            <w:vAlign w:val="bottom"/>
            <w:vMerge w:val="continue"/>
            <w:shd w:val="clear" w:color="auto" w:fill="D9D9D9"/>
          </w:tcPr>
          <w:p>
            <w:pPr>
              <w:spacing w:after="0"/>
              <w:rPr>
                <w:sz w:val="12"/>
                <w:szCs w:val="12"/>
                <w:color w:val="auto"/>
              </w:rPr>
            </w:pPr>
          </w:p>
        </w:tc>
        <w:tc>
          <w:tcPr>
            <w:tcW w:w="92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400" w:type="dxa"/>
            <w:vAlign w:val="bottom"/>
            <w:tcBorders>
              <w:left w:val="single" w:sz="8" w:color="auto"/>
            </w:tcBorders>
            <w:vMerge w:val="continue"/>
            <w:shd w:val="clear" w:color="auto" w:fill="D9D9D9"/>
          </w:tcPr>
          <w:p>
            <w:pPr>
              <w:spacing w:after="0"/>
              <w:rPr>
                <w:sz w:val="7"/>
                <w:szCs w:val="7"/>
                <w:color w:val="auto"/>
              </w:rPr>
            </w:pPr>
          </w:p>
        </w:tc>
        <w:tc>
          <w:tcPr>
            <w:tcW w:w="640" w:type="dxa"/>
            <w:vAlign w:val="bottom"/>
            <w:shd w:val="clear" w:color="auto" w:fill="D9D9D9"/>
          </w:tcPr>
          <w:p>
            <w:pPr>
              <w:spacing w:after="0"/>
              <w:rPr>
                <w:sz w:val="7"/>
                <w:szCs w:val="7"/>
                <w:color w:val="auto"/>
              </w:rPr>
            </w:pPr>
          </w:p>
        </w:tc>
        <w:tc>
          <w:tcPr>
            <w:tcW w:w="920" w:type="dxa"/>
            <w:vAlign w:val="bottom"/>
            <w:shd w:val="clear" w:color="auto" w:fill="D9D9D9"/>
          </w:tcPr>
          <w:p>
            <w:pPr>
              <w:spacing w:after="0"/>
              <w:rPr>
                <w:sz w:val="7"/>
                <w:szCs w:val="7"/>
                <w:color w:val="auto"/>
              </w:rPr>
            </w:pPr>
          </w:p>
        </w:tc>
        <w:tc>
          <w:tcPr>
            <w:tcW w:w="1220" w:type="dxa"/>
            <w:vAlign w:val="bottom"/>
            <w:shd w:val="clear" w:color="auto" w:fill="D9D9D9"/>
          </w:tcPr>
          <w:p>
            <w:pPr>
              <w:spacing w:after="0"/>
              <w:rPr>
                <w:sz w:val="7"/>
                <w:szCs w:val="7"/>
                <w:color w:val="auto"/>
              </w:rPr>
            </w:pPr>
          </w:p>
        </w:tc>
        <w:tc>
          <w:tcPr>
            <w:tcW w:w="580" w:type="dxa"/>
            <w:vAlign w:val="bottom"/>
            <w:shd w:val="clear" w:color="auto" w:fill="D9D9D9"/>
          </w:tcPr>
          <w:p>
            <w:pPr>
              <w:spacing w:after="0"/>
              <w:rPr>
                <w:sz w:val="7"/>
                <w:szCs w:val="7"/>
                <w:color w:val="auto"/>
              </w:rPr>
            </w:pPr>
          </w:p>
        </w:tc>
        <w:tc>
          <w:tcPr>
            <w:tcW w:w="780" w:type="dxa"/>
            <w:vAlign w:val="bottom"/>
            <w:shd w:val="clear" w:color="auto" w:fill="D9D9D9"/>
          </w:tcPr>
          <w:p>
            <w:pPr>
              <w:spacing w:after="0"/>
              <w:rPr>
                <w:sz w:val="7"/>
                <w:szCs w:val="7"/>
                <w:color w:val="auto"/>
              </w:rPr>
            </w:pPr>
          </w:p>
        </w:tc>
        <w:tc>
          <w:tcPr>
            <w:tcW w:w="800" w:type="dxa"/>
            <w:vAlign w:val="bottom"/>
            <w:shd w:val="clear" w:color="auto" w:fill="D9D9D9"/>
          </w:tcPr>
          <w:p>
            <w:pPr>
              <w:spacing w:after="0"/>
              <w:rPr>
                <w:sz w:val="7"/>
                <w:szCs w:val="7"/>
                <w:color w:val="auto"/>
              </w:rPr>
            </w:pPr>
          </w:p>
        </w:tc>
        <w:tc>
          <w:tcPr>
            <w:tcW w:w="9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James H. Miller</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72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2010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7"/>
                <w:szCs w:val="17"/>
                <w:color w:val="auto"/>
              </w:rPr>
            </w:pPr>
          </w:p>
        </w:tc>
        <w:tc>
          <w:tcPr>
            <w:tcW w:w="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29650B"/>
                <w:w w:val="95"/>
              </w:rPr>
              <w:t>Chair</w:t>
            </w:r>
          </w:p>
        </w:tc>
        <w:tc>
          <w:tcPr>
            <w:tcW w:w="9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9"/>
        </w:trPr>
        <w:tc>
          <w:tcPr>
            <w:tcW w:w="54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Former Chairman and Chief Executive Officer of PPL Corporation</w:t>
            </w: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00" w:type="dxa"/>
            <w:vAlign w:val="bottom"/>
            <w:tcBorders>
              <w:left w:val="single" w:sz="8" w:color="auto"/>
            </w:tcBorders>
            <w:vMerge w:val="continue"/>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Josef M. Müller</w:t>
            </w:r>
          </w:p>
        </w:tc>
        <w:tc>
          <w:tcPr>
            <w:tcW w:w="6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580" w:type="dxa"/>
            <w:vAlign w:val="bottom"/>
            <w:vMerge w:val="restart"/>
            <w:shd w:val="clear" w:color="auto" w:fill="D9D9D9"/>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shd w:val="clear" w:color="auto" w:fill="D9D9D9"/>
          </w:tcPr>
          <w:p>
            <w:pPr>
              <w:spacing w:after="0"/>
              <w:rPr>
                <w:sz w:val="17"/>
                <w:szCs w:val="17"/>
                <w:color w:val="auto"/>
              </w:rPr>
            </w:pP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w w:val="94"/>
              </w:rPr>
              <w:t>Former Chairman and Chief Executive Officer of Nestlé in the Greater</w:t>
            </w: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73</w:t>
            </w:r>
          </w:p>
        </w:tc>
        <w:tc>
          <w:tcPr>
            <w:tcW w:w="9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4"/>
              </w:rPr>
              <w:t>2011</w:t>
            </w:r>
          </w:p>
        </w:tc>
        <w:tc>
          <w:tcPr>
            <w:tcW w:w="12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continue"/>
            <w:shd w:val="clear" w:color="auto" w:fill="D9D9D9"/>
          </w:tcPr>
          <w:p>
            <w:pPr>
              <w:spacing w:after="0"/>
              <w:rPr>
                <w:sz w:val="18"/>
                <w:szCs w:val="18"/>
                <w:color w:val="auto"/>
              </w:rPr>
            </w:pPr>
          </w:p>
        </w:tc>
        <w:tc>
          <w:tcPr>
            <w:tcW w:w="780" w:type="dxa"/>
            <w:vAlign w:val="bottom"/>
            <w:vMerge w:val="continue"/>
            <w:shd w:val="clear" w:color="auto" w:fill="D9D9D9"/>
          </w:tcPr>
          <w:p>
            <w:pPr>
              <w:spacing w:after="0"/>
              <w:rPr>
                <w:sz w:val="18"/>
                <w:szCs w:val="18"/>
                <w:color w:val="auto"/>
              </w:rPr>
            </w:pPr>
          </w:p>
        </w:tc>
        <w:tc>
          <w:tcPr>
            <w:tcW w:w="800" w:type="dxa"/>
            <w:vAlign w:val="bottom"/>
            <w:shd w:val="clear" w:color="auto" w:fill="D9D9D9"/>
          </w:tcPr>
          <w:p>
            <w:pPr>
              <w:spacing w:after="0"/>
              <w:rPr>
                <w:sz w:val="18"/>
                <w:szCs w:val="18"/>
                <w:color w:val="auto"/>
              </w:rPr>
            </w:pPr>
          </w:p>
        </w:tc>
        <w:tc>
          <w:tcPr>
            <w:tcW w:w="92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China Region</w:t>
            </w:r>
          </w:p>
        </w:tc>
        <w:tc>
          <w:tcPr>
            <w:tcW w:w="64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tcBorders>
            <w:shd w:val="clear" w:color="auto" w:fill="D9D9D9"/>
          </w:tcPr>
          <w:p>
            <w:pPr>
              <w:spacing w:after="0"/>
              <w:rPr>
                <w:sz w:val="22"/>
                <w:szCs w:val="22"/>
                <w:color w:val="auto"/>
              </w:rPr>
            </w:pPr>
          </w:p>
        </w:tc>
        <w:tc>
          <w:tcPr>
            <w:tcW w:w="1220" w:type="dxa"/>
            <w:vAlign w:val="bottom"/>
            <w:tcBorders>
              <w:bottom w:val="single" w:sz="8" w:color="D9D9D9"/>
            </w:tcBorders>
            <w:shd w:val="clear" w:color="auto" w:fill="D9D9D9"/>
          </w:tcPr>
          <w:p>
            <w:pPr>
              <w:spacing w:after="0"/>
              <w:rPr>
                <w:sz w:val="22"/>
                <w:szCs w:val="22"/>
                <w:color w:val="auto"/>
              </w:rPr>
            </w:pPr>
          </w:p>
        </w:tc>
        <w:tc>
          <w:tcPr>
            <w:tcW w:w="580" w:type="dxa"/>
            <w:vAlign w:val="bottom"/>
            <w:tcBorders>
              <w:bottom w:val="single" w:sz="8" w:color="D9D9D9"/>
            </w:tcBorders>
            <w:shd w:val="clear" w:color="auto" w:fill="D9D9D9"/>
          </w:tcPr>
          <w:p>
            <w:pPr>
              <w:spacing w:after="0"/>
              <w:rPr>
                <w:sz w:val="22"/>
                <w:szCs w:val="22"/>
                <w:color w:val="auto"/>
              </w:rPr>
            </w:pPr>
          </w:p>
        </w:tc>
        <w:tc>
          <w:tcPr>
            <w:tcW w:w="780" w:type="dxa"/>
            <w:vAlign w:val="bottom"/>
            <w:tcBorders>
              <w:bottom w:val="single" w:sz="8" w:color="D9D9D9"/>
            </w:tcBorders>
            <w:shd w:val="clear" w:color="auto" w:fill="D9D9D9"/>
          </w:tcPr>
          <w:p>
            <w:pPr>
              <w:spacing w:after="0"/>
              <w:rPr>
                <w:sz w:val="22"/>
                <w:szCs w:val="22"/>
                <w:color w:val="auto"/>
              </w:rPr>
            </w:pPr>
          </w:p>
        </w:tc>
        <w:tc>
          <w:tcPr>
            <w:tcW w:w="80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B. Craig Owens</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Former Chief Financial Officer and Chief Administrative Officer of</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Campbell Soup Company</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400" w:type="dxa"/>
            <w:vAlign w:val="bottom"/>
            <w:tcBorders>
              <w:lef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Caesar F. Sweitzer</w:t>
            </w:r>
          </w:p>
        </w:tc>
        <w:tc>
          <w:tcPr>
            <w:tcW w:w="6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00" w:type="dxa"/>
            <w:vAlign w:val="bottom"/>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vMerge w:val="restart"/>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Former Senior Advisor and Managing Director of Citigroup Global</w:t>
            </w: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70</w:t>
            </w:r>
          </w:p>
        </w:tc>
        <w:tc>
          <w:tcPr>
            <w:tcW w:w="9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2014</w:t>
            </w:r>
          </w:p>
        </w:tc>
        <w:tc>
          <w:tcPr>
            <w:tcW w:w="12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jc w:val="center"/>
              <w:ind w:left="10"/>
              <w:spacing w:after="0"/>
              <w:rPr>
                <w:sz w:val="20"/>
                <w:szCs w:val="20"/>
                <w:color w:val="auto"/>
              </w:rPr>
            </w:pPr>
            <w:r>
              <w:rPr>
                <w:rFonts w:ascii="Arial" w:cs="Arial" w:eastAsia="Arial" w:hAnsi="Arial"/>
                <w:sz w:val="18"/>
                <w:szCs w:val="18"/>
                <w:b w:val="1"/>
                <w:bCs w:val="1"/>
                <w:color w:val="29650B"/>
                <w:w w:val="95"/>
              </w:rPr>
              <w:t>Chair</w:t>
            </w:r>
          </w:p>
        </w:tc>
        <w:tc>
          <w:tcPr>
            <w:tcW w:w="780" w:type="dxa"/>
            <w:vAlign w:val="bottom"/>
            <w:shd w:val="clear" w:color="auto" w:fill="D9D9D9"/>
          </w:tcPr>
          <w:p>
            <w:pPr>
              <w:spacing w:after="0"/>
              <w:rPr>
                <w:sz w:val="18"/>
                <w:szCs w:val="18"/>
                <w:color w:val="auto"/>
              </w:rPr>
            </w:pPr>
          </w:p>
        </w:tc>
        <w:tc>
          <w:tcPr>
            <w:tcW w:w="800" w:type="dxa"/>
            <w:vAlign w:val="bottom"/>
            <w:vMerge w:val="continue"/>
            <w:shd w:val="clear" w:color="auto" w:fill="D9D9D9"/>
          </w:tcPr>
          <w:p>
            <w:pPr>
              <w:spacing w:after="0"/>
              <w:rPr>
                <w:sz w:val="18"/>
                <w:szCs w:val="18"/>
                <w:color w:val="auto"/>
              </w:rPr>
            </w:pPr>
          </w:p>
        </w:tc>
        <w:tc>
          <w:tcPr>
            <w:tcW w:w="920" w:type="dxa"/>
            <w:vAlign w:val="bottom"/>
            <w:tcBorders>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Markets</w:t>
            </w:r>
          </w:p>
        </w:tc>
        <w:tc>
          <w:tcPr>
            <w:tcW w:w="64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tcBorders>
            <w:shd w:val="clear" w:color="auto" w:fill="D9D9D9"/>
          </w:tcPr>
          <w:p>
            <w:pPr>
              <w:spacing w:after="0"/>
              <w:rPr>
                <w:sz w:val="22"/>
                <w:szCs w:val="22"/>
                <w:color w:val="auto"/>
              </w:rPr>
            </w:pPr>
          </w:p>
        </w:tc>
        <w:tc>
          <w:tcPr>
            <w:tcW w:w="1220" w:type="dxa"/>
            <w:vAlign w:val="bottom"/>
            <w:tcBorders>
              <w:bottom w:val="single" w:sz="8" w:color="D9D9D9"/>
            </w:tcBorders>
            <w:shd w:val="clear" w:color="auto" w:fill="D9D9D9"/>
          </w:tcPr>
          <w:p>
            <w:pPr>
              <w:spacing w:after="0"/>
              <w:rPr>
                <w:sz w:val="22"/>
                <w:szCs w:val="22"/>
                <w:color w:val="auto"/>
              </w:rPr>
            </w:pPr>
          </w:p>
        </w:tc>
        <w:tc>
          <w:tcPr>
            <w:tcW w:w="580" w:type="dxa"/>
            <w:vAlign w:val="bottom"/>
            <w:tcBorders>
              <w:bottom w:val="single" w:sz="8" w:color="D9D9D9"/>
            </w:tcBorders>
            <w:shd w:val="clear" w:color="auto" w:fill="D9D9D9"/>
          </w:tcPr>
          <w:p>
            <w:pPr>
              <w:spacing w:after="0"/>
              <w:rPr>
                <w:sz w:val="22"/>
                <w:szCs w:val="22"/>
                <w:color w:val="auto"/>
              </w:rPr>
            </w:pPr>
          </w:p>
        </w:tc>
        <w:tc>
          <w:tcPr>
            <w:tcW w:w="780" w:type="dxa"/>
            <w:vAlign w:val="bottom"/>
            <w:tcBorders>
              <w:bottom w:val="single" w:sz="8" w:color="D9D9D9"/>
            </w:tcBorders>
            <w:shd w:val="clear" w:color="auto" w:fill="D9D9D9"/>
          </w:tcPr>
          <w:p>
            <w:pPr>
              <w:spacing w:after="0"/>
              <w:rPr>
                <w:sz w:val="22"/>
                <w:szCs w:val="22"/>
                <w:color w:val="auto"/>
              </w:rPr>
            </w:pPr>
          </w:p>
        </w:tc>
        <w:tc>
          <w:tcPr>
            <w:tcW w:w="80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Jim L. Turner</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29650B"/>
                <w:w w:val="95"/>
              </w:rPr>
              <w:t>Chair</w:t>
            </w:r>
          </w:p>
        </w:tc>
        <w:tc>
          <w:tcPr>
            <w:tcW w:w="8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w w:val="93"/>
              </w:rPr>
              <w:t>Chief Executive Officer of JLT Beverages; former Chairman, President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w w:val="99"/>
              </w:rPr>
              <w:t>and Chief Executive Officer of Dr Pepper/Seven Up Bottling Group</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shd w:val="clear" w:color="auto" w:fill="D9D9D9"/>
          </w:tcPr>
          <w:p>
            <w:pPr>
              <w:ind w:left="120"/>
              <w:spacing w:after="0" w:line="201" w:lineRule="exact"/>
              <w:rPr>
                <w:sz w:val="20"/>
                <w:szCs w:val="20"/>
                <w:color w:val="auto"/>
              </w:rPr>
            </w:pPr>
            <w:r>
              <w:rPr>
                <w:rFonts w:ascii="Arial" w:cs="Arial" w:eastAsia="Arial" w:hAnsi="Arial"/>
                <w:sz w:val="18"/>
                <w:szCs w:val="18"/>
                <w:b w:val="1"/>
                <w:bCs w:val="1"/>
                <w:color w:val="auto"/>
              </w:rPr>
              <w:t>William S. Urkiel</w:t>
            </w:r>
          </w:p>
        </w:tc>
        <w:tc>
          <w:tcPr>
            <w:tcW w:w="640" w:type="dxa"/>
            <w:vAlign w:val="bottom"/>
            <w:shd w:val="clear" w:color="auto" w:fill="D9D9D9"/>
          </w:tcPr>
          <w:p>
            <w:pPr>
              <w:spacing w:after="0"/>
              <w:rPr>
                <w:sz w:val="17"/>
                <w:szCs w:val="17"/>
                <w:color w:val="auto"/>
              </w:rPr>
            </w:pPr>
          </w:p>
        </w:tc>
        <w:tc>
          <w:tcPr>
            <w:tcW w:w="92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17"/>
                <w:szCs w:val="17"/>
                <w:color w:val="auto"/>
              </w:rPr>
            </w:pPr>
          </w:p>
        </w:tc>
        <w:tc>
          <w:tcPr>
            <w:tcW w:w="58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800" w:type="dxa"/>
            <w:vAlign w:val="bottom"/>
            <w:shd w:val="clear" w:color="auto" w:fill="D9D9D9"/>
          </w:tcPr>
          <w:p>
            <w:pPr>
              <w:spacing w:after="0"/>
              <w:rPr>
                <w:sz w:val="17"/>
                <w:szCs w:val="17"/>
                <w:color w:val="auto"/>
              </w:rPr>
            </w:pPr>
          </w:p>
        </w:tc>
        <w:tc>
          <w:tcPr>
            <w:tcW w:w="9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Former Senior Vice President and Chief Financial Officer of IKON</w:t>
            </w:r>
          </w:p>
        </w:tc>
        <w:tc>
          <w:tcPr>
            <w:tcW w:w="6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75</w:t>
            </w:r>
          </w:p>
        </w:tc>
        <w:tc>
          <w:tcPr>
            <w:tcW w:w="9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2004</w:t>
            </w:r>
          </w:p>
        </w:tc>
        <w:tc>
          <w:tcPr>
            <w:tcW w:w="12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shd w:val="clear" w:color="auto" w:fill="D9D9D9"/>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9D9D9"/>
          </w:tcPr>
          <w:p>
            <w:pPr>
              <w:spacing w:after="0"/>
              <w:rPr>
                <w:sz w:val="20"/>
                <w:szCs w:val="20"/>
                <w:color w:val="auto"/>
              </w:rPr>
            </w:pPr>
          </w:p>
        </w:tc>
        <w:tc>
          <w:tcPr>
            <w:tcW w:w="80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i w:val="1"/>
                <w:iCs w:val="1"/>
                <w:color w:val="auto"/>
              </w:rPr>
              <w:t>Office Solutions</w:t>
            </w:r>
          </w:p>
        </w:tc>
        <w:tc>
          <w:tcPr>
            <w:tcW w:w="640" w:type="dxa"/>
            <w:vAlign w:val="bottom"/>
            <w:shd w:val="clear" w:color="auto" w:fill="D9D9D9"/>
          </w:tcPr>
          <w:p>
            <w:pPr>
              <w:spacing w:after="0"/>
              <w:rPr>
                <w:sz w:val="20"/>
                <w:szCs w:val="20"/>
                <w:color w:val="auto"/>
              </w:rPr>
            </w:pPr>
          </w:p>
        </w:tc>
        <w:tc>
          <w:tcPr>
            <w:tcW w:w="92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80" w:type="dxa"/>
            <w:vAlign w:val="bottom"/>
            <w:shd w:val="clear" w:color="auto" w:fill="D9D9D9"/>
          </w:tcPr>
          <w:p>
            <w:pPr>
              <w:spacing w:after="0"/>
              <w:rPr>
                <w:sz w:val="20"/>
                <w:szCs w:val="20"/>
                <w:color w:val="auto"/>
              </w:rPr>
            </w:pPr>
          </w:p>
        </w:tc>
        <w:tc>
          <w:tcPr>
            <w:tcW w:w="780" w:type="dxa"/>
            <w:vAlign w:val="bottom"/>
            <w:shd w:val="clear" w:color="auto" w:fill="D9D9D9"/>
          </w:tcPr>
          <w:p>
            <w:pPr>
              <w:spacing w:after="0"/>
              <w:rPr>
                <w:sz w:val="20"/>
                <w:szCs w:val="20"/>
                <w:color w:val="auto"/>
              </w:rPr>
            </w:pPr>
          </w:p>
        </w:tc>
        <w:tc>
          <w:tcPr>
            <w:tcW w:w="800" w:type="dxa"/>
            <w:vAlign w:val="bottom"/>
            <w:shd w:val="clear" w:color="auto" w:fill="D9D9D9"/>
          </w:tcPr>
          <w:p>
            <w:pPr>
              <w:spacing w:after="0"/>
              <w:rPr>
                <w:sz w:val="20"/>
                <w:szCs w:val="20"/>
                <w:color w:val="auto"/>
              </w:rPr>
            </w:pPr>
          </w:p>
        </w:tc>
        <w:tc>
          <w:tcPr>
            <w:tcW w:w="9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400" w:type="dxa"/>
            <w:vAlign w:val="bottom"/>
            <w:tcBorders>
              <w:left w:val="single" w:sz="8" w:color="auto"/>
            </w:tcBorders>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920" w:type="dxa"/>
            <w:vAlign w:val="bottom"/>
            <w:shd w:val="clear" w:color="auto" w:fill="D9D9D9"/>
          </w:tcPr>
          <w:p>
            <w:pPr>
              <w:spacing w:after="0"/>
              <w:rPr>
                <w:sz w:val="8"/>
                <w:szCs w:val="8"/>
                <w:color w:val="auto"/>
              </w:rPr>
            </w:pPr>
          </w:p>
        </w:tc>
        <w:tc>
          <w:tcPr>
            <w:tcW w:w="1220" w:type="dxa"/>
            <w:vAlign w:val="bottom"/>
            <w:shd w:val="clear" w:color="auto" w:fill="D9D9D9"/>
          </w:tcPr>
          <w:p>
            <w:pPr>
              <w:spacing w:after="0"/>
              <w:rPr>
                <w:sz w:val="8"/>
                <w:szCs w:val="8"/>
                <w:color w:val="auto"/>
              </w:rPr>
            </w:pPr>
          </w:p>
        </w:tc>
        <w:tc>
          <w:tcPr>
            <w:tcW w:w="580" w:type="dxa"/>
            <w:vAlign w:val="bottom"/>
            <w:shd w:val="clear" w:color="auto" w:fill="D9D9D9"/>
          </w:tcPr>
          <w:p>
            <w:pPr>
              <w:spacing w:after="0"/>
              <w:rPr>
                <w:sz w:val="8"/>
                <w:szCs w:val="8"/>
                <w:color w:val="auto"/>
              </w:rPr>
            </w:pPr>
          </w:p>
        </w:tc>
        <w:tc>
          <w:tcPr>
            <w:tcW w:w="780" w:type="dxa"/>
            <w:vAlign w:val="bottom"/>
            <w:shd w:val="clear" w:color="auto" w:fill="D9D9D9"/>
          </w:tcPr>
          <w:p>
            <w:pPr>
              <w:spacing w:after="0"/>
              <w:rPr>
                <w:sz w:val="8"/>
                <w:szCs w:val="8"/>
                <w:color w:val="auto"/>
              </w:rPr>
            </w:pPr>
          </w:p>
        </w:tc>
        <w:tc>
          <w:tcPr>
            <w:tcW w:w="800" w:type="dxa"/>
            <w:vAlign w:val="bottom"/>
            <w:shd w:val="clear" w:color="auto" w:fill="D9D9D9"/>
          </w:tcPr>
          <w:p>
            <w:pPr>
              <w:spacing w:after="0"/>
              <w:rPr>
                <w:sz w:val="8"/>
                <w:szCs w:val="8"/>
                <w:color w:val="auto"/>
              </w:rPr>
            </w:pPr>
          </w:p>
        </w:tc>
        <w:tc>
          <w:tcPr>
            <w:tcW w:w="92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4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Dwayne A. Wilson</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2020</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i w:val="1"/>
                <w:iCs w:val="1"/>
                <w:color w:val="auto"/>
              </w:rPr>
              <w:t>Former Senior Vice President of Fluor Corporation</w:t>
            </w: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400" w:type="dxa"/>
            <w:vAlign w:val="bottom"/>
            <w:tcBorders>
              <w:lef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-4328160</wp:posOffset>
            </wp:positionV>
            <wp:extent cx="64135" cy="6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-3616325</wp:posOffset>
            </wp:positionV>
            <wp:extent cx="64135" cy="6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-3616325</wp:posOffset>
            </wp:positionV>
            <wp:extent cx="64135" cy="6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-3324860</wp:posOffset>
            </wp:positionV>
            <wp:extent cx="64135" cy="6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-3033395</wp:posOffset>
            </wp:positionV>
            <wp:extent cx="64135" cy="6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-2741930</wp:posOffset>
            </wp:positionV>
            <wp:extent cx="64135" cy="6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-2741930</wp:posOffset>
            </wp:positionV>
            <wp:extent cx="64135" cy="65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-2364740</wp:posOffset>
            </wp:positionV>
            <wp:extent cx="64135" cy="6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-2364740</wp:posOffset>
            </wp:positionV>
            <wp:extent cx="64135" cy="65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-1918970</wp:posOffset>
            </wp:positionV>
            <wp:extent cx="64135" cy="6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-1473200</wp:posOffset>
            </wp:positionV>
            <wp:extent cx="64135" cy="6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-1473200</wp:posOffset>
            </wp:positionV>
            <wp:extent cx="64135" cy="6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-1044575</wp:posOffset>
            </wp:positionV>
            <wp:extent cx="64135" cy="6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-1044575</wp:posOffset>
            </wp:positionV>
            <wp:extent cx="64135" cy="6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-598805</wp:posOffset>
            </wp:positionV>
            <wp:extent cx="64135" cy="6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-598805</wp:posOffset>
            </wp:positionV>
            <wp:extent cx="64135" cy="6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35" cy="654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-213360</wp:posOffset>
            </wp:positionV>
            <wp:extent cx="64135" cy="6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35" cy="6540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i w:val="1"/>
          <w:iCs w:val="1"/>
          <w:color w:val="auto"/>
        </w:rPr>
        <w:t>Audit Committee</w:t>
      </w:r>
      <w:r>
        <w:rPr>
          <w:rFonts w:ascii="Arial" w:cs="Arial" w:eastAsia="Arial" w:hAnsi="Arial"/>
          <w:sz w:val="16"/>
          <w:szCs w:val="16"/>
          <w:b w:val="1"/>
          <w:bCs w:val="1"/>
          <w:color w:val="auto"/>
        </w:rPr>
        <w:t xml:space="preserve">  C: </w:t>
      </w:r>
      <w:r>
        <w:rPr>
          <w:rFonts w:ascii="Arial" w:cs="Arial" w:eastAsia="Arial" w:hAnsi="Arial"/>
          <w:sz w:val="16"/>
          <w:szCs w:val="16"/>
          <w:i w:val="1"/>
          <w:iCs w:val="1"/>
          <w:color w:val="auto"/>
        </w:rPr>
        <w:t>Compensation Committee</w:t>
      </w:r>
      <w:r>
        <w:rPr>
          <w:rFonts w:ascii="Arial" w:cs="Arial" w:eastAsia="Arial" w:hAnsi="Arial"/>
          <w:sz w:val="16"/>
          <w:szCs w:val="16"/>
          <w:b w:val="1"/>
          <w:bCs w:val="1"/>
          <w:color w:val="auto"/>
        </w:rPr>
        <w:t xml:space="preserve">  NCG: </w:t>
      </w:r>
      <w:r>
        <w:rPr>
          <w:rFonts w:ascii="Arial" w:cs="Arial" w:eastAsia="Arial" w:hAnsi="Arial"/>
          <w:sz w:val="16"/>
          <w:szCs w:val="16"/>
          <w:i w:val="1"/>
          <w:iCs w:val="1"/>
          <w:color w:val="auto"/>
        </w:rPr>
        <w:t>Nominating and Corporate Governance Committee</w:t>
      </w:r>
      <w:r>
        <w:rPr>
          <w:rFonts w:ascii="Arial" w:cs="Arial" w:eastAsia="Arial" w:hAnsi="Arial"/>
          <w:sz w:val="16"/>
          <w:szCs w:val="16"/>
          <w:b w:val="1"/>
          <w:bCs w:val="1"/>
          <w:color w:val="auto"/>
        </w:rPr>
        <w:t xml:space="preserve">  E: </w:t>
      </w:r>
      <w:r>
        <w:rPr>
          <w:rFonts w:ascii="Arial" w:cs="Arial" w:eastAsia="Arial" w:hAnsi="Arial"/>
          <w:sz w:val="16"/>
          <w:szCs w:val="16"/>
          <w:i w:val="1"/>
          <w:iCs w:val="1"/>
          <w:color w:val="auto"/>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540" w:right="4460" w:hanging="5532"/>
        <w:spacing w:after="0" w:line="328" w:lineRule="auto"/>
        <w:tabs>
          <w:tab w:leader="none" w:pos="149" w:val="left"/>
        </w:tabs>
        <w:numPr>
          <w:ilvl w:val="0"/>
          <w:numId w:val="9"/>
        </w:numPr>
        <w:rPr>
          <w:rFonts w:ascii="Arial" w:cs="Arial" w:eastAsia="Arial" w:hAnsi="Arial"/>
          <w:sz w:val="36"/>
          <w:szCs w:val="36"/>
          <w:color w:val="auto"/>
          <w:vertAlign w:val="superscript"/>
        </w:rPr>
      </w:pPr>
      <w:r>
        <w:rPr>
          <w:rFonts w:ascii="Arial" w:cs="Arial" w:eastAsia="Arial" w:hAnsi="Arial"/>
          <w:sz w:val="22"/>
          <w:szCs w:val="22"/>
          <w:color w:val="auto"/>
        </w:rPr>
        <w:t>Mr. Fearon will retire as an officer of Eaton Corporation on March 21, 2021. 2</w:t>
      </w:r>
    </w:p>
    <w:p>
      <w:pPr>
        <w:sectPr>
          <w:pgSz w:w="11900" w:h="16838" w:orient="portrait"/>
          <w:cols w:equalWidth="0" w:num="1">
            <w:col w:w="11240"/>
          </w:cols>
          <w:pgMar w:left="320" w:top="6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139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t>Director Tenure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160" w:type="dxa"/>
            <w:vAlign w:val="bottom"/>
            <w:tcBorders>
              <w:top w:val="single" w:sz="8" w:color="auto"/>
            </w:tcBorders>
          </w:tcPr>
          <w:p>
            <w:pPr>
              <w:ind w:left="1240"/>
              <w:spacing w:after="0"/>
              <w:rPr>
                <w:sz w:val="20"/>
                <w:szCs w:val="20"/>
                <w:color w:val="auto"/>
              </w:rPr>
            </w:pPr>
            <w:r>
              <w:rPr>
                <w:rFonts w:ascii="Arial" w:cs="Arial" w:eastAsia="Arial" w:hAnsi="Arial"/>
                <w:sz w:val="22"/>
                <w:szCs w:val="22"/>
                <w:b w:val="1"/>
                <w:bCs w:val="1"/>
                <w:color w:val="auto"/>
              </w:rPr>
              <w:t>Less than 6 years</w:t>
            </w:r>
          </w:p>
        </w:tc>
        <w:tc>
          <w:tcPr>
            <w:tcW w:w="3500" w:type="dxa"/>
            <w:vAlign w:val="bottom"/>
            <w:tcBorders>
              <w:top w:val="single" w:sz="8" w:color="auto"/>
            </w:tcBorders>
          </w:tcPr>
          <w:p>
            <w:pPr>
              <w:ind w:left="1320"/>
              <w:spacing w:after="0"/>
              <w:rPr>
                <w:sz w:val="20"/>
                <w:szCs w:val="20"/>
                <w:color w:val="auto"/>
              </w:rPr>
            </w:pPr>
            <w:r>
              <w:rPr>
                <w:rFonts w:ascii="Arial" w:cs="Arial" w:eastAsia="Arial" w:hAnsi="Arial"/>
                <w:sz w:val="22"/>
                <w:szCs w:val="22"/>
                <w:b w:val="1"/>
                <w:bCs w:val="1"/>
                <w:color w:val="auto"/>
              </w:rPr>
              <w:t>6 – 10 years</w:t>
            </w:r>
          </w:p>
        </w:tc>
        <w:tc>
          <w:tcPr>
            <w:tcW w:w="3580" w:type="dxa"/>
            <w:vAlign w:val="bottom"/>
            <w:tcBorders>
              <w:top w:val="single" w:sz="8" w:color="auto"/>
            </w:tcBorders>
          </w:tcPr>
          <w:p>
            <w:pPr>
              <w:ind w:left="1100"/>
              <w:spacing w:after="0"/>
              <w:rPr>
                <w:sz w:val="20"/>
                <w:szCs w:val="20"/>
                <w:color w:val="auto"/>
              </w:rPr>
            </w:pPr>
            <w:r>
              <w:rPr>
                <w:rFonts w:ascii="Arial" w:cs="Arial" w:eastAsia="Arial" w:hAnsi="Arial"/>
                <w:sz w:val="22"/>
                <w:szCs w:val="22"/>
                <w:b w:val="1"/>
                <w:bCs w:val="1"/>
                <w:color w:val="auto"/>
              </w:rPr>
              <w:t>More than 10 years</w:t>
            </w:r>
          </w:p>
        </w:tc>
      </w:tr>
    </w:tbl>
    <w:p>
      <w:pPr>
        <w:spacing w:after="0" w:line="200" w:lineRule="exact"/>
        <w:rPr>
          <w:sz w:val="20"/>
          <w:szCs w:val="20"/>
          <w:color w:val="auto"/>
        </w:rPr>
      </w:pPr>
    </w:p>
    <w:p>
      <w:pPr>
        <w:spacing w:after="0" w:line="369"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Ongoing Board Refreshment –</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six new directors in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877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7769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Independence and Diversity</w:t>
      </w:r>
    </w:p>
    <w:p>
      <w:pPr>
        <w:spacing w:after="0" w:line="260" w:lineRule="exact"/>
        <w:rPr>
          <w:sz w:val="20"/>
          <w:szCs w:val="20"/>
          <w:color w:val="auto"/>
        </w:rPr>
      </w:pPr>
    </w:p>
    <w:p>
      <w:pPr>
        <w:ind w:left="7580"/>
        <w:spacing w:after="0"/>
        <w:rPr>
          <w:sz w:val="20"/>
          <w:szCs w:val="20"/>
          <w:color w:val="auto"/>
        </w:rPr>
      </w:pPr>
      <w:r>
        <w:rPr>
          <w:rFonts w:ascii="Arial" w:cs="Arial" w:eastAsia="Arial" w:hAnsi="Arial"/>
          <w:sz w:val="22"/>
          <w:szCs w:val="22"/>
          <w:b w:val="1"/>
          <w:bCs w:val="1"/>
          <w:color w:val="auto"/>
        </w:rPr>
        <w:t>Board Composition</w:t>
      </w:r>
    </w:p>
    <w:p>
      <w:pPr>
        <w:spacing w:after="0" w:line="327" w:lineRule="exact"/>
        <w:rPr>
          <w:sz w:val="20"/>
          <w:szCs w:val="20"/>
          <w:color w:val="auto"/>
        </w:rPr>
      </w:pPr>
    </w:p>
    <w:p>
      <w:pPr>
        <w:ind w:left="6160"/>
        <w:spacing w:after="0"/>
        <w:tabs>
          <w:tab w:leader="none" w:pos="6500" w:val="left"/>
        </w:tabs>
        <w:rPr>
          <w:sz w:val="20"/>
          <w:szCs w:val="20"/>
          <w:color w:val="auto"/>
        </w:rPr>
      </w:pPr>
      <w:r>
        <w:rPr>
          <w:rFonts w:ascii="Arial" w:cs="Arial" w:eastAsia="Arial" w:hAnsi="Arial"/>
          <w:sz w:val="18"/>
          <w:szCs w:val="18"/>
          <w:color w:val="29650B"/>
        </w:rPr>
        <w:t>·</w:t>
      </w:r>
      <w:r>
        <w:rPr>
          <w:sz w:val="20"/>
          <w:szCs w:val="20"/>
          <w:color w:val="auto"/>
        </w:rPr>
        <w:tab/>
      </w:r>
      <w:r>
        <w:rPr>
          <w:rFonts w:ascii="Arial" w:cs="Arial" w:eastAsia="Arial" w:hAnsi="Arial"/>
          <w:sz w:val="18"/>
          <w:szCs w:val="18"/>
          <w:color w:val="auto"/>
        </w:rPr>
        <w:t>Two female directors</w:t>
      </w:r>
    </w:p>
    <w:p>
      <w:pPr>
        <w:spacing w:after="0" w:line="117" w:lineRule="exact"/>
        <w:rPr>
          <w:sz w:val="20"/>
          <w:szCs w:val="20"/>
          <w:color w:val="auto"/>
        </w:rPr>
      </w:pPr>
    </w:p>
    <w:p>
      <w:pPr>
        <w:ind w:left="6160"/>
        <w:spacing w:after="0"/>
        <w:tabs>
          <w:tab w:leader="none" w:pos="6500" w:val="left"/>
        </w:tabs>
        <w:rPr>
          <w:sz w:val="20"/>
          <w:szCs w:val="20"/>
          <w:color w:val="auto"/>
        </w:rPr>
      </w:pPr>
      <w:r>
        <w:rPr>
          <w:rFonts w:ascii="Arial" w:cs="Arial" w:eastAsia="Arial" w:hAnsi="Arial"/>
          <w:sz w:val="18"/>
          <w:szCs w:val="18"/>
          <w:color w:val="29650B"/>
        </w:rPr>
        <w:t>·</w:t>
      </w:r>
      <w:r>
        <w:rPr>
          <w:sz w:val="20"/>
          <w:szCs w:val="20"/>
          <w:color w:val="auto"/>
        </w:rPr>
        <w:tab/>
      </w:r>
      <w:r>
        <w:rPr>
          <w:rFonts w:ascii="Arial" w:cs="Arial" w:eastAsia="Arial" w:hAnsi="Arial"/>
          <w:sz w:val="18"/>
          <w:szCs w:val="18"/>
          <w:color w:val="auto"/>
        </w:rPr>
        <w:t>One African American director</w:t>
      </w:r>
    </w:p>
    <w:p>
      <w:pPr>
        <w:spacing w:after="0" w:line="117" w:lineRule="exact"/>
        <w:rPr>
          <w:sz w:val="20"/>
          <w:szCs w:val="20"/>
          <w:color w:val="auto"/>
        </w:rPr>
      </w:pPr>
    </w:p>
    <w:p>
      <w:pPr>
        <w:ind w:left="6160"/>
        <w:spacing w:after="0"/>
        <w:tabs>
          <w:tab w:leader="none" w:pos="6500" w:val="left"/>
        </w:tabs>
        <w:rPr>
          <w:sz w:val="20"/>
          <w:szCs w:val="20"/>
          <w:color w:val="auto"/>
        </w:rPr>
      </w:pPr>
      <w:r>
        <w:rPr>
          <w:rFonts w:ascii="Arial" w:cs="Arial" w:eastAsia="Arial" w:hAnsi="Arial"/>
          <w:sz w:val="18"/>
          <w:szCs w:val="18"/>
          <w:color w:val="29650B"/>
        </w:rPr>
        <w:t>·</w:t>
      </w:r>
      <w:r>
        <w:rPr>
          <w:sz w:val="20"/>
          <w:szCs w:val="20"/>
          <w:color w:val="auto"/>
        </w:rPr>
        <w:tab/>
      </w:r>
      <w:r>
        <w:rPr>
          <w:rFonts w:ascii="Arial" w:cs="Arial" w:eastAsia="Arial" w:hAnsi="Arial"/>
          <w:sz w:val="18"/>
          <w:szCs w:val="18"/>
          <w:color w:val="auto"/>
        </w:rPr>
        <w:t>One Asian American director</w:t>
      </w:r>
    </w:p>
    <w:p>
      <w:pPr>
        <w:spacing w:after="0" w:line="117" w:lineRule="exact"/>
        <w:rPr>
          <w:sz w:val="20"/>
          <w:szCs w:val="20"/>
          <w:color w:val="auto"/>
        </w:rPr>
      </w:pPr>
    </w:p>
    <w:p>
      <w:pPr>
        <w:ind w:left="6160"/>
        <w:spacing w:after="0"/>
        <w:tabs>
          <w:tab w:leader="none" w:pos="6500" w:val="left"/>
        </w:tabs>
        <w:rPr>
          <w:sz w:val="20"/>
          <w:szCs w:val="20"/>
          <w:color w:val="auto"/>
        </w:rPr>
      </w:pPr>
      <w:r>
        <w:rPr>
          <w:rFonts w:ascii="Arial" w:cs="Arial" w:eastAsia="Arial" w:hAnsi="Arial"/>
          <w:sz w:val="18"/>
          <w:szCs w:val="18"/>
          <w:color w:val="29650B"/>
        </w:rPr>
        <w:t>·</w:t>
      </w:r>
      <w:r>
        <w:rPr>
          <w:sz w:val="20"/>
          <w:szCs w:val="20"/>
          <w:color w:val="auto"/>
        </w:rPr>
        <w:tab/>
      </w:r>
      <w:r>
        <w:rPr>
          <w:rFonts w:ascii="Arial" w:cs="Arial" w:eastAsia="Arial" w:hAnsi="Arial"/>
          <w:sz w:val="18"/>
          <w:szCs w:val="18"/>
          <w:color w:val="auto"/>
        </w:rPr>
        <w:t>One non-U.S. citizen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thirteen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198120</wp:posOffset>
            </wp:positionV>
            <wp:extent cx="6004560" cy="2618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4560"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85" w:right="339" w:bottom="1440" w:gutter="0" w:footer="0" w:header="0"/>
        </w:sectPr>
      </w:pPr>
    </w:p>
    <w:bookmarkStart w:id="7" w:name="page8"/>
    <w:bookmarkEnd w:id="7"/>
    <w:p>
      <w:pPr>
        <w:spacing w:after="0"/>
        <w:rPr>
          <w:sz w:val="20"/>
          <w:szCs w:val="20"/>
          <w:color w:val="auto"/>
        </w:rPr>
      </w:pPr>
      <w:r>
        <w:rPr>
          <w:rFonts w:ascii="Arial" w:cs="Arial" w:eastAsia="Arial" w:hAnsi="Arial"/>
          <w:sz w:val="29"/>
          <w:szCs w:val="29"/>
          <w:b w:val="1"/>
          <w:bCs w:val="1"/>
          <w:color w:val="29650B"/>
        </w:rPr>
        <w:t>Governance Best Practices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25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4191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91635"/>
                    </a:xfrm>
                    <a:prstGeom prst="rect">
                      <a:avLst/>
                    </a:prstGeom>
                    <a:noFill/>
                  </pic:spPr>
                </pic:pic>
              </a:graphicData>
            </a:graphic>
          </wp:anchor>
        </w:drawing>
      </w:r>
    </w:p>
    <w:p>
      <w:pPr>
        <w:spacing w:after="0" w:line="302" w:lineRule="exact"/>
        <w:rPr>
          <w:sz w:val="20"/>
          <w:szCs w:val="20"/>
          <w:color w:val="auto"/>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Annual election of all Directors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1"/>
          <w:szCs w:val="21"/>
          <w:color w:val="4F6228"/>
        </w:rPr>
      </w:pPr>
      <w:r>
        <w:rPr>
          <w:rFonts w:ascii="Arial" w:cs="Arial" w:eastAsia="Arial" w:hAnsi="Arial"/>
          <w:sz w:val="21"/>
          <w:szCs w:val="21"/>
          <w:color w:val="auto"/>
        </w:rPr>
        <w:t>Resignation policy applicable to Directors who do not receive a majority of votes cast in uncontested elections</w:t>
      </w:r>
    </w:p>
    <w:p>
      <w:pPr>
        <w:spacing w:after="0" w:line="55" w:lineRule="exact"/>
        <w:rPr>
          <w:rFonts w:ascii="Arial" w:cs="Arial" w:eastAsia="Arial" w:hAnsi="Arial"/>
          <w:sz w:val="21"/>
          <w:szCs w:val="21"/>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Mandatory retirement policy for Directors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Proxy access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Active outreach and engagement with Shareholders throughout the year</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Overboarding limits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Robust Board refreshment with six new independent Directors joining the Board in the last five years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12 of 13 Directors independent – all key committees consisting solely of independent Directors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Independent Lead Director with broad authority</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Executive sessions of independent Directors held regularly</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Annual review of Committee charters and Corporate Governance Guidelines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Robust stock ownership guidelines for Directors and Named Executive Officers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Prohibition on all pledging and hedging of the Company’s stock by Directors, Officers and other insiders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Annual advisory vote on executive compensation</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Code of Business Conduct and Ethics that applies to Directors and employees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No supermajority voting requirement to amend By-Laws</w:t>
      </w:r>
    </w:p>
    <w:p>
      <w:pPr>
        <w:spacing w:after="0" w:line="44"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No poison pill</w:t>
      </w:r>
    </w:p>
    <w:p>
      <w:pPr>
        <w:spacing w:after="0" w:line="44" w:lineRule="exact"/>
        <w:rPr>
          <w:rFonts w:ascii="Arial" w:cs="Arial" w:eastAsia="Arial" w:hAnsi="Arial"/>
          <w:sz w:val="22"/>
          <w:szCs w:val="22"/>
          <w:color w:val="4F6228"/>
        </w:rPr>
      </w:pPr>
    </w:p>
    <w:p>
      <w:pPr>
        <w:ind w:left="660" w:right="1000" w:hanging="250"/>
        <w:spacing w:after="0" w:line="250" w:lineRule="auto"/>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Oversight of sustainability/environmental, social and governance (“ESG”) matters assigned to Nominating and Corporate Governance Committee</w:t>
      </w:r>
    </w:p>
    <w:p>
      <w:pPr>
        <w:spacing w:after="0" w:line="12" w:lineRule="exact"/>
        <w:rPr>
          <w:rFonts w:ascii="Arial" w:cs="Arial" w:eastAsia="Arial" w:hAnsi="Arial"/>
          <w:sz w:val="22"/>
          <w:szCs w:val="22"/>
          <w:color w:val="4F6228"/>
        </w:rPr>
      </w:pPr>
    </w:p>
    <w:p>
      <w:pPr>
        <w:ind w:left="660" w:right="800" w:hanging="250"/>
        <w:spacing w:after="0" w:line="250" w:lineRule="auto"/>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Integration of Diversity and Inclusion in the Company’s Sustainability program, overseen by the Nominating and Corporate Governance Committee</w:t>
      </w:r>
    </w:p>
    <w:p>
      <w:pPr>
        <w:spacing w:after="0" w:line="12" w:lineRule="exact"/>
        <w:rPr>
          <w:rFonts w:ascii="Arial" w:cs="Arial" w:eastAsia="Arial" w:hAnsi="Arial"/>
          <w:sz w:val="22"/>
          <w:szCs w:val="22"/>
          <w:color w:val="4F6228"/>
        </w:rPr>
      </w:pPr>
    </w:p>
    <w:p>
      <w:pPr>
        <w:ind w:left="660" w:hanging="250"/>
        <w:spacing w:after="0"/>
        <w:tabs>
          <w:tab w:leader="none" w:pos="660" w:val="left"/>
        </w:tabs>
        <w:numPr>
          <w:ilvl w:val="0"/>
          <w:numId w:val="10"/>
        </w:numPr>
        <w:rPr>
          <w:rFonts w:ascii="Arial" w:cs="Arial" w:eastAsia="Arial" w:hAnsi="Arial"/>
          <w:sz w:val="22"/>
          <w:szCs w:val="22"/>
          <w:color w:val="4F6228"/>
        </w:rPr>
      </w:pPr>
      <w:r>
        <w:rPr>
          <w:rFonts w:ascii="Arial" w:cs="Arial" w:eastAsia="Arial" w:hAnsi="Arial"/>
          <w:sz w:val="22"/>
          <w:szCs w:val="22"/>
          <w:color w:val="auto"/>
        </w:rPr>
        <w:t>Board oversight of cybersecurity</w:t>
      </w:r>
    </w:p>
    <w:p>
      <w:pPr>
        <w:spacing w:after="0" w:line="276"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Shareholder Engagement</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has developed a multi-platform Shareholder engagement program that results in active dialogue with both current and prospective Shareholders all over the world. Major elements of the program include individual or group investor meetings, scheduled teleconferences, participation in sponsored institutional investor conferences and investor visits to Company manufacturing or administrative facilities. Subjects of discussion at these events include long-term strategy, financial information, recent and pending acquisitions and divestitures, major trends and issues affecting the Company’s businesses, industry dynamics, executive compensation, sustainability and corporate governance, among other matters. In addition, since the November 2019 announcement of our ongoing Board-led review of our portfolio and capital allocation/return and our continuing Board refreshment process, our Shareholder engagement has included the receipt of Shareholder perspectives on our businesses and capital allocation as well as our Board composition. During last year’s engagement cycle we estimate that we had personal contact with investors owning well over 50% of the Company’s outstanding shares.</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74" w:right="33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29650B"/>
        </w:rPr>
        <w:t>Sustainability – Environmental and Social Responsibility</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Sustainability is integral to the Company’s business strategy. The Company’s Nominating and Corporate Governance Committee has oversight of the Company’s sustainability efforts pursuant to its Committee charter. We manage our business with ESG as an important operational consideration and with a relentless focus on safety, innovation and efficiency – both in our manufacturing processes and our use of resources. That discipline has enabled us to reduce our overall energy consumption and greenhouse gas emissions, even as demand for our metal packaging products has continued to increase and we have grown our global footprint to support our regional and international customers. In 2020, we expanded our conservation efforts to water usage. Our focus on sustainability is aided by the strong recyclability credentials of aluminum and steel, our primary raw materials for metal packaging that can be infinitely recycled with no loss of physical properties. These natural elements maintain their properties forever, making metal a key contributor to the circular economy. This constant reuse into new containers or other metal products saves raw materials and energy and reduces CO</w:t>
      </w:r>
      <w:r>
        <w:rPr>
          <w:rFonts w:ascii="Arial" w:cs="Arial" w:eastAsia="Arial" w:hAnsi="Arial"/>
          <w:sz w:val="32"/>
          <w:szCs w:val="32"/>
          <w:color w:val="auto"/>
          <w:vertAlign w:val="subscript"/>
        </w:rPr>
        <w:t>2</w:t>
      </w:r>
      <w:r>
        <w:rPr>
          <w:rFonts w:ascii="Arial" w:cs="Arial" w:eastAsia="Arial" w:hAnsi="Arial"/>
          <w:sz w:val="20"/>
          <w:szCs w:val="20"/>
          <w:color w:val="auto"/>
        </w:rPr>
        <w:t xml:space="preserve"> emissions. Most of the products made by our Transit Packaging Division use a high-degree of recycled content and many use 100% recycled content. In fact, our plastic strapping business unit recycles millions of pounds of PET bottles to make strapping.</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The Company issued its most recent biennial Sustainability Report in February 2020. The report uses the Global Reporting Initiative’s G4 guidelines and is available in full at </w:t>
      </w:r>
      <w:r>
        <w:rPr>
          <w:rFonts w:ascii="Arial" w:cs="Arial" w:eastAsia="Arial" w:hAnsi="Arial"/>
          <w:sz w:val="19"/>
          <w:szCs w:val="19"/>
          <w:b w:val="1"/>
          <w:bCs w:val="1"/>
          <w:u w:val="single" w:color="auto"/>
          <w:color w:val="29650B"/>
        </w:rPr>
        <w:t>sustainability.crowncork.com</w:t>
      </w:r>
      <w:r>
        <w:rPr>
          <w:rFonts w:ascii="Arial" w:cs="Arial" w:eastAsia="Arial" w:hAnsi="Arial"/>
          <w:sz w:val="19"/>
          <w:szCs w:val="19"/>
          <w:color w:val="auto"/>
        </w:rPr>
        <w:t>. The Company’s next Sustainability Report will be a supplement report published in the Spring of 2021 to close out our 2020 goals and transition to our Twentyby30 program.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Some highlights from our recent sustainability results are as follows:</w:t>
      </w:r>
      <w:r>
        <w:rPr>
          <w:rFonts w:ascii="Arial" w:cs="Arial" w:eastAsia="Arial" w:hAnsi="Arial"/>
          <w:sz w:val="35"/>
          <w:szCs w:val="35"/>
          <w:color w:val="auto"/>
          <w:vertAlign w:val="superscript"/>
        </w:rPr>
        <w:t>1</w:t>
      </w:r>
    </w:p>
    <w:p>
      <w:pPr>
        <w:spacing w:after="0" w:line="103" w:lineRule="exact"/>
        <w:rPr>
          <w:sz w:val="20"/>
          <w:szCs w:val="20"/>
          <w:color w:val="auto"/>
        </w:rPr>
      </w:pPr>
    </w:p>
    <w:p>
      <w:pPr>
        <w:jc w:val="both"/>
        <w:ind w:left="1300" w:hanging="644"/>
        <w:spacing w:after="0" w:line="252" w:lineRule="auto"/>
        <w:tabs>
          <w:tab w:leader="none" w:pos="13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We participate in the climate change program of CDP (formerly known as the Carbon Disclosure Project) to further increase transparency with customers and other important stakeholders. Our last three annual submissions have received high rankings, placing us in the “Leadership” and “Management” tiers. Crown consistently scores as one of the highest companies in the packaging sector.</w:t>
      </w:r>
    </w:p>
    <w:p>
      <w:pPr>
        <w:spacing w:after="0" w:line="173" w:lineRule="exact"/>
        <w:rPr>
          <w:rFonts w:ascii="Arial" w:cs="Arial" w:eastAsia="Arial" w:hAnsi="Arial"/>
          <w:sz w:val="21"/>
          <w:szCs w:val="21"/>
          <w:color w:val="auto"/>
        </w:rPr>
      </w:pPr>
    </w:p>
    <w:p>
      <w:pPr>
        <w:jc w:val="both"/>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For 2020 Crown achieved a top score for CDP Supplier Engagement, scoring in the top 7% of all 8,033 companies reporting to CDP. The supplier engagement score provides a rating for how effectively companies engage their suppliers on climate change.</w:t>
      </w:r>
    </w:p>
    <w:p>
      <w:pPr>
        <w:spacing w:after="0" w:line="186"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expects to report under the SASB methodology in its next Sustainability Report, which will be published in the Spring of 2021.</w:t>
      </w:r>
    </w:p>
    <w:p>
      <w:pPr>
        <w:spacing w:after="0" w:line="201"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established a goal to reduce energy consumption by 5% per billion standard units of production (our unit of measure for metal packaging defined in the report) from 2015 levels by the end of 2020. As of December 31, 2019, we exceeded this goal, reducing energy consumption by 5.1% per billion standard units for metal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220" w:firstLine="8"/>
        <w:spacing w:after="0" w:line="212" w:lineRule="auto"/>
        <w:tabs>
          <w:tab w:leader="none" w:pos="144" w:val="left"/>
        </w:tabs>
        <w:numPr>
          <w:ilvl w:val="0"/>
          <w:numId w:val="12"/>
        </w:numPr>
        <w:rPr>
          <w:rFonts w:ascii="Arial" w:cs="Arial" w:eastAsia="Arial" w:hAnsi="Arial"/>
          <w:sz w:val="36"/>
          <w:szCs w:val="36"/>
          <w:color w:val="auto"/>
          <w:vertAlign w:val="superscript"/>
        </w:rPr>
      </w:pPr>
      <w:r>
        <w:rPr>
          <w:rFonts w:ascii="Arial" w:cs="Arial" w:eastAsia="Arial" w:hAnsi="Arial"/>
          <w:sz w:val="22"/>
          <w:szCs w:val="22"/>
          <w:color w:val="auto"/>
        </w:rPr>
        <w:t>We continue actively working to integrate our new Transit Packaging Division, which has a much more diverse set of product offerings and manufacturing formats than our metal packaging business, into our sustainability measurement methodology. The data above do not include Transit Packaging. Nevertheless, we note that a large percentage of the products sold by the Transit Packaging Division are made from recycled materials and that the Transit Packaging Division recycles millions of pounds of material to manufacture its products. We expect that our Transit Packaging Division will be integrated into all future Sustainability Reports.</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458" w:right="339" w:bottom="1440" w:gutter="0" w:footer="0" w:header="0"/>
        </w:sectPr>
      </w:pPr>
    </w:p>
    <w:bookmarkStart w:id="9" w:name="page10"/>
    <w:bookmarkEnd w:id="9"/>
    <w:p>
      <w:pPr>
        <w:jc w:val="both"/>
        <w:ind w:left="1300" w:hanging="644"/>
        <w:spacing w:after="0" w:line="238"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We established a goal to reduce Scope 1 and Scope 2 greenhouse gas emissions by 10% per billion standard units of production from 2015 levels by the end of 2020. As of December 31, 2019, we exceeded this goal, with greenhouse gas emissions reduced by 10.8% per billion standard units. Absolute emissions have decreased by 1.1% even as production has increased by 13.9%.</w:t>
      </w:r>
    </w:p>
    <w:p>
      <w:pPr>
        <w:spacing w:after="0" w:line="184" w:lineRule="exact"/>
        <w:rPr>
          <w:rFonts w:ascii="Arial" w:cs="Arial" w:eastAsia="Arial" w:hAnsi="Arial"/>
          <w:sz w:val="22"/>
          <w:szCs w:val="22"/>
          <w:color w:val="auto"/>
        </w:rPr>
      </w:pPr>
    </w:p>
    <w:p>
      <w:pPr>
        <w:ind w:left="1300" w:hanging="644"/>
        <w:spacing w:after="0" w:line="328" w:lineRule="auto"/>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During the reporting period, the Company won numerous awards in multiple U.S. states and in all three of our global geographic divisions in areas such as safety, recycling, pollution prevention and green manufacturing.</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taken many additional steps in our sustainability efforts, including the following:</w:t>
      </w:r>
    </w:p>
    <w:p>
      <w:pPr>
        <w:spacing w:after="0" w:line="233" w:lineRule="exact"/>
        <w:rPr>
          <w:sz w:val="20"/>
          <w:szCs w:val="20"/>
          <w:color w:val="auto"/>
        </w:rPr>
      </w:pPr>
    </w:p>
    <w:p>
      <w:pPr>
        <w:jc w:val="both"/>
        <w:ind w:left="1300" w:hanging="644"/>
        <w:spacing w:after="0" w:line="297" w:lineRule="auto"/>
        <w:tabs>
          <w:tab w:leader="none" w:pos="13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We signed one of the largest non-investment grade “sustainability-linked loans” in history. The interest rate on the Company’s revolving credit facility will increase or decrease, in part, based on the annual environmental, social and governance scores received by the Company from one of the major third-party sustainability ratings agencies.</w:t>
      </w:r>
    </w:p>
    <w:p>
      <w:pPr>
        <w:spacing w:after="0" w:line="160" w:lineRule="exact"/>
        <w:rPr>
          <w:rFonts w:ascii="Arial" w:cs="Arial" w:eastAsia="Arial" w:hAnsi="Arial"/>
          <w:sz w:val="19"/>
          <w:szCs w:val="19"/>
          <w:color w:val="auto"/>
        </w:rPr>
      </w:pPr>
    </w:p>
    <w:p>
      <w:pPr>
        <w:ind w:left="1300" w:right="20" w:hanging="644"/>
        <w:spacing w:after="0" w:line="274"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We announced plans to reduce water usage in our global operations by 20% from 2019 levels by the end of 2025. These efforts will decrease the Company’s water usage by over 500 million gallons annually.</w:t>
      </w:r>
    </w:p>
    <w:p>
      <w:pPr>
        <w:spacing w:after="0" w:line="177" w:lineRule="exact"/>
        <w:rPr>
          <w:rFonts w:ascii="Arial" w:cs="Arial" w:eastAsia="Arial" w:hAnsi="Arial"/>
          <w:sz w:val="21"/>
          <w:szCs w:val="21"/>
          <w:color w:val="auto"/>
        </w:rPr>
      </w:pPr>
    </w:p>
    <w:p>
      <w:pPr>
        <w:ind w:left="1300" w:hanging="644"/>
        <w:spacing w:after="0" w:line="250"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joined RE100, pledging a total transition to 100% renewable electricity by 2050, with interim targets of 60% by 2030, and 90% by 2040.</w:t>
      </w:r>
    </w:p>
    <w:p>
      <w:pPr>
        <w:spacing w:after="0" w:line="201" w:lineRule="exact"/>
        <w:rPr>
          <w:rFonts w:ascii="Arial" w:cs="Arial" w:eastAsia="Arial" w:hAnsi="Arial"/>
          <w:sz w:val="22"/>
          <w:szCs w:val="22"/>
          <w:color w:val="auto"/>
        </w:rPr>
      </w:pPr>
    </w:p>
    <w:p>
      <w:pPr>
        <w:jc w:val="both"/>
        <w:ind w:left="1300" w:hanging="644"/>
        <w:spacing w:after="0" w:line="236"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committed to the Science-Based Targets initiative (“SBTi”), which requires the Company to set specific goals for reducing GHG emissions. These targets, which have been accepted by the SBTi, align with global temperature increase limits of 1.5° C set by the Paris Agreement of 2015. The Company established a Scope 1 and 2 emissions reduction goal of 50% by 2030. Additionally, the Company established a Scope 3 goal of 16% emissions reduction by 2030.</w:t>
      </w:r>
    </w:p>
    <w:p>
      <w:pPr>
        <w:spacing w:after="0" w:line="208"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In July 2020, the Company introduced its next phase of Sustainability with the launch of its </w:t>
      </w:r>
      <w:r>
        <w:rPr>
          <w:rFonts w:ascii="Arial" w:cs="Arial" w:eastAsia="Arial" w:hAnsi="Arial"/>
          <w:sz w:val="21"/>
          <w:szCs w:val="21"/>
          <w:b w:val="1"/>
          <w:bCs w:val="1"/>
          <w:color w:val="auto"/>
        </w:rPr>
        <w:t>Twentyby30</w:t>
      </w:r>
      <w:r>
        <w:rPr>
          <w:rFonts w:ascii="Arial" w:cs="Arial" w:eastAsia="Arial" w:hAnsi="Arial"/>
          <w:sz w:val="21"/>
          <w:szCs w:val="21"/>
          <w:color w:val="auto"/>
        </w:rPr>
        <w:t xml:space="preserve"> program. This ambitious and aggressive program commits to twenty measurable goals to be achieved by 2030 or sooner and is available at </w:t>
      </w:r>
      <w:r>
        <w:rPr>
          <w:rFonts w:ascii="Arial" w:cs="Arial" w:eastAsia="Arial" w:hAnsi="Arial"/>
          <w:sz w:val="21"/>
          <w:szCs w:val="21"/>
          <w:b w:val="1"/>
          <w:bCs w:val="1"/>
          <w:u w:val="single" w:color="auto"/>
          <w:color w:val="29650B"/>
        </w:rPr>
        <w:t>www.crowncork.com/sustainability/twentyby30-overview</w:t>
      </w:r>
      <w:r>
        <w:rPr>
          <w:rFonts w:ascii="Arial" w:cs="Arial" w:eastAsia="Arial" w:hAnsi="Arial"/>
          <w:sz w:val="21"/>
          <w:szCs w:val="21"/>
          <w:color w:val="auto"/>
        </w:rPr>
        <w:t>.</w:t>
      </w:r>
    </w:p>
    <w:p>
      <w:pPr>
        <w:spacing w:after="0" w:line="187" w:lineRule="exact"/>
        <w:rPr>
          <w:rFonts w:ascii="Arial" w:cs="Arial" w:eastAsia="Arial" w:hAnsi="Arial"/>
          <w:sz w:val="21"/>
          <w:szCs w:val="21"/>
          <w:color w:val="auto"/>
        </w:rPr>
      </w:pPr>
    </w:p>
    <w:p>
      <w:pPr>
        <w:ind w:left="1300" w:hanging="644"/>
        <w:spacing w:after="0" w:line="280"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We launched our new Supplier Code of Conduct, available at </w:t>
      </w:r>
      <w:r>
        <w:rPr>
          <w:rFonts w:ascii="Arial" w:cs="Arial" w:eastAsia="Arial" w:hAnsi="Arial"/>
          <w:sz w:val="21"/>
          <w:szCs w:val="21"/>
          <w:b w:val="1"/>
          <w:bCs w:val="1"/>
          <w:u w:val="single" w:color="auto"/>
          <w:color w:val="29650B"/>
        </w:rPr>
        <w:t>www.crowncork.com/investors/corporate-governance/supplier-code-conduct</w:t>
      </w:r>
      <w:r>
        <w:rPr>
          <w:rFonts w:ascii="Arial" w:cs="Arial" w:eastAsia="Arial" w:hAnsi="Arial"/>
          <w:sz w:val="21"/>
          <w:szCs w:val="21"/>
          <w:color w:val="000000"/>
        </w:rPr>
        <w:t>, to align supplier conduct with the Company’s core values.</w:t>
      </w:r>
    </w:p>
    <w:p>
      <w:pPr>
        <w:spacing w:after="0" w:line="171" w:lineRule="exact"/>
        <w:rPr>
          <w:rFonts w:ascii="Arial" w:cs="Arial" w:eastAsia="Arial" w:hAnsi="Arial"/>
          <w:sz w:val="21"/>
          <w:szCs w:val="21"/>
          <w:color w:val="auto"/>
        </w:rPr>
      </w:pPr>
    </w:p>
    <w:p>
      <w:pPr>
        <w:jc w:val="both"/>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In the past year, we have issued public policy statements on Environmental Sustainability, Human Rights, Responsible and Ethical Sourcing, Tax Strategy and Conflict Minerals, all of which are available at </w:t>
      </w:r>
      <w:r>
        <w:rPr>
          <w:rFonts w:ascii="Arial" w:cs="Arial" w:eastAsia="Arial" w:hAnsi="Arial"/>
          <w:sz w:val="22"/>
          <w:szCs w:val="22"/>
          <w:b w:val="1"/>
          <w:bCs w:val="1"/>
          <w:u w:val="single" w:color="auto"/>
          <w:color w:val="29650B"/>
        </w:rPr>
        <w:t>www.crowncork.com</w:t>
      </w:r>
      <w:r>
        <w:rPr>
          <w:rFonts w:ascii="Arial" w:cs="Arial" w:eastAsia="Arial" w:hAnsi="Arial"/>
          <w:sz w:val="22"/>
          <w:szCs w:val="22"/>
          <w:color w:val="000000"/>
        </w:rPr>
        <w:t>.</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55" w:right="339" w:bottom="1440" w:gutter="0" w:footer="0" w:header="0"/>
        </w:sectPr>
      </w:pPr>
    </w:p>
    <w:bookmarkStart w:id="10" w:name="page11"/>
    <w:bookmarkEnd w:id="10"/>
    <w:p>
      <w:pPr>
        <w:spacing w:after="0"/>
        <w:rPr>
          <w:sz w:val="20"/>
          <w:szCs w:val="20"/>
          <w:color w:val="auto"/>
        </w:rPr>
      </w:pPr>
      <w:r>
        <w:rPr>
          <w:rFonts w:ascii="Arial" w:cs="Arial" w:eastAsia="Arial" w:hAnsi="Arial"/>
          <w:sz w:val="29"/>
          <w:szCs w:val="29"/>
          <w:b w:val="1"/>
          <w:bCs w:val="1"/>
          <w:color w:val="29650B"/>
        </w:rPr>
        <w:t>Proposal 2 – Ratification of Appointment of Independent Auditors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matter of good corporate governance, we are asking you to ratify the selection by the Audit Committee of PricewaterhouseCoopers LLP (“PwC”) as our independent auditors for 2021. The following table summarizes the fees PwC billed to the Company for 2020.</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1500" w:type="dxa"/>
            <w:vAlign w:val="bottom"/>
            <w:tcBorders>
              <w:top w:val="single" w:sz="8" w:color="auto"/>
              <w:left w:val="single" w:sz="8" w:color="auto"/>
              <w:bottom w:val="single" w:sz="8" w:color="29650B"/>
              <w:right w:val="single" w:sz="8" w:color="auto"/>
            </w:tcBorders>
            <w:shd w:val="clear" w:color="auto" w:fill="29650B"/>
          </w:tcPr>
          <w:p>
            <w:pPr>
              <w:jc w:val="right"/>
              <w:ind w:right="250"/>
              <w:spacing w:after="0"/>
              <w:rPr>
                <w:sz w:val="20"/>
                <w:szCs w:val="20"/>
                <w:color w:val="auto"/>
              </w:rPr>
            </w:pPr>
            <w:r>
              <w:rPr>
                <w:rFonts w:ascii="Arial" w:cs="Arial" w:eastAsia="Arial" w:hAnsi="Arial"/>
                <w:sz w:val="18"/>
                <w:szCs w:val="18"/>
                <w:b w:val="1"/>
                <w:bCs w:val="1"/>
                <w:color w:val="FFFFFF"/>
              </w:rPr>
              <w:t>Audit Fees</w:t>
            </w:r>
          </w:p>
        </w:tc>
        <w:tc>
          <w:tcPr>
            <w:tcW w:w="2260" w:type="dxa"/>
            <w:vAlign w:val="bottom"/>
            <w:tcBorders>
              <w:top w:val="single" w:sz="8" w:color="auto"/>
              <w:bottom w:val="single" w:sz="8" w:color="29650B"/>
              <w:right w:val="single" w:sz="8" w:color="auto"/>
            </w:tcBorders>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Audit-Related Fees</w:t>
            </w:r>
          </w:p>
        </w:tc>
        <w:tc>
          <w:tcPr>
            <w:tcW w:w="2460" w:type="dxa"/>
            <w:vAlign w:val="bottom"/>
            <w:tcBorders>
              <w:top w:val="single" w:sz="8" w:color="auto"/>
              <w:bottom w:val="single" w:sz="8" w:color="29650B"/>
              <w:right w:val="single" w:sz="8" w:color="auto"/>
            </w:tcBorders>
            <w:shd w:val="clear" w:color="auto" w:fill="29650B"/>
          </w:tcPr>
          <w:p>
            <w:pPr>
              <w:jc w:val="right"/>
              <w:ind w:right="350"/>
              <w:spacing w:after="0"/>
              <w:rPr>
                <w:sz w:val="20"/>
                <w:szCs w:val="20"/>
                <w:color w:val="auto"/>
              </w:rPr>
            </w:pPr>
            <w:r>
              <w:rPr>
                <w:rFonts w:ascii="Arial" w:cs="Arial" w:eastAsia="Arial" w:hAnsi="Arial"/>
                <w:sz w:val="18"/>
                <w:szCs w:val="18"/>
                <w:b w:val="1"/>
                <w:bCs w:val="1"/>
                <w:color w:val="FFFFFF"/>
              </w:rPr>
              <w:t>Tax Compliance Fees</w:t>
            </w:r>
          </w:p>
        </w:tc>
        <w:tc>
          <w:tcPr>
            <w:tcW w:w="3360" w:type="dxa"/>
            <w:vAlign w:val="bottom"/>
            <w:tcBorders>
              <w:top w:val="single" w:sz="8" w:color="auto"/>
              <w:bottom w:val="single" w:sz="8" w:color="29650B"/>
              <w:right w:val="single" w:sz="8" w:color="auto"/>
            </w:tcBorders>
            <w:shd w:val="clear" w:color="auto" w:fill="29650B"/>
          </w:tcPr>
          <w:p>
            <w:pPr>
              <w:jc w:val="right"/>
              <w:ind w:right="570"/>
              <w:spacing w:after="0"/>
              <w:rPr>
                <w:sz w:val="20"/>
                <w:szCs w:val="20"/>
                <w:color w:val="auto"/>
              </w:rPr>
            </w:pPr>
            <w:r>
              <w:rPr>
                <w:rFonts w:ascii="Arial" w:cs="Arial" w:eastAsia="Arial" w:hAnsi="Arial"/>
                <w:sz w:val="18"/>
                <w:szCs w:val="18"/>
                <w:b w:val="1"/>
                <w:bCs w:val="1"/>
                <w:color w:val="FFFFFF"/>
              </w:rPr>
              <w:t>Tax Advisory Services Fees</w:t>
            </w:r>
          </w:p>
        </w:tc>
        <w:tc>
          <w:tcPr>
            <w:tcW w:w="1660" w:type="dxa"/>
            <w:vAlign w:val="bottom"/>
            <w:tcBorders>
              <w:top w:val="single" w:sz="8" w:color="auto"/>
              <w:bottom w:val="single" w:sz="8" w:color="29650B"/>
              <w:right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All Other Fees</w:t>
            </w:r>
          </w:p>
        </w:tc>
      </w:tr>
      <w:tr>
        <w:trPr>
          <w:trHeight w:val="209"/>
        </w:trPr>
        <w:tc>
          <w:tcPr>
            <w:tcW w:w="1500" w:type="dxa"/>
            <w:vAlign w:val="bottom"/>
            <w:tcBorders>
              <w:top w:val="single" w:sz="8" w:color="auto"/>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$9,408,000</w:t>
            </w:r>
          </w:p>
        </w:tc>
        <w:tc>
          <w:tcPr>
            <w:tcW w:w="226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$6,315,000</w:t>
            </w:r>
          </w:p>
        </w:tc>
        <w:tc>
          <w:tcPr>
            <w:tcW w:w="2460" w:type="dxa"/>
            <w:vAlign w:val="bottom"/>
            <w:tcBorders>
              <w:top w:val="single" w:sz="8" w:color="auto"/>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$320,000</w:t>
            </w:r>
          </w:p>
        </w:tc>
        <w:tc>
          <w:tcPr>
            <w:tcW w:w="3360" w:type="dxa"/>
            <w:vAlign w:val="bottom"/>
            <w:tcBorders>
              <w:top w:val="single" w:sz="8" w:color="auto"/>
              <w:bottom w:val="single" w:sz="8" w:color="auto"/>
              <w:right w:val="single" w:sz="8" w:color="auto"/>
            </w:tcBorders>
          </w:tcPr>
          <w:p>
            <w:pPr>
              <w:jc w:val="right"/>
              <w:ind w:right="1270"/>
              <w:spacing w:after="0"/>
              <w:rPr>
                <w:sz w:val="20"/>
                <w:szCs w:val="20"/>
                <w:color w:val="auto"/>
              </w:rPr>
            </w:pPr>
            <w:r>
              <w:rPr>
                <w:rFonts w:ascii="Arial" w:cs="Arial" w:eastAsia="Arial" w:hAnsi="Arial"/>
                <w:sz w:val="18"/>
                <w:szCs w:val="18"/>
                <w:color w:val="auto"/>
              </w:rPr>
              <w:t>$1,148,000</w:t>
            </w:r>
          </w:p>
        </w:tc>
        <w:tc>
          <w:tcPr>
            <w:tcW w:w="166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$21,000</w:t>
            </w:r>
          </w:p>
        </w:tc>
      </w:tr>
    </w:tbl>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Additional information in the section titled “Principal Accountant Fees and Services” and the Audit Committee Report may be found on pages 61 and 62.</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29650B"/>
        </w:rPr>
        <w:t>Proposal 3 – Advisory Vote to Approve Executive Compensation</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At the 2020 Annual Meeting, the say-on-pay resolution with respect to Named Executive Officer (“NEO”) compensation received a favorable vote of over 96%. Accordingly, the general approach to the compensation of our NEOs, including the Chief Executive Officer (“CEO”), remained largely unchanged. See Compensation and Discussion Analysis (“CD&amp;A”) that begins on page 31. Below is a summary of the CEO’s compensation for 2018, 2019 and 2020. Compensation of Mr. Donahue and the other NEOs is more fully described in the Summary Compensation Table on page 49.</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4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5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auto"/>
            </w:tcBorders>
            <w:shd w:val="clear" w:color="auto" w:fill="29650B"/>
          </w:tcPr>
          <w:p>
            <w:pPr>
              <w:spacing w:after="0"/>
              <w:rPr>
                <w:sz w:val="18"/>
                <w:szCs w:val="18"/>
                <w:color w:val="auto"/>
              </w:rPr>
            </w:pPr>
          </w:p>
        </w:tc>
        <w:tc>
          <w:tcPr>
            <w:tcW w:w="1920" w:type="dxa"/>
            <w:vAlign w:val="bottom"/>
            <w:tcBorders>
              <w:top w:val="single" w:sz="8" w:color="auto"/>
              <w:right w:val="single" w:sz="8" w:color="auto"/>
            </w:tcBorders>
            <w:shd w:val="clear" w:color="auto" w:fill="29650B"/>
          </w:tcPr>
          <w:p>
            <w:pPr>
              <w:spacing w:after="0"/>
              <w:rPr>
                <w:sz w:val="18"/>
                <w:szCs w:val="18"/>
                <w:color w:val="auto"/>
              </w:rPr>
            </w:pPr>
          </w:p>
        </w:tc>
        <w:tc>
          <w:tcPr>
            <w:tcW w:w="1320" w:type="dxa"/>
            <w:vAlign w:val="bottom"/>
            <w:tcBorders>
              <w:top w:val="single" w:sz="8" w:color="auto"/>
              <w:right w:val="single" w:sz="8" w:color="auto"/>
            </w:tcBorders>
            <w:shd w:val="clear" w:color="auto" w:fill="29650B"/>
          </w:tcPr>
          <w:p>
            <w:pPr>
              <w:spacing w:after="0"/>
              <w:rPr>
                <w:sz w:val="18"/>
                <w:szCs w:val="18"/>
                <w:color w:val="auto"/>
              </w:rPr>
            </w:pPr>
          </w:p>
        </w:tc>
        <w:tc>
          <w:tcPr>
            <w:tcW w:w="1040" w:type="dxa"/>
            <w:vAlign w:val="bottom"/>
            <w:tcBorders>
              <w:top w:val="single" w:sz="8" w:color="auto"/>
              <w:right w:val="single" w:sz="8" w:color="auto"/>
            </w:tcBorders>
            <w:shd w:val="clear" w:color="auto" w:fill="29650B"/>
          </w:tcPr>
          <w:p>
            <w:pPr>
              <w:spacing w:after="0"/>
              <w:rPr>
                <w:sz w:val="18"/>
                <w:szCs w:val="18"/>
                <w:color w:val="auto"/>
              </w:rPr>
            </w:pPr>
          </w:p>
        </w:tc>
        <w:tc>
          <w:tcPr>
            <w:tcW w:w="13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spacing w:after="0"/>
              <w:rPr>
                <w:sz w:val="18"/>
                <w:szCs w:val="18"/>
                <w:color w:val="auto"/>
              </w:rPr>
            </w:pPr>
          </w:p>
        </w:tc>
        <w:tc>
          <w:tcPr>
            <w:tcW w:w="1320" w:type="dxa"/>
            <w:vAlign w:val="bottom"/>
            <w:tcBorders>
              <w:right w:val="single" w:sz="8" w:color="auto"/>
            </w:tcBorders>
            <w:shd w:val="clear" w:color="auto" w:fill="29650B"/>
          </w:tcPr>
          <w:p>
            <w:pPr>
              <w:spacing w:after="0"/>
              <w:rPr>
                <w:sz w:val="18"/>
                <w:szCs w:val="18"/>
                <w:color w:val="auto"/>
              </w:rPr>
            </w:pPr>
          </w:p>
        </w:tc>
        <w:tc>
          <w:tcPr>
            <w:tcW w:w="10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Grant Date Projected</w:t>
            </w:r>
          </w:p>
        </w:tc>
        <w:tc>
          <w:tcPr>
            <w:tcW w:w="1320" w:type="dxa"/>
            <w:vAlign w:val="bottom"/>
            <w:tcBorders>
              <w:right w:val="single" w:sz="8" w:color="auto"/>
            </w:tcBorders>
            <w:shd w:val="clear" w:color="auto" w:fill="29650B"/>
          </w:tcPr>
          <w:p>
            <w:pPr>
              <w:spacing w:after="0"/>
              <w:rPr>
                <w:sz w:val="18"/>
                <w:szCs w:val="18"/>
                <w:color w:val="auto"/>
              </w:rPr>
            </w:pPr>
          </w:p>
        </w:tc>
        <w:tc>
          <w:tcPr>
            <w:tcW w:w="10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3"/>
              </w:rPr>
              <w:t>Net of Certain</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spacing w:after="0"/>
              <w:rPr>
                <w:sz w:val="18"/>
                <w:szCs w:val="18"/>
                <w:color w:val="auto"/>
              </w:rPr>
            </w:pP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Value of Unvested</w:t>
            </w:r>
          </w:p>
        </w:tc>
        <w:tc>
          <w:tcPr>
            <w:tcW w:w="1320" w:type="dxa"/>
            <w:vAlign w:val="bottom"/>
            <w:tcBorders>
              <w:right w:val="single" w:sz="8" w:color="auto"/>
            </w:tcBorders>
            <w:shd w:val="clear" w:color="auto" w:fill="29650B"/>
          </w:tcPr>
          <w:p>
            <w:pPr>
              <w:jc w:val="right"/>
              <w:ind w:right="130"/>
              <w:spacing w:after="0"/>
              <w:rPr>
                <w:sz w:val="20"/>
                <w:szCs w:val="20"/>
                <w:color w:val="auto"/>
              </w:rPr>
            </w:pPr>
            <w:r>
              <w:rPr>
                <w:rFonts w:ascii="Arial" w:cs="Arial" w:eastAsia="Arial" w:hAnsi="Arial"/>
                <w:sz w:val="18"/>
                <w:szCs w:val="18"/>
                <w:b w:val="1"/>
                <w:bCs w:val="1"/>
                <w:color w:val="FFFFFF"/>
              </w:rPr>
              <w:t>Non-Equity</w:t>
            </w:r>
          </w:p>
        </w:tc>
        <w:tc>
          <w:tcPr>
            <w:tcW w:w="10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3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1"/>
              </w:rPr>
              <w:t>Retirement-</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Name and</w:t>
            </w:r>
          </w:p>
        </w:tc>
        <w:tc>
          <w:tcPr>
            <w:tcW w:w="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9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Restricted</w:t>
            </w:r>
          </w:p>
        </w:tc>
        <w:tc>
          <w:tcPr>
            <w:tcW w:w="1320" w:type="dxa"/>
            <w:vAlign w:val="bottom"/>
            <w:tcBorders>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7"/>
              </w:rPr>
              <w:t>Incentive Plan</w:t>
            </w:r>
          </w:p>
        </w:tc>
        <w:tc>
          <w:tcPr>
            <w:tcW w:w="104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Pension</w:t>
            </w:r>
          </w:p>
        </w:tc>
        <w:tc>
          <w:tcPr>
            <w:tcW w:w="1340" w:type="dxa"/>
            <w:vAlign w:val="bottom"/>
            <w:tcBorders>
              <w:right w:val="single" w:sz="8" w:color="auto"/>
            </w:tcBorders>
            <w:shd w:val="clear" w:color="auto" w:fill="29650B"/>
          </w:tcPr>
          <w:p>
            <w:pPr>
              <w:jc w:val="right"/>
              <w:ind w:right="230"/>
              <w:spacing w:after="0"/>
              <w:rPr>
                <w:sz w:val="20"/>
                <w:szCs w:val="20"/>
                <w:color w:val="auto"/>
              </w:rPr>
            </w:pPr>
            <w:r>
              <w:rPr>
                <w:rFonts w:ascii="Arial" w:cs="Arial" w:eastAsia="Arial" w:hAnsi="Arial"/>
                <w:sz w:val="18"/>
                <w:szCs w:val="18"/>
                <w:b w:val="1"/>
                <w:bCs w:val="1"/>
                <w:color w:val="FFFFFF"/>
              </w:rPr>
              <w:t>All Other</w:t>
            </w:r>
          </w:p>
        </w:tc>
        <w:tc>
          <w:tcPr>
            <w:tcW w:w="1440" w:type="dxa"/>
            <w:vAlign w:val="bottom"/>
            <w:tcBorders>
              <w:right w:val="single" w:sz="8" w:color="auto"/>
            </w:tcBorders>
            <w:shd w:val="clear" w:color="auto" w:fill="29650B"/>
          </w:tcPr>
          <w:p>
            <w:pPr>
              <w:jc w:val="right"/>
              <w:ind w:right="450"/>
              <w:spacing w:after="0"/>
              <w:rPr>
                <w:sz w:val="20"/>
                <w:szCs w:val="20"/>
                <w:color w:val="auto"/>
              </w:rPr>
            </w:pPr>
            <w:r>
              <w:rPr>
                <w:rFonts w:ascii="Arial" w:cs="Arial" w:eastAsia="Arial" w:hAnsi="Arial"/>
                <w:sz w:val="18"/>
                <w:szCs w:val="18"/>
                <w:b w:val="1"/>
                <w:bCs w:val="1"/>
                <w:color w:val="FFFFFF"/>
              </w:rPr>
              <w:t>Total</w:t>
            </w:r>
          </w:p>
        </w:tc>
        <w:tc>
          <w:tcPr>
            <w:tcW w:w="1460" w:type="dxa"/>
            <w:vAlign w:val="bottom"/>
            <w:tcBorders>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92"/>
              </w:rPr>
              <w:t>Related</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Position</w:t>
            </w:r>
          </w:p>
        </w:tc>
        <w:tc>
          <w:tcPr>
            <w:tcW w:w="580" w:type="dxa"/>
            <w:vAlign w:val="bottom"/>
            <w:tcBorders>
              <w:bottom w:val="single" w:sz="8" w:color="auto"/>
              <w:right w:val="single" w:sz="8" w:color="auto"/>
            </w:tcBorders>
            <w:shd w:val="clear" w:color="auto" w:fill="29650B"/>
          </w:tcPr>
          <w:p>
            <w:pPr>
              <w:ind w:left="100"/>
              <w:spacing w:after="0"/>
              <w:rPr>
                <w:sz w:val="20"/>
                <w:szCs w:val="20"/>
                <w:color w:val="auto"/>
              </w:rPr>
            </w:pPr>
            <w:r>
              <w:rPr>
                <w:rFonts w:ascii="Arial" w:cs="Arial" w:eastAsia="Arial" w:hAnsi="Arial"/>
                <w:sz w:val="18"/>
                <w:szCs w:val="18"/>
                <w:b w:val="1"/>
                <w:bCs w:val="1"/>
                <w:color w:val="FFFFFF"/>
              </w:rPr>
              <w:t>Year</w:t>
            </w:r>
          </w:p>
        </w:tc>
        <w:tc>
          <w:tcPr>
            <w:tcW w:w="1000" w:type="dxa"/>
            <w:vAlign w:val="bottom"/>
            <w:tcBorders>
              <w:bottom w:val="single" w:sz="8" w:color="auto"/>
              <w:right w:val="single" w:sz="8" w:color="auto"/>
            </w:tcBorders>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Salary</w:t>
            </w:r>
          </w:p>
        </w:tc>
        <w:tc>
          <w:tcPr>
            <w:tcW w:w="19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Stock Awards</w:t>
            </w:r>
          </w:p>
        </w:tc>
        <w:tc>
          <w:tcPr>
            <w:tcW w:w="132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4"/>
              </w:rPr>
              <w:t>Compensation</w:t>
            </w:r>
          </w:p>
        </w:tc>
        <w:tc>
          <w:tcPr>
            <w:tcW w:w="10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Value</w:t>
            </w:r>
          </w:p>
        </w:tc>
        <w:tc>
          <w:tcPr>
            <w:tcW w:w="1340" w:type="dxa"/>
            <w:vAlign w:val="bottom"/>
            <w:tcBorders>
              <w:bottom w:val="single" w:sz="8" w:color="auto"/>
              <w:right w:val="single" w:sz="8" w:color="auto"/>
            </w:tcBorders>
            <w:shd w:val="clear" w:color="auto" w:fill="29650B"/>
          </w:tcPr>
          <w:p>
            <w:pPr>
              <w:jc w:val="right"/>
              <w:ind w:right="50"/>
              <w:spacing w:after="0"/>
              <w:rPr>
                <w:sz w:val="20"/>
                <w:szCs w:val="20"/>
                <w:color w:val="auto"/>
              </w:rPr>
            </w:pPr>
            <w:r>
              <w:rPr>
                <w:rFonts w:ascii="Arial" w:cs="Arial" w:eastAsia="Arial" w:hAnsi="Arial"/>
                <w:sz w:val="18"/>
                <w:szCs w:val="18"/>
                <w:b w:val="1"/>
                <w:bCs w:val="1"/>
                <w:color w:val="FFFFFF"/>
                <w:w w:val="94"/>
              </w:rPr>
              <w:t>Compensation</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w w:val="99"/>
              </w:rPr>
              <w:t>Compensation</w:t>
            </w:r>
          </w:p>
        </w:tc>
        <w:tc>
          <w:tcPr>
            <w:tcW w:w="1460" w:type="dxa"/>
            <w:vAlign w:val="bottom"/>
            <w:tcBorders>
              <w:bottom w:val="single" w:sz="8" w:color="auto"/>
              <w:right w:val="single" w:sz="8" w:color="auto"/>
            </w:tcBorders>
            <w:shd w:val="clear" w:color="auto" w:fill="D6E3BC"/>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63"/>
        </w:trPr>
        <w:tc>
          <w:tcPr>
            <w:tcW w:w="1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2020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$1,200,000</w:t>
            </w:r>
          </w:p>
        </w:tc>
        <w:tc>
          <w:tcPr>
            <w:tcW w:w="19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$6,239,951</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$2,880,000</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$5,714,297</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$1,486,791</w:t>
            </w:r>
          </w:p>
        </w:tc>
        <w:tc>
          <w:tcPr>
            <w:tcW w:w="14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$17,521,039</w:t>
            </w:r>
          </w:p>
        </w:tc>
        <w:tc>
          <w:tcPr>
            <w:tcW w:w="1460" w:type="dxa"/>
            <w:vAlign w:val="bottom"/>
            <w:tcBorders>
              <w:right w:val="single" w:sz="8" w:color="auto"/>
            </w:tcBorders>
            <w:shd w:val="clear" w:color="auto" w:fill="D6E3BC"/>
          </w:tcPr>
          <w:p>
            <w:pPr>
              <w:jc w:val="right"/>
              <w:ind w:right="150"/>
              <w:spacing w:after="0"/>
              <w:rPr>
                <w:sz w:val="20"/>
                <w:szCs w:val="20"/>
                <w:color w:val="auto"/>
              </w:rPr>
            </w:pPr>
            <w:r>
              <w:rPr>
                <w:rFonts w:ascii="Arial" w:cs="Arial" w:eastAsia="Arial" w:hAnsi="Arial"/>
                <w:sz w:val="18"/>
                <w:szCs w:val="18"/>
                <w:color w:val="auto"/>
              </w:rPr>
              <w:t>$10,324,226</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Donahue</w:t>
            </w:r>
          </w:p>
        </w:tc>
        <w:tc>
          <w:tcPr>
            <w:tcW w:w="5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shd w:val="clear" w:color="auto" w:fill="D6E3BC"/>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4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2019</w:t>
            </w:r>
          </w:p>
        </w:tc>
        <w:tc>
          <w:tcPr>
            <w:tcW w:w="100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D6E3BC"/>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1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President</w:t>
            </w:r>
          </w:p>
        </w:tc>
        <w:tc>
          <w:tcPr>
            <w:tcW w:w="580" w:type="dxa"/>
            <w:vAlign w:val="bottom"/>
            <w:tcBorders>
              <w:right w:val="single" w:sz="8" w:color="auto"/>
            </w:tcBorders>
            <w:vMerge w:val="continue"/>
          </w:tcPr>
          <w:p>
            <w:pPr>
              <w:spacing w:after="0"/>
              <w:rPr>
                <w:sz w:val="20"/>
                <w:szCs w:val="20"/>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1,155,000</w:t>
            </w:r>
          </w:p>
        </w:tc>
        <w:tc>
          <w:tcPr>
            <w:tcW w:w="19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6,005,970</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1,711,710</w:t>
            </w:r>
          </w:p>
        </w:tc>
        <w:tc>
          <w:tcPr>
            <w:tcW w:w="1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4,056,957</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1,081,053</w:t>
            </w:r>
          </w:p>
        </w:tc>
        <w:tc>
          <w:tcPr>
            <w:tcW w:w="14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14,010,690</w:t>
            </w:r>
          </w:p>
        </w:tc>
        <w:tc>
          <w:tcPr>
            <w:tcW w:w="1460" w:type="dxa"/>
            <w:vAlign w:val="bottom"/>
            <w:tcBorders>
              <w:right w:val="single" w:sz="8" w:color="auto"/>
            </w:tcBorders>
            <w:shd w:val="clear" w:color="auto" w:fill="D6E3BC"/>
          </w:tcPr>
          <w:p>
            <w:pPr>
              <w:jc w:val="right"/>
              <w:ind w:right="150"/>
              <w:spacing w:after="0"/>
              <w:rPr>
                <w:sz w:val="20"/>
                <w:szCs w:val="20"/>
                <w:color w:val="auto"/>
              </w:rPr>
            </w:pPr>
            <w:r>
              <w:rPr>
                <w:rFonts w:ascii="Arial" w:cs="Arial" w:eastAsia="Arial" w:hAnsi="Arial"/>
                <w:sz w:val="18"/>
                <w:szCs w:val="18"/>
                <w:color w:val="auto"/>
              </w:rPr>
              <w:t>8,876,880</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color w:val="auto"/>
              </w:rPr>
              <w:t>and Chief</w:t>
            </w:r>
          </w:p>
        </w:tc>
        <w:tc>
          <w:tcPr>
            <w:tcW w:w="5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shd w:val="clear" w:color="auto" w:fill="D6E3BC"/>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shd w:val="clear" w:color="auto" w:fill="D6E3B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Executive</w:t>
            </w:r>
          </w:p>
        </w:tc>
        <w:tc>
          <w:tcPr>
            <w:tcW w:w="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2018</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1,100,000</w:t>
            </w:r>
          </w:p>
        </w:tc>
        <w:tc>
          <w:tcPr>
            <w:tcW w:w="19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5,720,055</w:t>
            </w:r>
          </w:p>
        </w:tc>
        <w:tc>
          <w:tcPr>
            <w:tcW w:w="13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1,735,800</w:t>
            </w:r>
          </w:p>
        </w:tc>
        <w:tc>
          <w:tcPr>
            <w:tcW w:w="10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1,183,618</w:t>
            </w:r>
          </w:p>
        </w:tc>
        <w:tc>
          <w:tcPr>
            <w:tcW w:w="13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77,268</w:t>
            </w:r>
          </w:p>
        </w:tc>
        <w:tc>
          <w:tcPr>
            <w:tcW w:w="14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9,816,741</w:t>
            </w:r>
          </w:p>
        </w:tc>
        <w:tc>
          <w:tcPr>
            <w:tcW w:w="1460" w:type="dxa"/>
            <w:vAlign w:val="bottom"/>
            <w:tcBorders>
              <w:right w:val="single" w:sz="8" w:color="auto"/>
            </w:tcBorders>
            <w:vMerge w:val="restart"/>
            <w:shd w:val="clear" w:color="auto" w:fill="D6E3BC"/>
          </w:tcPr>
          <w:p>
            <w:pPr>
              <w:jc w:val="right"/>
              <w:ind w:right="150"/>
              <w:spacing w:after="0"/>
              <w:rPr>
                <w:sz w:val="20"/>
                <w:szCs w:val="20"/>
                <w:color w:val="auto"/>
              </w:rPr>
            </w:pPr>
            <w:r>
              <w:rPr>
                <w:rFonts w:ascii="Arial" w:cs="Arial" w:eastAsia="Arial" w:hAnsi="Arial"/>
                <w:sz w:val="18"/>
                <w:szCs w:val="18"/>
                <w:color w:val="auto"/>
              </w:rPr>
              <w:t>8,566,727</w:t>
            </w:r>
          </w:p>
        </w:tc>
        <w:tc>
          <w:tcPr>
            <w:tcW w:w="0" w:type="dxa"/>
            <w:vAlign w:val="bottom"/>
          </w:tcPr>
          <w:p>
            <w:pPr>
              <w:spacing w:after="0"/>
              <w:rPr>
                <w:sz w:val="1"/>
                <w:szCs w:val="1"/>
                <w:color w:val="auto"/>
              </w:rPr>
            </w:pPr>
          </w:p>
        </w:tc>
      </w:tr>
      <w:tr>
        <w:trPr>
          <w:trHeight w:val="109"/>
        </w:trPr>
        <w:tc>
          <w:tcPr>
            <w:tcW w:w="114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color w:val="auto"/>
              </w:rPr>
              <w:t>Officer</w:t>
            </w:r>
          </w:p>
        </w:tc>
        <w:tc>
          <w:tcPr>
            <w:tcW w:w="5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shd w:val="clear" w:color="auto" w:fill="D6E3B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shd w:val="clear" w:color="auto" w:fill="D6E3BC"/>
          </w:tcPr>
          <w:p>
            <w:pPr>
              <w:spacing w:after="0"/>
              <w:rPr>
                <w:sz w:val="10"/>
                <w:szCs w:val="1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The last column above shows Total Compensation net of certain retirement-related benefits (i.e., the Change in Pension Value column and certain retirement-related elements of All Other Compensation). The lump-sum present value calculations required to be included for all of our NEOs in this Proxy Statement for certain components of Total Compensation continue to be inflated by historically-low interest rates. Not all of the pension benefits payable to our NEOs will be paid in a lump sum. </w:t>
      </w:r>
      <w:r>
        <w:rPr>
          <w:rFonts w:ascii="Arial" w:cs="Arial" w:eastAsia="Arial" w:hAnsi="Arial"/>
          <w:sz w:val="21"/>
          <w:szCs w:val="21"/>
          <w:b w:val="1"/>
          <w:bCs w:val="1"/>
          <w:color w:val="auto"/>
        </w:rPr>
        <w:t>Future increases</w:t>
      </w:r>
      <w:r>
        <w:rPr>
          <w:rFonts w:ascii="Arial" w:cs="Arial" w:eastAsia="Arial" w:hAnsi="Arial"/>
          <w:sz w:val="21"/>
          <w:szCs w:val="21"/>
          <w:color w:val="auto"/>
        </w:rPr>
        <w:t xml:space="preserve"> </w:t>
      </w:r>
      <w:r>
        <w:rPr>
          <w:rFonts w:ascii="Arial" w:cs="Arial" w:eastAsia="Arial" w:hAnsi="Arial"/>
          <w:sz w:val="21"/>
          <w:szCs w:val="21"/>
          <w:b w:val="1"/>
          <w:bCs w:val="1"/>
          <w:color w:val="auto"/>
        </w:rPr>
        <w:t>in interest rates could cause a significant reduction in the lump-sum value of such benefits. See page 56, footnote 4, for more information about interest rate sensitivity.</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458"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29650B"/>
        </w:rPr>
        <w:t>Pay-for-Performance Alignment – Performance-Based Shares</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has developed an executive compensation program that is ownership-oriented and that rewards the attainment of specific annual and long-term goals that will result in improvement in Shareholder value. Two-thirds of our NEOs’ share awards are performance-based. Beginning with 2017 grants, which vested in early 2020, vesting is based on two performance metrics: the Company’s relative total shareholder return (“TSR”) against a peer group (the Dow Jones U.S. Containers &amp; Packaging Index) and the Company’s return on invested capital (“ROIC”).</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Based on the Company’s performance for the measurement period related to the vesting of performance-based shares in 2020, the Company’s NEOs, including the CEO, received awards that were 21.3% above the target grants established in 2017. However, due to the Company’s under-performance for the measurement periods related to the performance-based shares vesting in 2018 and 2019, the NEOs forfeited 100% of the performance-based shares granted in 2015 and 2016. Such additional awards and forfeitures display a clear and direct correlation between pay-for-performance and our executives’ compensation. This performance-based vesting history illustrates a strong pay-for-performance alignment.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74" w:right="339" w:bottom="1440" w:gutter="0" w:footer="0" w:header="0"/>
        </w:sectPr>
      </w:pPr>
    </w:p>
    <w:bookmarkStart w:id="12" w:name="page13"/>
    <w:bookmarkEnd w:id="12"/>
    <w:p>
      <w:pPr>
        <w:spacing w:after="0"/>
        <w:rPr>
          <w:sz w:val="20"/>
          <w:szCs w:val="20"/>
          <w:color w:val="auto"/>
        </w:rPr>
      </w:pPr>
      <w:r>
        <w:rPr>
          <w:rFonts w:ascii="Arial" w:cs="Arial" w:eastAsia="Arial" w:hAnsi="Arial"/>
          <w:sz w:val="29"/>
          <w:szCs w:val="29"/>
          <w:b w:val="1"/>
          <w:bCs w:val="1"/>
          <w:color w:val="29650B"/>
        </w:rPr>
        <w:t>Elements of Total Direct Compensation</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allocation of 2020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5777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77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74" w:right="339" w:bottom="1440" w:gutter="0" w:footer="0" w:header="0"/>
        </w:sectPr>
      </w:pPr>
    </w:p>
    <w:bookmarkStart w:id="13" w:name="page14"/>
    <w:bookmarkEnd w:id="13"/>
    <w:p>
      <w:pPr>
        <w:spacing w:after="0"/>
        <w:rPr>
          <w:sz w:val="20"/>
          <w:szCs w:val="20"/>
          <w:color w:val="auto"/>
        </w:rPr>
      </w:pPr>
      <w:r>
        <w:rPr>
          <w:rFonts w:ascii="Arial" w:cs="Arial" w:eastAsia="Arial" w:hAnsi="Arial"/>
          <w:sz w:val="29"/>
          <w:szCs w:val="29"/>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4924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492442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WHAT WE DO</w:t>
      </w:r>
    </w:p>
    <w:p>
      <w:pPr>
        <w:spacing w:after="0" w:line="304" w:lineRule="exact"/>
        <w:rPr>
          <w:sz w:val="20"/>
          <w:szCs w:val="20"/>
          <w:color w:val="auto"/>
        </w:rPr>
      </w:pPr>
    </w:p>
    <w:p>
      <w:pPr>
        <w:ind w:left="640" w:hanging="254"/>
        <w:spacing w:after="0"/>
        <w:tabs>
          <w:tab w:leader="none" w:pos="640" w:val="left"/>
        </w:tabs>
        <w:numPr>
          <w:ilvl w:val="0"/>
          <w:numId w:val="15"/>
        </w:numPr>
        <w:rPr>
          <w:rFonts w:ascii="Arial" w:cs="Arial" w:eastAsia="Arial" w:hAnsi="Arial"/>
          <w:sz w:val="36"/>
          <w:szCs w:val="36"/>
          <w:color w:val="4F6228"/>
          <w:vertAlign w:val="superscript"/>
        </w:rPr>
      </w:pPr>
      <w:r>
        <w:rPr>
          <w:rFonts w:ascii="Arial" w:cs="Arial" w:eastAsia="Arial" w:hAnsi="Arial"/>
          <w:sz w:val="18"/>
          <w:szCs w:val="18"/>
          <w:color w:val="auto"/>
        </w:rPr>
        <w:t>Benchmark our NEOs’ total direct compensation at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our peer group</w:t>
      </w: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Review pay and performance alignment annually</w:t>
      </w:r>
    </w:p>
    <w:p>
      <w:pPr>
        <w:spacing w:after="0" w:line="101"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Provide a majority of the direct compensation paid to our NEOs in performance-based compensation</w:t>
      </w:r>
    </w:p>
    <w:p>
      <w:pPr>
        <w:spacing w:after="0" w:line="117" w:lineRule="exact"/>
        <w:rPr>
          <w:rFonts w:ascii="Arial" w:cs="Arial" w:eastAsia="Arial" w:hAnsi="Arial"/>
          <w:sz w:val="18"/>
          <w:szCs w:val="18"/>
          <w:color w:val="4F6228"/>
        </w:rPr>
      </w:pPr>
    </w:p>
    <w:p>
      <w:pPr>
        <w:ind w:left="640" w:hanging="254"/>
        <w:spacing w:after="0" w:line="277" w:lineRule="auto"/>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Allocate two-thirds of compensation under the Company’s long-term incentive plan to performance-based share awards and one-third to time-based share awards</w:t>
      </w:r>
    </w:p>
    <w:p>
      <w:pPr>
        <w:spacing w:after="0" w:line="62"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Vest performance-based shares on the basis of two metrics (total shareholder return and return on invested capital)</w:t>
      </w:r>
    </w:p>
    <w:p>
      <w:pPr>
        <w:spacing w:after="0" w:line="117" w:lineRule="exact"/>
        <w:rPr>
          <w:rFonts w:ascii="Arial" w:cs="Arial" w:eastAsia="Arial" w:hAnsi="Arial"/>
          <w:sz w:val="18"/>
          <w:szCs w:val="18"/>
          <w:color w:val="4F6228"/>
        </w:rPr>
      </w:pPr>
    </w:p>
    <w:p>
      <w:pPr>
        <w:ind w:left="640" w:hanging="254"/>
        <w:spacing w:after="0" w:line="277" w:lineRule="auto"/>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Base payouts under the Company’s Annual Incentive Bonus Plan on the achievement of specified levels of economic profit and modified operating cash flow</w:t>
      </w:r>
    </w:p>
    <w:p>
      <w:pPr>
        <w:spacing w:after="0" w:line="62"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Maintain stock ownership and holding period requirements for our NEOs</w:t>
      </w:r>
    </w:p>
    <w:p>
      <w:pPr>
        <w:spacing w:after="0" w:line="117"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6"/>
          <w:szCs w:val="16"/>
          <w:color w:val="4F6228"/>
        </w:rPr>
      </w:pPr>
      <w:r>
        <w:rPr>
          <w:rFonts w:ascii="Arial" w:cs="Arial" w:eastAsia="Arial" w:hAnsi="Arial"/>
          <w:sz w:val="16"/>
          <w:szCs w:val="16"/>
          <w:color w:val="auto"/>
        </w:rPr>
        <w:t>“Clawback” non-equity incentive bonus payments and performance-based equity awards from NEOs in the event of certain acts of misconduct</w:t>
      </w:r>
    </w:p>
    <w:p>
      <w:pPr>
        <w:spacing w:after="0" w:line="140" w:lineRule="exact"/>
        <w:rPr>
          <w:rFonts w:ascii="Arial" w:cs="Arial" w:eastAsia="Arial" w:hAnsi="Arial"/>
          <w:sz w:val="16"/>
          <w:szCs w:val="16"/>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Engage an independent compensation consultant for our Compensation Committee</w:t>
      </w:r>
    </w:p>
    <w:p>
      <w:pPr>
        <w:spacing w:after="0" w:line="117"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Annually review the independence of the compensation consultant retained by the Compensation Committee</w:t>
      </w:r>
    </w:p>
    <w:p>
      <w:pPr>
        <w:spacing w:after="0" w:line="117" w:lineRule="exact"/>
        <w:rPr>
          <w:rFonts w:ascii="Arial" w:cs="Arial" w:eastAsia="Arial" w:hAnsi="Arial"/>
          <w:sz w:val="18"/>
          <w:szCs w:val="18"/>
          <w:color w:val="4F6228"/>
        </w:rPr>
      </w:pPr>
    </w:p>
    <w:p>
      <w:pPr>
        <w:ind w:left="640" w:hanging="254"/>
        <w:spacing w:after="0" w:line="277" w:lineRule="auto"/>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Utilize tally sheets to review total compensation, compensation mix, internal pay equity, payouts under certain potential termination scenarios and the aggregate value of retirement benefits and interest rate sensitivity on retirement benefits</w:t>
      </w:r>
    </w:p>
    <w:p>
      <w:pPr>
        <w:spacing w:after="0" w:line="62" w:lineRule="exact"/>
        <w:rPr>
          <w:rFonts w:ascii="Arial" w:cs="Arial" w:eastAsia="Arial" w:hAnsi="Arial"/>
          <w:sz w:val="18"/>
          <w:szCs w:val="18"/>
          <w:color w:val="4F6228"/>
        </w:rPr>
      </w:pPr>
    </w:p>
    <w:p>
      <w:pPr>
        <w:ind w:left="640" w:hanging="254"/>
        <w:spacing w:after="0"/>
        <w:tabs>
          <w:tab w:leader="none" w:pos="640" w:val="left"/>
        </w:tabs>
        <w:numPr>
          <w:ilvl w:val="0"/>
          <w:numId w:val="15"/>
        </w:numPr>
        <w:rPr>
          <w:rFonts w:ascii="Arial" w:cs="Arial" w:eastAsia="Arial" w:hAnsi="Arial"/>
          <w:sz w:val="18"/>
          <w:szCs w:val="18"/>
          <w:color w:val="4F6228"/>
        </w:rPr>
      </w:pPr>
      <w:r>
        <w:rPr>
          <w:rFonts w:ascii="Arial" w:cs="Arial" w:eastAsia="Arial" w:hAnsi="Arial"/>
          <w:sz w:val="18"/>
          <w:szCs w:val="18"/>
          <w:color w:val="auto"/>
        </w:rPr>
        <w:t>Hold annual Say-on-Pay votes</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WHAT WE DON’T DO</w:t>
      </w:r>
    </w:p>
    <w:p>
      <w:pPr>
        <w:spacing w:after="0" w:line="229" w:lineRule="exact"/>
        <w:rPr>
          <w:sz w:val="20"/>
          <w:szCs w:val="20"/>
          <w:color w:val="auto"/>
        </w:rPr>
      </w:pPr>
    </w:p>
    <w:p>
      <w:pPr>
        <w:ind w:left="640" w:hanging="254"/>
        <w:spacing w:after="0"/>
        <w:tabs>
          <w:tab w:leader="none" w:pos="640" w:val="left"/>
        </w:tabs>
        <w:numPr>
          <w:ilvl w:val="0"/>
          <w:numId w:val="16"/>
        </w:numPr>
        <w:rPr>
          <w:rFonts w:ascii="Arial" w:cs="Arial" w:eastAsia="Arial" w:hAnsi="Arial"/>
          <w:sz w:val="16"/>
          <w:szCs w:val="16"/>
          <w:color w:val="4F6228"/>
        </w:rPr>
      </w:pPr>
      <w:r>
        <w:rPr>
          <w:rFonts w:ascii="Arial" w:cs="Arial" w:eastAsia="Arial" w:hAnsi="Arial"/>
          <w:sz w:val="16"/>
          <w:szCs w:val="16"/>
          <w:color w:val="auto"/>
        </w:rPr>
        <w:t>Allow carry-forward or banking of economic profit or modified operating cash flow achievement in the Company’s Annual Incentive Bonus Plan</w:t>
      </w:r>
    </w:p>
    <w:p>
      <w:pPr>
        <w:spacing w:after="0" w:line="140" w:lineRule="exact"/>
        <w:rPr>
          <w:rFonts w:ascii="Arial" w:cs="Arial" w:eastAsia="Arial" w:hAnsi="Arial"/>
          <w:sz w:val="16"/>
          <w:szCs w:val="16"/>
          <w:color w:val="4F6228"/>
        </w:rPr>
      </w:pPr>
    </w:p>
    <w:p>
      <w:pPr>
        <w:ind w:left="640" w:hanging="254"/>
        <w:spacing w:after="0"/>
        <w:tabs>
          <w:tab w:leader="none" w:pos="640" w:val="left"/>
        </w:tabs>
        <w:numPr>
          <w:ilvl w:val="0"/>
          <w:numId w:val="16"/>
        </w:numPr>
        <w:rPr>
          <w:rFonts w:ascii="Arial" w:cs="Arial" w:eastAsia="Arial" w:hAnsi="Arial"/>
          <w:sz w:val="18"/>
          <w:szCs w:val="18"/>
          <w:color w:val="4F6228"/>
        </w:rPr>
      </w:pPr>
      <w:r>
        <w:rPr>
          <w:rFonts w:ascii="Arial" w:cs="Arial" w:eastAsia="Arial" w:hAnsi="Arial"/>
          <w:sz w:val="18"/>
          <w:szCs w:val="18"/>
          <w:color w:val="auto"/>
        </w:rPr>
        <w:t>Use subjective individual qualitative factors in determining executives’ annual bonuses</w:t>
      </w:r>
    </w:p>
    <w:p>
      <w:pPr>
        <w:spacing w:after="0" w:line="117" w:lineRule="exact"/>
        <w:rPr>
          <w:rFonts w:ascii="Arial" w:cs="Arial" w:eastAsia="Arial" w:hAnsi="Arial"/>
          <w:sz w:val="18"/>
          <w:szCs w:val="18"/>
          <w:color w:val="4F6228"/>
        </w:rPr>
      </w:pPr>
    </w:p>
    <w:p>
      <w:pPr>
        <w:ind w:left="640" w:hanging="254"/>
        <w:spacing w:after="0"/>
        <w:tabs>
          <w:tab w:leader="none" w:pos="640" w:val="left"/>
        </w:tabs>
        <w:numPr>
          <w:ilvl w:val="0"/>
          <w:numId w:val="16"/>
        </w:numPr>
        <w:rPr>
          <w:rFonts w:ascii="Arial" w:cs="Arial" w:eastAsia="Arial" w:hAnsi="Arial"/>
          <w:sz w:val="18"/>
          <w:szCs w:val="18"/>
          <w:color w:val="4F6228"/>
        </w:rPr>
      </w:pPr>
      <w:r>
        <w:rPr>
          <w:rFonts w:ascii="Arial" w:cs="Arial" w:eastAsia="Arial" w:hAnsi="Arial"/>
          <w:sz w:val="18"/>
          <w:szCs w:val="18"/>
          <w:color w:val="auto"/>
        </w:rPr>
        <w:t>Include tax gross-up provisions in any new or revised executive employment agreements</w:t>
      </w:r>
    </w:p>
    <w:p>
      <w:pPr>
        <w:spacing w:after="0" w:line="117" w:lineRule="exact"/>
        <w:rPr>
          <w:rFonts w:ascii="Arial" w:cs="Arial" w:eastAsia="Arial" w:hAnsi="Arial"/>
          <w:sz w:val="18"/>
          <w:szCs w:val="18"/>
          <w:color w:val="4F6228"/>
        </w:rPr>
      </w:pPr>
    </w:p>
    <w:p>
      <w:pPr>
        <w:ind w:left="640" w:hanging="254"/>
        <w:spacing w:after="0"/>
        <w:tabs>
          <w:tab w:leader="none" w:pos="640" w:val="left"/>
        </w:tabs>
        <w:numPr>
          <w:ilvl w:val="0"/>
          <w:numId w:val="16"/>
        </w:numPr>
        <w:rPr>
          <w:rFonts w:ascii="Arial" w:cs="Arial" w:eastAsia="Arial" w:hAnsi="Arial"/>
          <w:sz w:val="18"/>
          <w:szCs w:val="18"/>
          <w:color w:val="4F6228"/>
        </w:rPr>
      </w:pPr>
      <w:r>
        <w:rPr>
          <w:rFonts w:ascii="Arial" w:cs="Arial" w:eastAsia="Arial" w:hAnsi="Arial"/>
          <w:sz w:val="18"/>
          <w:szCs w:val="18"/>
          <w:color w:val="auto"/>
        </w:rPr>
        <w:t>Provide excessive perquisites</w:t>
      </w:r>
    </w:p>
    <w:p>
      <w:pPr>
        <w:spacing w:after="0" w:line="117" w:lineRule="exact"/>
        <w:rPr>
          <w:rFonts w:ascii="Arial" w:cs="Arial" w:eastAsia="Arial" w:hAnsi="Arial"/>
          <w:sz w:val="18"/>
          <w:szCs w:val="18"/>
          <w:color w:val="4F6228"/>
        </w:rPr>
      </w:pPr>
    </w:p>
    <w:p>
      <w:pPr>
        <w:ind w:left="640" w:hanging="254"/>
        <w:spacing w:after="0"/>
        <w:tabs>
          <w:tab w:leader="none" w:pos="640" w:val="left"/>
        </w:tabs>
        <w:numPr>
          <w:ilvl w:val="0"/>
          <w:numId w:val="16"/>
        </w:numPr>
        <w:rPr>
          <w:rFonts w:ascii="Arial" w:cs="Arial" w:eastAsia="Arial" w:hAnsi="Arial"/>
          <w:sz w:val="18"/>
          <w:szCs w:val="18"/>
          <w:color w:val="4F6228"/>
        </w:rPr>
      </w:pPr>
      <w:r>
        <w:rPr>
          <w:rFonts w:ascii="Arial" w:cs="Arial" w:eastAsia="Arial" w:hAnsi="Arial"/>
          <w:sz w:val="18"/>
          <w:szCs w:val="18"/>
          <w:color w:val="auto"/>
        </w:rPr>
        <w:t>Permit any form of hedging or pledging of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Please read the CD&amp;A, beginning on page 31, for a more detailed description of the Company’s executive compensation program.</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320" w:top="674" w:right="419" w:bottom="1440" w:gutter="0" w:footer="0" w:header="0"/>
        </w:sectPr>
      </w:pPr>
    </w:p>
    <w:bookmarkStart w:id="14" w:name="page15"/>
    <w:bookmarkEnd w:id="14"/>
    <w:p>
      <w:pPr>
        <w:spacing w:after="0"/>
        <w:rPr>
          <w:sz w:val="20"/>
          <w:szCs w:val="20"/>
          <w:color w:val="auto"/>
        </w:rPr>
      </w:pPr>
      <w:r>
        <w:rPr>
          <w:rFonts w:ascii="Arial" w:cs="Arial" w:eastAsia="Arial" w:hAnsi="Arial"/>
          <w:sz w:val="32"/>
          <w:szCs w:val="32"/>
          <w:b w:val="1"/>
          <w:bCs w:val="1"/>
          <w:color w:val="29650B"/>
        </w:rPr>
        <w:t>QUESTIONS &amp; ANSWERS ABOUT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Why am I receiving these materials?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is providing you this Proxy Statement, the accompanying Proxy Card and a copy of our Annual Report for the year ended December 31, 2020, containing audited financial statements, in connection with our Annual Meeting of Shareholders or any adjournments or postponements of the Annual Meeting. The Meeting will be conducted via the Internet on April 22, 2021 at 9:30 a.m. Eastern Time. All Shareholders of the Company are cordially invited to attend our virtual Annual Meeting and are entitled and requested to vote on the matters described in this Proxy Statement. The accompanying Proxy is solicited on behalf of the Board of Directors of the Company. We are mailing this Proxy Statement and the accompanying Proxy Card and Annual Report to our Shareholders on or about March 15, 2021.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a Proxy?</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Only Shareholders as of the close of business on March 2, 2021 (“Record Date”) are entitled to receive notice of, to attend and to vote at the Annual</w:t>
      </w: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Meeting or any adjournment or postponement of the Annual Meeting. Each Shareholder has one vote per share on all matters to be voted on. As of the Record Date, there were 134,912,097 shares of Common Stock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difference between a “record owner” and a “beneficial owner”?</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Record Owners</w:t>
      </w:r>
      <w:r>
        <w:rPr>
          <w:rFonts w:ascii="Arial" w:cs="Arial" w:eastAsia="Arial" w:hAnsi="Arial"/>
          <w:sz w:val="21"/>
          <w:szCs w:val="21"/>
          <w:color w:val="auto"/>
        </w:rPr>
        <w:t>: If your shares are registered directly in your name with EQ Shareowner Services, the Company’s stock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agent, you are considered the “Shareholder of record” or “record owner” with respect to those shares. You vote your shares directly and may vote online directly during the Annual Meeting with no prior authorizations required.</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Beneficial Owners</w:t>
      </w:r>
      <w:r>
        <w:rPr>
          <w:rFonts w:ascii="Arial" w:cs="Arial" w:eastAsia="Arial" w:hAnsi="Arial"/>
          <w:sz w:val="22"/>
          <w:szCs w:val="22"/>
          <w:color w:val="auto"/>
        </w:rPr>
        <w:t>: If your shares are held in an account at a brokerage firm, bank or trust as custodian on your behalf,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the “beneficial 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virtual Annual Meeting and you may vote online during the Annual Meeting by following the instructions provided by your broker, bank or trust with your voting instruction form.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i w:val="1"/>
          <w:iCs w:val="1"/>
          <w:color w:val="auto"/>
        </w:rPr>
        <w:t>What proposals will be voted on at the Annual Meeting?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Shareholders will vote on three proposals at the Annual Meeting:</w:t>
      </w:r>
    </w:p>
    <w:p>
      <w:pPr>
        <w:spacing w:after="0" w:line="20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election of Directors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ratification of the appointment of the Company’s independent auditors for the fiscal year ending December 31, 2021</w:t>
      </w:r>
    </w:p>
    <w:p>
      <w:pPr>
        <w:spacing w:after="0" w:line="240" w:lineRule="exact"/>
        <w:rPr>
          <w:rFonts w:ascii="Arial" w:cs="Arial" w:eastAsia="Arial" w:hAnsi="Arial"/>
          <w:sz w:val="19"/>
          <w:szCs w:val="19"/>
          <w:color w:val="auto"/>
        </w:rPr>
      </w:pPr>
    </w:p>
    <w:p>
      <w:pPr>
        <w:ind w:left="660" w:hanging="328"/>
        <w:spacing w:after="0" w:line="250"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 advisory resolution to approve the compensation of the Named Executive Officers as disclosed in this Proxy Statement (the “Say-on-Pay” vote)</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also will consider any other business that properly comes before the Annual Meeting in accordance with Pennsylvania law and the Company’s By-Laws.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does the Board of Directors recommend that I vote?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recommends that you vote your shares:</w:t>
      </w:r>
    </w:p>
    <w:p>
      <w:pPr>
        <w:spacing w:after="0" w:line="20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w:t>
      </w:r>
      <w:r>
        <w:rPr>
          <w:rFonts w:ascii="Arial" w:cs="Arial" w:eastAsia="Arial" w:hAnsi="Arial"/>
          <w:sz w:val="22"/>
          <w:szCs w:val="22"/>
          <w:color w:val="auto"/>
        </w:rPr>
        <w:t xml:space="preserve"> each of the nominees for election to the Board</w:t>
      </w:r>
    </w:p>
    <w:p>
      <w:pPr>
        <w:spacing w:after="0" w:line="206"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ratification of the appointment of PricewaterhouseCoopers LLP as the Company’s independent auditors for</w:t>
      </w:r>
      <w:r>
        <w:rPr>
          <w:rFonts w:ascii="Arial" w:cs="Arial" w:eastAsia="Arial" w:hAnsi="Arial"/>
          <w:sz w:val="22"/>
          <w:szCs w:val="22"/>
          <w:b w:val="1"/>
          <w:bCs w:val="1"/>
          <w:color w:val="auto"/>
        </w:rPr>
        <w:t xml:space="preserve"> </w:t>
      </w:r>
      <w:r>
        <w:rPr>
          <w:rFonts w:ascii="Arial" w:cs="Arial" w:eastAsia="Arial" w:hAnsi="Arial"/>
          <w:sz w:val="22"/>
          <w:szCs w:val="22"/>
          <w:color w:val="auto"/>
        </w:rPr>
        <w:t>2021</w:t>
      </w:r>
    </w:p>
    <w:p>
      <w:pPr>
        <w:spacing w:after="0" w:line="162"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advisory resolution to approve the compensation of the Named Executive Officers as disclosed in this Proxy</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happens if additional matters are presented at the Annual Meeting?</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You may vote your shares by Proxy or during the virtual meeting. You may vote by Proxy:</w:t>
      </w:r>
    </w:p>
    <w:p>
      <w:pPr>
        <w:spacing w:after="0" w:line="206" w:lineRule="exact"/>
        <w:rPr>
          <w:sz w:val="20"/>
          <w:szCs w:val="20"/>
          <w:color w:val="auto"/>
        </w:rPr>
      </w:pPr>
    </w:p>
    <w:p>
      <w:pPr>
        <w:ind w:left="660" w:hanging="328"/>
        <w:spacing w:after="0" w:line="250"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the Internet</w:t>
      </w:r>
      <w:r>
        <w:rPr>
          <w:rFonts w:ascii="Arial" w:cs="Arial" w:eastAsia="Arial" w:hAnsi="Arial"/>
          <w:sz w:val="22"/>
          <w:szCs w:val="22"/>
          <w:color w:val="auto"/>
        </w:rPr>
        <w:t>, at the web address provided on page 1 of this Proxy Statement or on your Proxy Card or voting instruction form; or</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telephone</w:t>
      </w:r>
      <w:r>
        <w:rPr>
          <w:rFonts w:ascii="Arial" w:cs="Arial" w:eastAsia="Arial" w:hAnsi="Arial"/>
          <w:sz w:val="22"/>
          <w:szCs w:val="22"/>
          <w:color w:val="auto"/>
        </w:rPr>
        <w:t>, using the toll-free number listed on page 1 of this Proxy Statement or on your Proxy Card or voting instruction form; or</w:t>
      </w:r>
    </w:p>
    <w:p>
      <w:pPr>
        <w:spacing w:after="0" w:line="174" w:lineRule="exact"/>
        <w:rPr>
          <w:rFonts w:ascii="Arial" w:cs="Arial" w:eastAsia="Arial" w:hAnsi="Arial"/>
          <w:sz w:val="22"/>
          <w:szCs w:val="22"/>
          <w:color w:val="auto"/>
        </w:rPr>
      </w:pPr>
    </w:p>
    <w:p>
      <w:pPr>
        <w:jc w:val="both"/>
        <w:ind w:left="660" w:hanging="328"/>
        <w:spacing w:after="0" w:line="257" w:lineRule="auto"/>
        <w:tabs>
          <w:tab w:leader="none" w:pos="6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by </w:t>
      </w:r>
      <w:r>
        <w:rPr>
          <w:rFonts w:ascii="Arial" w:cs="Arial" w:eastAsia="Arial" w:hAnsi="Arial"/>
          <w:sz w:val="21"/>
          <w:szCs w:val="21"/>
          <w:i w:val="1"/>
          <w:iCs w:val="1"/>
          <w:color w:val="auto"/>
        </w:rPr>
        <w:t>mail</w:t>
      </w:r>
      <w:r>
        <w:rPr>
          <w:rFonts w:ascii="Arial" w:cs="Arial" w:eastAsia="Arial" w:hAnsi="Arial"/>
          <w:sz w:val="21"/>
          <w:szCs w:val="21"/>
          <w:color w:val="auto"/>
        </w:rPr>
        <w:t xml:space="preserve">, by marking, signing, dating and mailing your Proxy Card or voting instruction form and returning it in the envelope provided. </w:t>
      </w:r>
      <w:r>
        <w:rPr>
          <w:rFonts w:ascii="Arial" w:cs="Arial" w:eastAsia="Arial" w:hAnsi="Arial"/>
          <w:sz w:val="21"/>
          <w:szCs w:val="21"/>
          <w:b w:val="1"/>
          <w:bCs w:val="1"/>
          <w:color w:val="auto"/>
        </w:rPr>
        <w:t>If you return your signed Proxy Card or voting instruction form but do not mark the boxes</w:t>
      </w:r>
      <w:r>
        <w:rPr>
          <w:rFonts w:ascii="Arial" w:cs="Arial" w:eastAsia="Arial" w:hAnsi="Arial"/>
          <w:sz w:val="21"/>
          <w:szCs w:val="21"/>
          <w:color w:val="auto"/>
        </w:rPr>
        <w:t xml:space="preserve"> </w:t>
      </w:r>
      <w:r>
        <w:rPr>
          <w:rFonts w:ascii="Arial" w:cs="Arial" w:eastAsia="Arial" w:hAnsi="Arial"/>
          <w:sz w:val="21"/>
          <w:szCs w:val="21"/>
          <w:b w:val="1"/>
          <w:bCs w:val="1"/>
          <w:color w:val="auto"/>
        </w:rPr>
        <w:t>showing how you wish to vote, your shares will be voted FOR Proposals 1 through 3; or</w:t>
      </w:r>
    </w:p>
    <w:p>
      <w:pPr>
        <w:spacing w:after="0" w:line="169" w:lineRule="exact"/>
        <w:rPr>
          <w:rFonts w:ascii="Arial" w:cs="Arial" w:eastAsia="Arial" w:hAnsi="Arial"/>
          <w:sz w:val="21"/>
          <w:szCs w:val="21"/>
          <w:color w:val="auto"/>
        </w:rPr>
      </w:pPr>
    </w:p>
    <w:p>
      <w:pPr>
        <w:ind w:left="660" w:right="44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 xml:space="preserve">during the Meeting, </w:t>
      </w:r>
      <w:r>
        <w:rPr>
          <w:rFonts w:ascii="Arial" w:cs="Arial" w:eastAsia="Arial" w:hAnsi="Arial"/>
          <w:sz w:val="22"/>
          <w:szCs w:val="22"/>
          <w:color w:val="auto"/>
        </w:rPr>
        <w:t>by using the unique 16-digit control number which appears on the proxy card,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if you are a record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owner</w:t>
      </w:r>
      <w:r>
        <w:rPr>
          <w:rFonts w:ascii="Arial" w:cs="Arial" w:eastAsia="Arial" w:hAnsi="Arial"/>
          <w:sz w:val="22"/>
          <w:szCs w:val="22"/>
          <w:color w:val="auto"/>
        </w:rPr>
        <w:t xml:space="preserve">; </w:t>
      </w:r>
      <w:r>
        <w:rPr>
          <w:rFonts w:ascii="Arial" w:cs="Arial" w:eastAsia="Arial" w:hAnsi="Arial"/>
          <w:sz w:val="22"/>
          <w:szCs w:val="22"/>
          <w:u w:val="single" w:color="auto"/>
          <w:color w:val="auto"/>
        </w:rPr>
        <w:t>if you are a beneficial owner</w:t>
      </w:r>
      <w:r>
        <w:rPr>
          <w:rFonts w:ascii="Arial" w:cs="Arial" w:eastAsia="Arial" w:hAnsi="Arial"/>
          <w:sz w:val="22"/>
          <w:szCs w:val="22"/>
          <w:color w:val="auto"/>
        </w:rPr>
        <w:t>, your 16-digit control number will be contained on the voting instruction form provided by your bank or broker.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deadline for voting by telephone or electronically through the Internet is 11:59 p.m. Eastern Time, April 21, 2021.</w:t>
      </w: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28"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Will my shares be voted if I do not provide my Proxy?</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It depends on whether you are a record owner or beneficial owner. If you are a record owner, your shares will NOT be voted unless you provide a Proxy or attend and vote online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74" w:lineRule="exact"/>
        <w:rPr>
          <w:sz w:val="20"/>
          <w:szCs w:val="20"/>
          <w:color w:val="auto"/>
        </w:rPr>
      </w:pPr>
    </w:p>
    <w:p>
      <w:pPr>
        <w:ind w:right="1680"/>
        <w:spacing w:after="0" w:line="438" w:lineRule="auto"/>
        <w:rPr>
          <w:sz w:val="20"/>
          <w:szCs w:val="20"/>
          <w:color w:val="auto"/>
        </w:rPr>
      </w:pPr>
      <w:r>
        <w:rPr>
          <w:rFonts w:ascii="Arial" w:cs="Arial" w:eastAsia="Arial" w:hAnsi="Arial"/>
          <w:sz w:val="22"/>
          <w:szCs w:val="22"/>
          <w:b w:val="1"/>
          <w:bCs w:val="1"/>
          <w:color w:val="auto"/>
        </w:rPr>
        <w:t>Beneficial Owners</w:t>
      </w:r>
      <w:r>
        <w:rPr>
          <w:rFonts w:ascii="Arial" w:cs="Arial" w:eastAsia="Arial" w:hAnsi="Arial"/>
          <w:sz w:val="22"/>
          <w:szCs w:val="22"/>
          <w:color w:val="auto"/>
        </w:rPr>
        <w:t>: The Company urges you to instruct your broker, bank or trust on how to vote your shares.</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What constitutes a quorum?</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presence, by attendance at the virtual Annual Meeting or by Proxy, of Shareholders entitled to cast a majority of votes will be necessary to constitute a quorum for the transaction of business at the Annual Meeting. WITHHOLD votes with respect to Director nominees and ABSTAIN votes will be counted in determining the presence of a quorum as well as shares subject to broker non-votes if the broker votes the shares on a routine matter, such as the ratification of the appointment of the Company’s independent auditors (Proposal 2). 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What vote is needed for the election of Directors, and what is the policy with respect to the resignation of Directors who do not receive a majority of the votes?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With regard to Proposal 1, Shareholders may vote FOR or WITHHOLD with respect to the election of Directors. Directors are elected by a plurality of the votes cast, by those in attendance at the virtual Annual Meeting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an incumbent does not receive the vote of at least a majority of the votes cast, the nominee will be deemed to have been elected to the Board by plurality vote and to have immediately resigned.</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469" w:right="339" w:bottom="1440" w:gutter="0" w:footer="0" w:header="0"/>
        </w:sectPr>
      </w:pPr>
    </w:p>
    <w:bookmarkStart w:id="17" w:name="page18"/>
    <w:bookmarkEnd w:id="17"/>
    <w:p>
      <w:pPr>
        <w:jc w:val="both"/>
        <w:spacing w:after="0" w:line="274" w:lineRule="auto"/>
        <w:rPr>
          <w:sz w:val="20"/>
          <w:szCs w:val="20"/>
          <w:color w:val="auto"/>
        </w:rPr>
      </w:pPr>
      <w:r>
        <w:rPr>
          <w:rFonts w:ascii="Arial" w:cs="Arial" w:eastAsia="Arial" w:hAnsi="Arial"/>
          <w:sz w:val="19"/>
          <w:szCs w:val="19"/>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needed to approve all other proposals?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Proposals 2 and 3 require a FOR vote of a majority of the votes cast, by those in attendance at the virtual Annual Meeting or by Proxy, in order to be approved.</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ABSTAIN votes and broker non-votes will not be considered as votes cast and will have no effect on the outcome of the votes on these proposals.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or revoke my vote after I have delivered my Proxy?</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You also may revoke any Proxy by voting your shares electronically during the Annual Meeting. If you are a beneficial owner, please follow the instructions provided by your broker, bank or trust with your voting instruction form if you wish to cast your vote electronically at the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attend the Annual Meeting?</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Our virtual Annual Meeting will be conducted on the Internet via webcast. Shareholders of record on March 2, 2021 will be able to participate online, vote their shares electronically and submit questions during the Annual Meeting by visiting:</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9650B"/>
        </w:rPr>
        <w:t>www.virtualshareholdingmeeting.com/CCK2021</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participate in the Annual Meeting, you will need the 16-digit control number included on your proxy card or your voting instruction form. The Annual Meeting will begin promptly at 9:30 a.m. Eastern Time. We encourage you to access the Annual Meeting prior to the start time. Online access will begin at 9:15 a.m. Eastern Time.</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virtual Annual Meeting platform is fully supported across browsers (Internet Explorer, Microsoft Edge, Firefox, Chrome and Safari) and devices (desktops, laptops, tablets and cell phones) running the most updated version of applicable software and plugins. Participants should ensure they have a strong Internet connection wherever they intend to participate in the Annual Meeting. Participants also should allow plenty of time to log in and ensure that they can hear streaming audio prior to the start of the Annual Meeting.</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Shareholders may submit questions during the Annual Meeting. If you wish to submit a question, you may do so by logging into the virtual meeting platform at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9650B"/>
        </w:rPr>
        <w:t>www.virtualshareholdingmeeting.com/CCK2021</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and typing your question into the “Ask a Question” field, and clicking “Submit.” Questions pertinent to the Annual Meeting will be answered during the Annual Meeting, subject to time constraints.</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901" w:right="339" w:bottom="1440" w:gutter="0" w:footer="0" w:header="0"/>
        </w:sectPr>
      </w:pPr>
    </w:p>
    <w:bookmarkStart w:id="18" w:name="page19"/>
    <w:bookmarkEnd w:id="18"/>
    <w:p>
      <w:pPr>
        <w:jc w:val="both"/>
        <w:spacing w:after="0"/>
        <w:rPr>
          <w:sz w:val="20"/>
          <w:szCs w:val="20"/>
          <w:color w:val="auto"/>
        </w:rPr>
      </w:pPr>
      <w:r>
        <w:rPr>
          <w:rFonts w:ascii="Arial" w:cs="Arial" w:eastAsia="Arial" w:hAnsi="Arial"/>
          <w:sz w:val="22"/>
          <w:szCs w:val="22"/>
          <w:color w:val="auto"/>
        </w:rPr>
        <w:t>If you encounter any difficulties accessing the virtual Annual Meeting during the check-in or meeting time, please call 844-986-0822 (Toll Free) or 303-562-9302 for assistance. Technical support will be available beginning at 9:15 a.m. Eastern Time on April 22, 2021 through the conclusion of the Annual Meeting.</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Additional information regarding matters addressing technical and logistical issues, including technical support during the Annual Meeting, will be available at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9650B"/>
        </w:rPr>
        <w:t>www.virtualshareholdingmeeting.com/CCK2021</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Where can I find voting results of the Annual Meeting?</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conducts the Proxy solicitation, and how much will it cost?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8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What is the deadline for proposals for consideration or for nominations of individuals to serve as Directors at the 2022 Annual Meeting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Proposals to be Considered for Inclusion in the Company’s Proxy Materials: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 order to be considered for inclusion in the Proxy Statement for the Company’s 2022 Annual Meeting</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770 Township Line Road, Yardley, PA 19067 not later than November 15,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Nominations for Inclusion in the Company’s Proxy Materials (Proxy Access):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16, 2021 nor after November 15,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Business and Director Nominations to Be Brought Before the 2022 Annual Meeting of Shareholders: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16, 2021 nor after November 15, 2021. The notice must describe various matters regarding the nominee or proposed business. Any Shareholder desiring a copy of the Company’s By-Laws will be furnished one copy without charge upon written request to the Corporate Secretary.</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469"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i w:val="1"/>
          <w:iCs w:val="1"/>
          <w:color w:val="auto"/>
        </w:rPr>
        <w:t>How can I access the Proxy materials on the Internet?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made available copies of the following materials at the Company’s website at: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29650B"/>
        </w:rPr>
        <w:t>www.crowncork.com/investors/proxy-online</w:t>
      </w: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this Proxy Statement</w:t>
      </w:r>
    </w:p>
    <w:p>
      <w:pPr>
        <w:spacing w:after="0" w:line="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Proxy Card relating to the Annual Meeting of Shareholders</w:t>
      </w: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Annual Report to Shareholders</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Information included on the Company’s website, other than this Proxy Statement, the Proxy Card and the Annual Report to Shareholders, is not part of the Proxy soliciting materials.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Whom should I contact to obtain a copy of the Annual Report on Form 10-K?</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filed its Annual Report on Form 10-K for the fiscal year ended December 31, 2020 with the SEC on February 26, 2021.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770 Township Line Road, Yardley, PA 19067 or you may call toll free 888-400-7789. Copies in electronic format of the Company’s Annual Report and filings with the SEC are available at the Company’s website at </w:t>
      </w:r>
      <w:r>
        <w:rPr>
          <w:rFonts w:ascii="Arial" w:cs="Arial" w:eastAsia="Arial" w:hAnsi="Arial"/>
          <w:sz w:val="19"/>
          <w:szCs w:val="19"/>
          <w:b w:val="1"/>
          <w:bCs w:val="1"/>
          <w:u w:val="single" w:color="auto"/>
          <w:color w:val="29650B"/>
        </w:rPr>
        <w:t>www.crowncork.com</w:t>
      </w:r>
      <w:r>
        <w:rPr>
          <w:rFonts w:ascii="Arial" w:cs="Arial" w:eastAsia="Arial" w:hAnsi="Arial"/>
          <w:sz w:val="19"/>
          <w:szCs w:val="19"/>
          <w:color w:val="auto"/>
        </w:rPr>
        <w:t xml:space="preserve"> in the “For Investors”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469" w:right="339" w:bottom="1440" w:gutter="0" w:footer="0" w:header="0"/>
        </w:sectPr>
      </w:pPr>
    </w:p>
    <w:bookmarkStart w:id="20" w:name="page21"/>
    <w:bookmarkEnd w:id="20"/>
    <w:p>
      <w:pPr>
        <w:spacing w:after="0"/>
        <w:rPr>
          <w:sz w:val="20"/>
          <w:szCs w:val="20"/>
          <w:color w:val="auto"/>
        </w:rPr>
      </w:pPr>
      <w:r>
        <w:rPr>
          <w:rFonts w:ascii="Arial" w:cs="Arial" w:eastAsia="Arial" w:hAnsi="Arial"/>
          <w:sz w:val="32"/>
          <w:szCs w:val="32"/>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By-Laws of the Company provide for a Board of Directors consisting of between 10 and 18 Directors, as determined by the Board of Directors. The Board of Directors has fixed the number of Directors at 13. It is intended that the Proxies will be voted for the election of the 13 nominees named below as Directors, and no more than 13 will be nominated by the Board. If all 13 director nominees are elected, the Board of Directors will consist of 13 Directors, 12 of whom, representing 92% of the Board, will be “independent” as defined in the NYSE listing standards.</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Board is committed to regular review of its composition to ensure that the Board continues to have the right mix of skills, background and tenure. This year’s Board nominees include one new Director – Dwayne Wilson. Six of the Company’s independent Directors have joined the Board in the last five years as a result of a Board refreshment process where Director candidates were identified through Board, Shareholder and third-party search firm input.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names of the nominees and information concerning them and their associations as of March 2, 2021,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263525</wp:posOffset>
            </wp:positionV>
            <wp:extent cx="7110730" cy="449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The Board of Directors Recommends that Shareholders Vote FOR Election</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of Each of the Nominees Named Below.</w:t>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449" w:right="339" w:bottom="1440" w:gutter="0" w:footer="0" w:header="0"/>
          <w:type w:val="continuous"/>
        </w:sectPr>
      </w:pPr>
    </w:p>
    <w:bookmarkStart w:id="21" w:name="page22"/>
    <w:bookmarkEnd w:id="21"/>
    <w:tbl>
      <w:tblPr>
        <w:tblLayout w:type="fixed"/>
        <w:tblInd w:w="10" w:type="dxa"/>
        <w:tblCellMar>
          <w:top w:w="0" w:type="dxa"/>
          <w:left w:w="0" w:type="dxa"/>
          <w:bottom w:w="0" w:type="dxa"/>
          <w:right w:w="0" w:type="dxa"/>
        </w:tblCellMar>
      </w:tblPr>
      <w:tr>
        <w:trPr>
          <w:trHeight w:val="211"/>
        </w:trPr>
        <w:tc>
          <w:tcPr>
            <w:tcW w:w="2100" w:type="dxa"/>
            <w:vAlign w:val="bottom"/>
            <w:tcBorders>
              <w:top w:val="single" w:sz="8" w:color="auto"/>
              <w:left w:val="single" w:sz="8" w:color="29650B"/>
            </w:tcBorders>
            <w:shd w:val="clear" w:color="auto" w:fill="29650B"/>
          </w:tcPr>
          <w:p>
            <w:pPr>
              <w:spacing w:after="0"/>
              <w:rPr>
                <w:sz w:val="18"/>
                <w:szCs w:val="18"/>
                <w:color w:val="auto"/>
              </w:rPr>
            </w:pPr>
          </w:p>
        </w:tc>
        <w:tc>
          <w:tcPr>
            <w:tcW w:w="960" w:type="dxa"/>
            <w:vAlign w:val="bottom"/>
            <w:tcBorders>
              <w:top w:val="single" w:sz="8" w:color="auto"/>
            </w:tcBorders>
            <w:shd w:val="clear" w:color="auto" w:fill="29650B"/>
          </w:tcPr>
          <w:p>
            <w:pPr>
              <w:spacing w:after="0"/>
              <w:rPr>
                <w:sz w:val="18"/>
                <w:szCs w:val="18"/>
                <w:color w:val="auto"/>
              </w:rPr>
            </w:pPr>
          </w:p>
        </w:tc>
        <w:tc>
          <w:tcPr>
            <w:tcW w:w="6680" w:type="dxa"/>
            <w:vAlign w:val="bottom"/>
            <w:tcBorders>
              <w:top w:val="single" w:sz="8" w:color="auto"/>
            </w:tcBorders>
            <w:shd w:val="clear" w:color="auto" w:fill="29650B"/>
          </w:tcPr>
          <w:p>
            <w:pPr>
              <w:spacing w:after="0"/>
              <w:rPr>
                <w:sz w:val="18"/>
                <w:szCs w:val="18"/>
                <w:color w:val="auto"/>
              </w:rPr>
            </w:pPr>
          </w:p>
        </w:tc>
        <w:tc>
          <w:tcPr>
            <w:tcW w:w="1500" w:type="dxa"/>
            <w:vAlign w:val="bottom"/>
            <w:tcBorders>
              <w:top w:val="single" w:sz="8" w:color="auto"/>
            </w:tcBorders>
            <w:shd w:val="clear" w:color="auto" w:fill="29650B"/>
          </w:tcPr>
          <w:p>
            <w:pPr>
              <w:jc w:val="center"/>
              <w:ind w:right="90"/>
              <w:spacing w:after="0"/>
              <w:rPr>
                <w:sz w:val="20"/>
                <w:szCs w:val="20"/>
                <w:color w:val="auto"/>
              </w:rPr>
            </w:pPr>
            <w:r>
              <w:rPr>
                <w:rFonts w:ascii="Arial" w:cs="Arial" w:eastAsia="Arial" w:hAnsi="Arial"/>
                <w:sz w:val="18"/>
                <w:szCs w:val="18"/>
                <w:b w:val="1"/>
                <w:bCs w:val="1"/>
                <w:color w:val="FFFFFF"/>
                <w:w w:val="88"/>
              </w:rPr>
              <w:t>Year Became</w:t>
            </w:r>
          </w:p>
        </w:tc>
        <w:tc>
          <w:tcPr>
            <w:tcW w:w="20" w:type="dxa"/>
            <w:vAlign w:val="bottom"/>
          </w:tcPr>
          <w:p>
            <w:pPr>
              <w:spacing w:after="0"/>
              <w:rPr>
                <w:sz w:val="18"/>
                <w:szCs w:val="18"/>
                <w:color w:val="auto"/>
              </w:rPr>
            </w:pPr>
          </w:p>
        </w:tc>
      </w:tr>
      <w:tr>
        <w:trPr>
          <w:trHeight w:val="234"/>
        </w:trPr>
        <w:tc>
          <w:tcPr>
            <w:tcW w:w="2100" w:type="dxa"/>
            <w:vAlign w:val="bottom"/>
            <w:tcBorders>
              <w:left w:val="single" w:sz="8" w:color="29650B"/>
            </w:tcBorders>
            <w:shd w:val="clear" w:color="auto" w:fill="29650B"/>
          </w:tcPr>
          <w:p>
            <w:pPr>
              <w:ind w:left="1020"/>
              <w:spacing w:after="0"/>
              <w:rPr>
                <w:sz w:val="20"/>
                <w:szCs w:val="20"/>
                <w:color w:val="auto"/>
              </w:rPr>
            </w:pPr>
            <w:r>
              <w:rPr>
                <w:rFonts w:ascii="Arial" w:cs="Arial" w:eastAsia="Arial" w:hAnsi="Arial"/>
                <w:sz w:val="18"/>
                <w:szCs w:val="18"/>
                <w:b w:val="1"/>
                <w:bCs w:val="1"/>
                <w:color w:val="FFFFFF"/>
              </w:rPr>
              <w:t>Name</w:t>
            </w:r>
          </w:p>
        </w:tc>
        <w:tc>
          <w:tcPr>
            <w:tcW w:w="960" w:type="dxa"/>
            <w:vAlign w:val="bottom"/>
            <w:shd w:val="clear" w:color="auto" w:fill="29650B"/>
          </w:tcPr>
          <w:p>
            <w:pPr>
              <w:jc w:val="center"/>
              <w:ind w:left="290"/>
              <w:spacing w:after="0"/>
              <w:rPr>
                <w:sz w:val="20"/>
                <w:szCs w:val="20"/>
                <w:color w:val="auto"/>
              </w:rPr>
            </w:pPr>
            <w:r>
              <w:rPr>
                <w:rFonts w:ascii="Arial" w:cs="Arial" w:eastAsia="Arial" w:hAnsi="Arial"/>
                <w:sz w:val="18"/>
                <w:szCs w:val="18"/>
                <w:b w:val="1"/>
                <w:bCs w:val="1"/>
                <w:color w:val="FFFFFF"/>
                <w:w w:val="88"/>
              </w:rPr>
              <w:t>Age</w:t>
            </w:r>
          </w:p>
        </w:tc>
        <w:tc>
          <w:tcPr>
            <w:tcW w:w="6680" w:type="dxa"/>
            <w:vAlign w:val="bottom"/>
            <w:shd w:val="clear" w:color="auto" w:fill="29650B"/>
          </w:tcPr>
          <w:p>
            <w:pPr>
              <w:ind w:left="2440"/>
              <w:spacing w:after="0"/>
              <w:rPr>
                <w:sz w:val="20"/>
                <w:szCs w:val="20"/>
                <w:color w:val="auto"/>
              </w:rPr>
            </w:pPr>
            <w:r>
              <w:rPr>
                <w:rFonts w:ascii="Arial" w:cs="Arial" w:eastAsia="Arial" w:hAnsi="Arial"/>
                <w:sz w:val="18"/>
                <w:szCs w:val="18"/>
                <w:b w:val="1"/>
                <w:bCs w:val="1"/>
                <w:color w:val="FFFFFF"/>
              </w:rPr>
              <w:t>Principal Occupation</w:t>
            </w:r>
          </w:p>
        </w:tc>
        <w:tc>
          <w:tcPr>
            <w:tcW w:w="1500" w:type="dxa"/>
            <w:vAlign w:val="bottom"/>
            <w:shd w:val="clear" w:color="auto" w:fill="29650B"/>
          </w:tcPr>
          <w:p>
            <w:pPr>
              <w:jc w:val="center"/>
              <w:ind w:right="90"/>
              <w:spacing w:after="0"/>
              <w:rPr>
                <w:sz w:val="20"/>
                <w:szCs w:val="20"/>
                <w:color w:val="auto"/>
              </w:rPr>
            </w:pPr>
            <w:r>
              <w:rPr>
                <w:rFonts w:ascii="Arial" w:cs="Arial" w:eastAsia="Arial" w:hAnsi="Arial"/>
                <w:sz w:val="18"/>
                <w:szCs w:val="18"/>
                <w:b w:val="1"/>
                <w:bCs w:val="1"/>
                <w:color w:val="FFFFFF"/>
                <w:w w:val="92"/>
              </w:rPr>
              <w:t>Director</w:t>
            </w:r>
          </w:p>
        </w:tc>
        <w:tc>
          <w:tcPr>
            <w:tcW w:w="20" w:type="dxa"/>
            <w:vAlign w:val="bottom"/>
          </w:tcPr>
          <w:p>
            <w:pPr>
              <w:spacing w:after="0"/>
              <w:rPr>
                <w:sz w:val="20"/>
                <w:szCs w:val="20"/>
                <w:color w:val="auto"/>
              </w:rPr>
            </w:pPr>
          </w:p>
        </w:tc>
      </w:tr>
      <w:tr>
        <w:trPr>
          <w:trHeight w:val="418"/>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John W. Conway</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75</w:t>
            </w:r>
          </w:p>
        </w:tc>
        <w:tc>
          <w:tcPr>
            <w:tcW w:w="6680" w:type="dxa"/>
            <w:vAlign w:val="bottom"/>
          </w:tcPr>
          <w:p>
            <w:pPr>
              <w:spacing w:after="0"/>
              <w:rPr>
                <w:sz w:val="20"/>
                <w:szCs w:val="20"/>
                <w:color w:val="auto"/>
              </w:rPr>
            </w:pPr>
            <w:r>
              <w:rPr>
                <w:rFonts w:ascii="Arial" w:cs="Arial" w:eastAsia="Arial" w:hAnsi="Arial"/>
                <w:sz w:val="18"/>
                <w:szCs w:val="18"/>
                <w:color w:val="auto"/>
              </w:rPr>
              <w:t>Chairman of the Board and former Chief Executive Officer of the Company; also a</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1997</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Director of PPL Corporation</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16"/>
        </w:trPr>
        <w:tc>
          <w:tcPr>
            <w:tcW w:w="210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Timothy J. Donahue</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58</w:t>
            </w:r>
          </w:p>
        </w:tc>
        <w:tc>
          <w:tcPr>
            <w:tcW w:w="6680" w:type="dxa"/>
            <w:vAlign w:val="bottom"/>
            <w:shd w:val="clear" w:color="auto" w:fill="D9D9D9"/>
          </w:tcPr>
          <w:p>
            <w:pPr>
              <w:ind w:left="100"/>
              <w:spacing w:after="0"/>
              <w:rPr>
                <w:sz w:val="20"/>
                <w:szCs w:val="20"/>
                <w:color w:val="auto"/>
              </w:rPr>
            </w:pPr>
            <w:r>
              <w:rPr>
                <w:rFonts w:ascii="Arial" w:cs="Arial" w:eastAsia="Arial" w:hAnsi="Arial"/>
                <w:sz w:val="18"/>
                <w:szCs w:val="18"/>
                <w:color w:val="auto"/>
              </w:rPr>
              <w:t>President and Chief Executive Officer of the Company</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2015</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(a)</w:t>
            </w:r>
          </w:p>
        </w:tc>
        <w:tc>
          <w:tcPr>
            <w:tcW w:w="960" w:type="dxa"/>
            <w:vAlign w:val="bottom"/>
            <w:shd w:val="clear" w:color="auto" w:fill="D9D9D9"/>
          </w:tcPr>
          <w:p>
            <w:pPr>
              <w:spacing w:after="0"/>
              <w:rPr>
                <w:sz w:val="20"/>
                <w:szCs w:val="20"/>
                <w:color w:val="auto"/>
              </w:rPr>
            </w:pPr>
          </w:p>
        </w:tc>
        <w:tc>
          <w:tcPr>
            <w:tcW w:w="6680" w:type="dxa"/>
            <w:vAlign w:val="bottom"/>
            <w:shd w:val="clear" w:color="auto" w:fill="D9D9D9"/>
          </w:tcPr>
          <w:p>
            <w:pPr>
              <w:spacing w:after="0"/>
              <w:rPr>
                <w:sz w:val="20"/>
                <w:szCs w:val="20"/>
                <w:color w:val="auto"/>
              </w:rPr>
            </w:pPr>
          </w:p>
        </w:tc>
        <w:tc>
          <w:tcPr>
            <w:tcW w:w="1500" w:type="dxa"/>
            <w:vAlign w:val="bottom"/>
            <w:shd w:val="clear" w:color="auto" w:fill="D9D9D9"/>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313"/>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Richard H. Fearon</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64</w:t>
            </w:r>
          </w:p>
        </w:tc>
        <w:tc>
          <w:tcPr>
            <w:tcW w:w="6680" w:type="dxa"/>
            <w:vAlign w:val="bottom"/>
          </w:tcPr>
          <w:p>
            <w:pPr>
              <w:spacing w:after="0"/>
              <w:rPr>
                <w:sz w:val="20"/>
                <w:szCs w:val="20"/>
                <w:color w:val="auto"/>
              </w:rPr>
            </w:pPr>
            <w:r>
              <w:rPr>
                <w:rFonts w:ascii="Arial" w:cs="Arial" w:eastAsia="Arial" w:hAnsi="Arial"/>
                <w:sz w:val="18"/>
                <w:szCs w:val="18"/>
                <w:color w:val="auto"/>
              </w:rPr>
              <w:t>Vice Chairman and Chief Financial and Planning Officer and Director of Eaton</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20" w:type="dxa"/>
            <w:vAlign w:val="bottom"/>
            <w:shd w:val="clear" w:color="auto" w:fill="000000"/>
          </w:tcPr>
          <w:p>
            <w:pPr>
              <w:spacing w:after="0"/>
              <w:rPr>
                <w:sz w:val="24"/>
                <w:szCs w:val="24"/>
                <w:color w:val="auto"/>
              </w:rPr>
            </w:pPr>
          </w:p>
        </w:tc>
      </w:tr>
      <w:tr>
        <w:trPr>
          <w:trHeight w:val="321"/>
        </w:trPr>
        <w:tc>
          <w:tcPr>
            <w:tcW w:w="210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680" w:type="dxa"/>
            <w:vAlign w:val="bottom"/>
          </w:tcPr>
          <w:p>
            <w:pPr>
              <w:spacing w:after="0" w:line="321" w:lineRule="exact"/>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[1]</w:t>
            </w:r>
            <w:r>
              <w:rPr>
                <w:rFonts w:ascii="Arial" w:cs="Arial" w:eastAsia="Arial" w:hAnsi="Arial"/>
                <w:sz w:val="18"/>
                <w:szCs w:val="18"/>
                <w:color w:val="auto"/>
              </w:rPr>
              <w:t>; also a Director of Avient Corporation and CRH plc</w:t>
            </w:r>
          </w:p>
        </w:tc>
        <w:tc>
          <w:tcPr>
            <w:tcW w:w="15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Andrea J. Funk</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51</w:t>
            </w:r>
          </w:p>
        </w:tc>
        <w:tc>
          <w:tcPr>
            <w:tcW w:w="6680" w:type="dxa"/>
            <w:vAlign w:val="bottom"/>
            <w:shd w:val="clear" w:color="auto" w:fill="D9D9D9"/>
          </w:tcPr>
          <w:p>
            <w:pPr>
              <w:spacing w:after="0"/>
              <w:rPr>
                <w:sz w:val="20"/>
                <w:szCs w:val="20"/>
                <w:color w:val="auto"/>
              </w:rPr>
            </w:pPr>
            <w:r>
              <w:rPr>
                <w:rFonts w:ascii="Arial" w:cs="Arial" w:eastAsia="Arial" w:hAnsi="Arial"/>
                <w:sz w:val="18"/>
                <w:szCs w:val="18"/>
                <w:color w:val="auto"/>
                <w:w w:val="99"/>
              </w:rPr>
              <w:t>VP Finance, Americas of EnerSys; former Chief Executive Officer of Cambridge-Lee</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2017</w:t>
            </w:r>
          </w:p>
        </w:tc>
        <w:tc>
          <w:tcPr>
            <w:tcW w:w="20" w:type="dxa"/>
            <w:vAlign w:val="bottom"/>
            <w:shd w:val="clear" w:color="auto" w:fill="000000"/>
          </w:tcPr>
          <w:p>
            <w:pPr>
              <w:spacing w:after="0"/>
              <w:rPr>
                <w:sz w:val="24"/>
                <w:szCs w:val="24"/>
                <w:color w:val="auto"/>
              </w:rPr>
            </w:pPr>
          </w:p>
        </w:tc>
      </w:tr>
      <w:tr>
        <w:trPr>
          <w:trHeight w:val="264"/>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(b) (c)</w:t>
            </w:r>
          </w:p>
        </w:tc>
        <w:tc>
          <w:tcPr>
            <w:tcW w:w="960" w:type="dxa"/>
            <w:vAlign w:val="bottom"/>
            <w:tcBorders>
              <w:bottom w:val="single" w:sz="8" w:color="D9D9D9"/>
            </w:tcBorders>
            <w:shd w:val="clear" w:color="auto" w:fill="D9D9D9"/>
          </w:tcPr>
          <w:p>
            <w:pPr>
              <w:spacing w:after="0"/>
              <w:rPr>
                <w:sz w:val="22"/>
                <w:szCs w:val="22"/>
                <w:color w:val="auto"/>
              </w:rPr>
            </w:pPr>
          </w:p>
        </w:tc>
        <w:tc>
          <w:tcPr>
            <w:tcW w:w="668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color w:val="auto"/>
              </w:rPr>
              <w:t>Industries; former Director of Destination Maternity Corporation</w:t>
            </w:r>
          </w:p>
        </w:tc>
        <w:tc>
          <w:tcPr>
            <w:tcW w:w="1500" w:type="dxa"/>
            <w:vAlign w:val="bottom"/>
            <w:tcBorders>
              <w:bottom w:val="single" w:sz="8" w:color="D9D9D9"/>
            </w:tcBorders>
            <w:shd w:val="clear" w:color="auto" w:fill="D9D9D9"/>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31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Stephen J. Hagge</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69</w:t>
            </w:r>
          </w:p>
        </w:tc>
        <w:tc>
          <w:tcPr>
            <w:tcW w:w="6680" w:type="dxa"/>
            <w:vAlign w:val="bottom"/>
          </w:tcPr>
          <w:p>
            <w:pPr>
              <w:spacing w:after="0"/>
              <w:rPr>
                <w:sz w:val="20"/>
                <w:szCs w:val="20"/>
                <w:color w:val="auto"/>
              </w:rPr>
            </w:pPr>
            <w:r>
              <w:rPr>
                <w:rFonts w:ascii="Arial" w:cs="Arial" w:eastAsia="Arial" w:hAnsi="Arial"/>
                <w:sz w:val="18"/>
                <w:szCs w:val="18"/>
                <w:color w:val="auto"/>
                <w:w w:val="95"/>
              </w:rPr>
              <w:t>Former President, Chief Executive Officer and Director of AptarGroup; also a Director of</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CF Industries Holdings</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108"/>
        </w:trPr>
        <w:tc>
          <w:tcPr>
            <w:tcW w:w="2100" w:type="dxa"/>
            <w:vAlign w:val="bottom"/>
            <w:tcBorders>
              <w:lef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Rose Lee</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55</w:t>
            </w:r>
          </w:p>
        </w:tc>
        <w:tc>
          <w:tcPr>
            <w:tcW w:w="6680" w:type="dxa"/>
            <w:vAlign w:val="bottom"/>
            <w:shd w:val="clear" w:color="auto" w:fill="D9D9D9"/>
          </w:tcPr>
          <w:p>
            <w:pPr>
              <w:ind w:left="100"/>
              <w:spacing w:after="0"/>
              <w:rPr>
                <w:sz w:val="20"/>
                <w:szCs w:val="20"/>
                <w:color w:val="auto"/>
              </w:rPr>
            </w:pPr>
            <w:r>
              <w:rPr>
                <w:rFonts w:ascii="Arial" w:cs="Arial" w:eastAsia="Arial" w:hAnsi="Arial"/>
                <w:sz w:val="18"/>
                <w:szCs w:val="18"/>
                <w:color w:val="auto"/>
              </w:rPr>
              <w:t>President of DuPont Water &amp; Protection</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w:t>
            </w:r>
          </w:p>
        </w:tc>
        <w:tc>
          <w:tcPr>
            <w:tcW w:w="960" w:type="dxa"/>
            <w:vAlign w:val="bottom"/>
            <w:shd w:val="clear" w:color="auto" w:fill="D9D9D9"/>
          </w:tcPr>
          <w:p>
            <w:pPr>
              <w:spacing w:after="0"/>
              <w:rPr>
                <w:sz w:val="20"/>
                <w:szCs w:val="20"/>
                <w:color w:val="auto"/>
              </w:rPr>
            </w:pPr>
          </w:p>
        </w:tc>
        <w:tc>
          <w:tcPr>
            <w:tcW w:w="6680" w:type="dxa"/>
            <w:vAlign w:val="bottom"/>
            <w:shd w:val="clear" w:color="auto" w:fill="D9D9D9"/>
          </w:tcPr>
          <w:p>
            <w:pPr>
              <w:spacing w:after="0"/>
              <w:rPr>
                <w:sz w:val="20"/>
                <w:szCs w:val="20"/>
                <w:color w:val="auto"/>
              </w:rPr>
            </w:pPr>
          </w:p>
        </w:tc>
        <w:tc>
          <w:tcPr>
            <w:tcW w:w="1500" w:type="dxa"/>
            <w:vAlign w:val="bottom"/>
            <w:shd w:val="clear" w:color="auto" w:fill="D9D9D9"/>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31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James H. Miller</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72</w:t>
            </w:r>
          </w:p>
        </w:tc>
        <w:tc>
          <w:tcPr>
            <w:tcW w:w="6680" w:type="dxa"/>
            <w:vAlign w:val="bottom"/>
          </w:tcPr>
          <w:p>
            <w:pPr>
              <w:spacing w:after="0"/>
              <w:rPr>
                <w:sz w:val="20"/>
                <w:szCs w:val="20"/>
                <w:color w:val="auto"/>
              </w:rPr>
            </w:pPr>
            <w:r>
              <w:rPr>
                <w:rFonts w:ascii="Arial" w:cs="Arial" w:eastAsia="Arial" w:hAnsi="Arial"/>
                <w:sz w:val="18"/>
                <w:szCs w:val="18"/>
                <w:color w:val="auto"/>
                <w:w w:val="99"/>
              </w:rPr>
              <w:t>Former Chairman and Chief Executive Officer of PPL Corporation; also a Director of</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2010</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 (c) (d)</w:t>
            </w: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AES Corporation</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Josef M. Müller</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73</w:t>
            </w:r>
          </w:p>
        </w:tc>
        <w:tc>
          <w:tcPr>
            <w:tcW w:w="6680" w:type="dxa"/>
            <w:vAlign w:val="bottom"/>
            <w:shd w:val="clear" w:color="auto" w:fill="D9D9D9"/>
          </w:tcPr>
          <w:p>
            <w:pPr>
              <w:spacing w:after="0"/>
              <w:rPr>
                <w:sz w:val="20"/>
                <w:szCs w:val="20"/>
                <w:color w:val="auto"/>
              </w:rPr>
            </w:pPr>
            <w:r>
              <w:rPr>
                <w:rFonts w:ascii="Arial" w:cs="Arial" w:eastAsia="Arial" w:hAnsi="Arial"/>
                <w:sz w:val="18"/>
                <w:szCs w:val="18"/>
                <w:color w:val="auto"/>
                <w:w w:val="99"/>
              </w:rPr>
              <w:t>Former Chairman and Chief Executive Officer of Nestlé in the Greater China Region</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2011</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(b) (c)</w:t>
            </w:r>
          </w:p>
        </w:tc>
        <w:tc>
          <w:tcPr>
            <w:tcW w:w="960" w:type="dxa"/>
            <w:vAlign w:val="bottom"/>
            <w:shd w:val="clear" w:color="auto" w:fill="D9D9D9"/>
          </w:tcPr>
          <w:p>
            <w:pPr>
              <w:spacing w:after="0"/>
              <w:rPr>
                <w:sz w:val="20"/>
                <w:szCs w:val="20"/>
                <w:color w:val="auto"/>
              </w:rPr>
            </w:pPr>
          </w:p>
        </w:tc>
        <w:tc>
          <w:tcPr>
            <w:tcW w:w="6680" w:type="dxa"/>
            <w:vAlign w:val="bottom"/>
            <w:shd w:val="clear" w:color="auto" w:fill="D9D9D9"/>
          </w:tcPr>
          <w:p>
            <w:pPr>
              <w:spacing w:after="0"/>
              <w:rPr>
                <w:sz w:val="20"/>
                <w:szCs w:val="20"/>
                <w:color w:val="auto"/>
              </w:rPr>
            </w:pPr>
          </w:p>
        </w:tc>
        <w:tc>
          <w:tcPr>
            <w:tcW w:w="1500" w:type="dxa"/>
            <w:vAlign w:val="bottom"/>
            <w:shd w:val="clear" w:color="auto" w:fill="D9D9D9"/>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31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 Craig Owens</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66</w:t>
            </w:r>
          </w:p>
        </w:tc>
        <w:tc>
          <w:tcPr>
            <w:tcW w:w="6680" w:type="dxa"/>
            <w:vAlign w:val="bottom"/>
          </w:tcPr>
          <w:p>
            <w:pPr>
              <w:spacing w:after="0"/>
              <w:rPr>
                <w:sz w:val="20"/>
                <w:szCs w:val="20"/>
                <w:color w:val="auto"/>
              </w:rPr>
            </w:pPr>
            <w:r>
              <w:rPr>
                <w:rFonts w:ascii="Arial" w:cs="Arial" w:eastAsia="Arial" w:hAnsi="Arial"/>
                <w:sz w:val="18"/>
                <w:szCs w:val="18"/>
                <w:color w:val="auto"/>
              </w:rPr>
              <w:t>Former Chief Financial Officer and Chief Administrative Officer of Campbell Soup</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2019</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Company; also a Director of AptarGroup; former Director of J.C. Penney Company</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Caesar F. Sweitzer</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70</w:t>
            </w:r>
          </w:p>
        </w:tc>
        <w:tc>
          <w:tcPr>
            <w:tcW w:w="6680" w:type="dxa"/>
            <w:vAlign w:val="bottom"/>
            <w:shd w:val="clear" w:color="auto" w:fill="D9D9D9"/>
          </w:tcPr>
          <w:p>
            <w:pPr>
              <w:spacing w:after="0"/>
              <w:rPr>
                <w:sz w:val="20"/>
                <w:szCs w:val="20"/>
                <w:color w:val="auto"/>
              </w:rPr>
            </w:pPr>
            <w:r>
              <w:rPr>
                <w:rFonts w:ascii="Arial" w:cs="Arial" w:eastAsia="Arial" w:hAnsi="Arial"/>
                <w:sz w:val="18"/>
                <w:szCs w:val="18"/>
                <w:color w:val="auto"/>
              </w:rPr>
              <w:t>Former Senior Advisor and Managing Director of Citigroup Global Markets</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2014</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(a) (b) (d)</w:t>
            </w:r>
          </w:p>
        </w:tc>
        <w:tc>
          <w:tcPr>
            <w:tcW w:w="960" w:type="dxa"/>
            <w:vAlign w:val="bottom"/>
            <w:shd w:val="clear" w:color="auto" w:fill="D9D9D9"/>
          </w:tcPr>
          <w:p>
            <w:pPr>
              <w:spacing w:after="0"/>
              <w:rPr>
                <w:sz w:val="20"/>
                <w:szCs w:val="20"/>
                <w:color w:val="auto"/>
              </w:rPr>
            </w:pPr>
          </w:p>
        </w:tc>
        <w:tc>
          <w:tcPr>
            <w:tcW w:w="6680" w:type="dxa"/>
            <w:vAlign w:val="bottom"/>
            <w:shd w:val="clear" w:color="auto" w:fill="D9D9D9"/>
          </w:tcPr>
          <w:p>
            <w:pPr>
              <w:spacing w:after="0"/>
              <w:rPr>
                <w:sz w:val="20"/>
                <w:szCs w:val="20"/>
                <w:color w:val="auto"/>
              </w:rPr>
            </w:pPr>
          </w:p>
        </w:tc>
        <w:tc>
          <w:tcPr>
            <w:tcW w:w="1500" w:type="dxa"/>
            <w:vAlign w:val="bottom"/>
            <w:shd w:val="clear" w:color="auto" w:fill="D9D9D9"/>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31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Jim L. Turner</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75</w:t>
            </w:r>
          </w:p>
        </w:tc>
        <w:tc>
          <w:tcPr>
            <w:tcW w:w="6680" w:type="dxa"/>
            <w:vAlign w:val="bottom"/>
          </w:tcPr>
          <w:p>
            <w:pPr>
              <w:spacing w:after="0"/>
              <w:rPr>
                <w:sz w:val="20"/>
                <w:szCs w:val="20"/>
                <w:color w:val="auto"/>
              </w:rPr>
            </w:pPr>
            <w:r>
              <w:rPr>
                <w:rFonts w:ascii="Arial" w:cs="Arial" w:eastAsia="Arial" w:hAnsi="Arial"/>
                <w:sz w:val="18"/>
                <w:szCs w:val="18"/>
                <w:color w:val="auto"/>
              </w:rPr>
              <w:t>Chief Executive Officer of JLT Beverages; former Chairman, President and Chief</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2005</w:t>
            </w:r>
          </w:p>
        </w:tc>
        <w:tc>
          <w:tcPr>
            <w:tcW w:w="20" w:type="dxa"/>
            <w:vAlign w:val="bottom"/>
            <w:shd w:val="clear" w:color="auto" w:fill="000000"/>
          </w:tcPr>
          <w:p>
            <w:pPr>
              <w:spacing w:after="0"/>
              <w:rPr>
                <w:sz w:val="24"/>
                <w:szCs w:val="24"/>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 (c) (d)</w:t>
            </w:r>
          </w:p>
        </w:tc>
        <w:tc>
          <w:tcPr>
            <w:tcW w:w="9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w w:val="98"/>
              </w:rPr>
              <w:t>Executive Officer of Dr Pepper/Seven Up Bottling Group; also a Director of Comstock</w:t>
            </w:r>
          </w:p>
        </w:tc>
        <w:tc>
          <w:tcPr>
            <w:tcW w:w="1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0"/>
        </w:trPr>
        <w:tc>
          <w:tcPr>
            <w:tcW w:w="210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Resources</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r>
      <w:tr>
        <w:trPr>
          <w:trHeight w:val="31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William S. Urkiel</w:t>
            </w:r>
          </w:p>
        </w:tc>
        <w:tc>
          <w:tcPr>
            <w:tcW w:w="960" w:type="dxa"/>
            <w:vAlign w:val="bottom"/>
            <w:shd w:val="clear" w:color="auto" w:fill="D9D9D9"/>
          </w:tcPr>
          <w:p>
            <w:pPr>
              <w:jc w:val="center"/>
              <w:ind w:left="290"/>
              <w:spacing w:after="0"/>
              <w:rPr>
                <w:sz w:val="20"/>
                <w:szCs w:val="20"/>
                <w:color w:val="auto"/>
              </w:rPr>
            </w:pPr>
            <w:r>
              <w:rPr>
                <w:rFonts w:ascii="Arial" w:cs="Arial" w:eastAsia="Arial" w:hAnsi="Arial"/>
                <w:sz w:val="18"/>
                <w:szCs w:val="18"/>
                <w:color w:val="auto"/>
                <w:w w:val="89"/>
              </w:rPr>
              <w:t>75</w:t>
            </w:r>
          </w:p>
        </w:tc>
        <w:tc>
          <w:tcPr>
            <w:tcW w:w="6680" w:type="dxa"/>
            <w:vAlign w:val="bottom"/>
            <w:shd w:val="clear" w:color="auto" w:fill="D9D9D9"/>
          </w:tcPr>
          <w:p>
            <w:pPr>
              <w:spacing w:after="0"/>
              <w:rPr>
                <w:sz w:val="20"/>
                <w:szCs w:val="20"/>
                <w:color w:val="auto"/>
              </w:rPr>
            </w:pPr>
            <w:r>
              <w:rPr>
                <w:rFonts w:ascii="Arial" w:cs="Arial" w:eastAsia="Arial" w:hAnsi="Arial"/>
                <w:sz w:val="18"/>
                <w:szCs w:val="18"/>
                <w:color w:val="auto"/>
              </w:rPr>
              <w:t>Former Senior Vice President and Chief Financial Officer of IKON Office Solutions;</w:t>
            </w:r>
          </w:p>
        </w:tc>
        <w:tc>
          <w:tcPr>
            <w:tcW w:w="1500" w:type="dxa"/>
            <w:vAlign w:val="bottom"/>
            <w:shd w:val="clear" w:color="auto" w:fill="D9D9D9"/>
          </w:tcPr>
          <w:p>
            <w:pPr>
              <w:jc w:val="center"/>
              <w:ind w:right="90"/>
              <w:spacing w:after="0"/>
              <w:rPr>
                <w:sz w:val="20"/>
                <w:szCs w:val="20"/>
                <w:color w:val="auto"/>
              </w:rPr>
            </w:pPr>
            <w:r>
              <w:rPr>
                <w:rFonts w:ascii="Arial" w:cs="Arial" w:eastAsia="Arial" w:hAnsi="Arial"/>
                <w:sz w:val="18"/>
                <w:szCs w:val="18"/>
                <w:color w:val="auto"/>
                <w:w w:val="89"/>
              </w:rPr>
              <w:t>2004</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(b) (d)</w:t>
            </w:r>
          </w:p>
        </w:tc>
        <w:tc>
          <w:tcPr>
            <w:tcW w:w="960" w:type="dxa"/>
            <w:vAlign w:val="bottom"/>
            <w:shd w:val="clear" w:color="auto" w:fill="D9D9D9"/>
          </w:tcPr>
          <w:p>
            <w:pPr>
              <w:spacing w:after="0"/>
              <w:rPr>
                <w:sz w:val="20"/>
                <w:szCs w:val="20"/>
                <w:color w:val="auto"/>
              </w:rPr>
            </w:pPr>
          </w:p>
        </w:tc>
        <w:tc>
          <w:tcPr>
            <w:tcW w:w="6680" w:type="dxa"/>
            <w:vAlign w:val="bottom"/>
            <w:shd w:val="clear" w:color="auto" w:fill="D9D9D9"/>
          </w:tcPr>
          <w:p>
            <w:pPr>
              <w:spacing w:after="0"/>
              <w:rPr>
                <w:sz w:val="20"/>
                <w:szCs w:val="20"/>
                <w:color w:val="auto"/>
              </w:rPr>
            </w:pPr>
            <w:r>
              <w:rPr>
                <w:rFonts w:ascii="Arial" w:cs="Arial" w:eastAsia="Arial" w:hAnsi="Arial"/>
                <w:sz w:val="18"/>
                <w:szCs w:val="18"/>
                <w:color w:val="auto"/>
              </w:rPr>
              <w:t>former Director of Roadrunner Transportation Systems</w:t>
            </w:r>
          </w:p>
        </w:tc>
        <w:tc>
          <w:tcPr>
            <w:tcW w:w="1500" w:type="dxa"/>
            <w:vAlign w:val="bottom"/>
            <w:shd w:val="clear" w:color="auto" w:fill="D9D9D9"/>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68"/>
        </w:trPr>
        <w:tc>
          <w:tcPr>
            <w:tcW w:w="2100" w:type="dxa"/>
            <w:vAlign w:val="bottom"/>
            <w:tcBorders>
              <w:left w:val="single" w:sz="8" w:color="auto"/>
            </w:tcBorders>
            <w:shd w:val="clear" w:color="auto" w:fill="D9D9D9"/>
          </w:tcPr>
          <w:p>
            <w:pPr>
              <w:spacing w:after="0"/>
              <w:rPr>
                <w:sz w:val="5"/>
                <w:szCs w:val="5"/>
                <w:color w:val="auto"/>
              </w:rPr>
            </w:pPr>
          </w:p>
        </w:tc>
        <w:tc>
          <w:tcPr>
            <w:tcW w:w="960" w:type="dxa"/>
            <w:vAlign w:val="bottom"/>
            <w:shd w:val="clear" w:color="auto" w:fill="D9D9D9"/>
          </w:tcPr>
          <w:p>
            <w:pPr>
              <w:spacing w:after="0"/>
              <w:rPr>
                <w:sz w:val="5"/>
                <w:szCs w:val="5"/>
                <w:color w:val="auto"/>
              </w:rPr>
            </w:pPr>
          </w:p>
        </w:tc>
        <w:tc>
          <w:tcPr>
            <w:tcW w:w="6680" w:type="dxa"/>
            <w:vAlign w:val="bottom"/>
            <w:shd w:val="clear" w:color="auto" w:fill="D9D9D9"/>
          </w:tcPr>
          <w:p>
            <w:pPr>
              <w:spacing w:after="0"/>
              <w:rPr>
                <w:sz w:val="5"/>
                <w:szCs w:val="5"/>
                <w:color w:val="auto"/>
              </w:rPr>
            </w:pPr>
          </w:p>
        </w:tc>
        <w:tc>
          <w:tcPr>
            <w:tcW w:w="1500" w:type="dxa"/>
            <w:vAlign w:val="bottom"/>
            <w:shd w:val="clear" w:color="auto" w:fill="D9D9D9"/>
          </w:tcPr>
          <w:p>
            <w:pPr>
              <w:spacing w:after="0"/>
              <w:rPr>
                <w:sz w:val="5"/>
                <w:szCs w:val="5"/>
                <w:color w:val="auto"/>
              </w:rPr>
            </w:pPr>
          </w:p>
        </w:tc>
        <w:tc>
          <w:tcPr>
            <w:tcW w:w="20" w:type="dxa"/>
            <w:vAlign w:val="bottom"/>
            <w:shd w:val="clear" w:color="auto" w:fill="000000"/>
          </w:tcPr>
          <w:p>
            <w:pPr>
              <w:spacing w:after="0"/>
              <w:rPr>
                <w:sz w:val="5"/>
                <w:szCs w:val="5"/>
                <w:color w:val="auto"/>
              </w:rPr>
            </w:pPr>
          </w:p>
        </w:tc>
      </w:tr>
      <w:tr>
        <w:trPr>
          <w:trHeight w:val="31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Dwayne A. Wilson</w:t>
            </w:r>
          </w:p>
        </w:tc>
        <w:tc>
          <w:tcPr>
            <w:tcW w:w="960" w:type="dxa"/>
            <w:vAlign w:val="bottom"/>
          </w:tcPr>
          <w:p>
            <w:pPr>
              <w:jc w:val="center"/>
              <w:ind w:left="290"/>
              <w:spacing w:after="0"/>
              <w:rPr>
                <w:sz w:val="20"/>
                <w:szCs w:val="20"/>
                <w:color w:val="auto"/>
              </w:rPr>
            </w:pPr>
            <w:r>
              <w:rPr>
                <w:rFonts w:ascii="Arial" w:cs="Arial" w:eastAsia="Arial" w:hAnsi="Arial"/>
                <w:sz w:val="18"/>
                <w:szCs w:val="18"/>
                <w:color w:val="auto"/>
                <w:w w:val="89"/>
              </w:rPr>
              <w:t>62</w:t>
            </w:r>
          </w:p>
        </w:tc>
        <w:tc>
          <w:tcPr>
            <w:tcW w:w="6680" w:type="dxa"/>
            <w:vAlign w:val="bottom"/>
          </w:tcPr>
          <w:p>
            <w:pPr>
              <w:spacing w:after="0"/>
              <w:rPr>
                <w:sz w:val="20"/>
                <w:szCs w:val="20"/>
                <w:color w:val="auto"/>
              </w:rPr>
            </w:pPr>
            <w:r>
              <w:rPr>
                <w:rFonts w:ascii="Arial" w:cs="Arial" w:eastAsia="Arial" w:hAnsi="Arial"/>
                <w:sz w:val="18"/>
                <w:szCs w:val="18"/>
                <w:color w:val="auto"/>
                <w:w w:val="99"/>
              </w:rPr>
              <w:t>Former Senior Vice President of Fluor Corporation; Director of Sterling Construction</w:t>
            </w: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20" w:type="dxa"/>
            <w:vAlign w:val="bottom"/>
            <w:shd w:val="clear" w:color="auto" w:fill="000000"/>
          </w:tcPr>
          <w:p>
            <w:pPr>
              <w:spacing w:after="0"/>
              <w:rPr>
                <w:sz w:val="24"/>
                <w:szCs w:val="24"/>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9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w w:val="96"/>
              </w:rPr>
              <w:t>Company and Ingredion Incorporated; former Director of AK Steel Holding Corporation</w:t>
            </w:r>
          </w:p>
        </w:tc>
        <w:tc>
          <w:tcPr>
            <w:tcW w:w="1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68"/>
        </w:trPr>
        <w:tc>
          <w:tcPr>
            <w:tcW w:w="3060" w:type="dxa"/>
            <w:vAlign w:val="bottom"/>
            <w:tcBorders>
              <w:left w:val="single" w:sz="8" w:color="auto"/>
              <w:bottom w:val="single" w:sz="8" w:color="auto"/>
            </w:tcBorders>
            <w:gridSpan w:val="2"/>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r>
      <w:tr>
        <w:trPr>
          <w:trHeight w:val="318"/>
        </w:trPr>
        <w:tc>
          <w:tcPr>
            <w:tcW w:w="30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1"/>
              </w:rPr>
              <w:t>(a) Member of the Executive Committee</w:t>
            </w:r>
          </w:p>
        </w:tc>
        <w:tc>
          <w:tcPr>
            <w:tcW w:w="6680" w:type="dxa"/>
            <w:vAlign w:val="bottom"/>
          </w:tcPr>
          <w:p>
            <w:pPr>
              <w:ind w:left="1800"/>
              <w:spacing w:after="0"/>
              <w:rPr>
                <w:sz w:val="20"/>
                <w:szCs w:val="20"/>
                <w:color w:val="auto"/>
              </w:rPr>
            </w:pPr>
            <w:r>
              <w:rPr>
                <w:rFonts w:ascii="Arial" w:cs="Arial" w:eastAsia="Arial" w:hAnsi="Arial"/>
                <w:sz w:val="18"/>
                <w:szCs w:val="18"/>
                <w:color w:val="auto"/>
              </w:rPr>
              <w:t>(c) Member of the Compensation Committee</w:t>
            </w:r>
          </w:p>
        </w:tc>
        <w:tc>
          <w:tcPr>
            <w:tcW w:w="15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391"/>
        </w:trPr>
        <w:tc>
          <w:tcPr>
            <w:tcW w:w="306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(b) Member of the Audit Committee</w:t>
            </w:r>
          </w:p>
        </w:tc>
        <w:tc>
          <w:tcPr>
            <w:tcW w:w="8180" w:type="dxa"/>
            <w:vAlign w:val="bottom"/>
            <w:gridSpan w:val="2"/>
          </w:tcPr>
          <w:p>
            <w:pPr>
              <w:ind w:left="1800"/>
              <w:spacing w:after="0"/>
              <w:rPr>
                <w:sz w:val="20"/>
                <w:szCs w:val="20"/>
                <w:color w:val="auto"/>
              </w:rPr>
            </w:pPr>
            <w:r>
              <w:rPr>
                <w:rFonts w:ascii="Arial" w:cs="Arial" w:eastAsia="Arial" w:hAnsi="Arial"/>
                <w:sz w:val="18"/>
                <w:szCs w:val="18"/>
                <w:color w:val="auto"/>
              </w:rPr>
              <w:t>(d) Member of the Nominating and Corporate Governance Committee</w:t>
            </w:r>
          </w:p>
        </w:tc>
        <w:tc>
          <w:tcPr>
            <w:tcW w:w="20" w:type="dxa"/>
            <w:vAlign w:val="bottom"/>
            <w:shd w:val="clear" w:color="auto" w:fill="000000"/>
          </w:tcPr>
          <w:p>
            <w:pPr>
              <w:spacing w:after="0"/>
              <w:rPr>
                <w:sz w:val="24"/>
                <w:szCs w:val="24"/>
                <w:color w:val="auto"/>
              </w:rPr>
            </w:pPr>
          </w:p>
        </w:tc>
      </w:tr>
      <w:tr>
        <w:trPr>
          <w:trHeight w:val="68"/>
        </w:trPr>
        <w:tc>
          <w:tcPr>
            <w:tcW w:w="2100" w:type="dxa"/>
            <w:vAlign w:val="bottom"/>
            <w:tcBorders>
              <w:left w:val="single" w:sz="8" w:color="auto"/>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3742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Mr. Fearon will retire as a director and officer of Eaton Corporation on March 31, 2021.</w:t>
      </w:r>
    </w:p>
    <w:p>
      <w:pPr>
        <w:spacing w:after="0" w:line="26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60"/>
          </w:cols>
          <w:pgMar w:left="320" w:top="768" w:right="31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9"/>
          <w:szCs w:val="19"/>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and is independent of the influence of any particular Shareholder or group of Shareholders whose interests may diverge from the interests of the Company’s Shareholders as a whole. In addition, each of the nominees has exhibited the ability to operate constructively with the other members of the Board and to challenge and question management in a productive way.</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and international business and markets. The Board believes that the following specific experiences, qualifications and skills, together with the aforementioned attributes, qualify each of the nominees listed above to serve as a Director.</w:t>
      </w:r>
    </w:p>
    <w:p>
      <w:pPr>
        <w:spacing w:after="0" w:line="14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John Conway</w:t>
      </w:r>
      <w:r>
        <w:rPr>
          <w:rFonts w:ascii="Arial" w:cs="Arial" w:eastAsia="Arial" w:hAnsi="Arial"/>
          <w:sz w:val="22"/>
          <w:szCs w:val="22"/>
          <w:color w:val="auto"/>
        </w:rPr>
        <w:t>. Mr. Conway, the Company’s independent non-executive Chairman of the Board, served as the CEO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over 15 years until his retirement at year-end 2015, as a member of the Board since 1997 and in other positions, both domestic and international, with the Company and its predecessors for over 40 years. He gives the Board seasoned leadership and an in-depth knowledge of the Company, especially its international business. Mr. Conway also serves as Lead Director of another NYSE-listed company.</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Timothy Donahue</w:t>
      </w:r>
      <w:r>
        <w:rPr>
          <w:rFonts w:ascii="Arial" w:cs="Arial" w:eastAsia="Arial" w:hAnsi="Arial"/>
          <w:sz w:val="22"/>
          <w:szCs w:val="22"/>
          <w:color w:val="auto"/>
        </w:rPr>
        <w:t>. Mr. Donahue assumed the position of CEO of the Company in 2016. He has served as a member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since 2015 and in other executive positions with the Company for over 30 years. He brings to the Board an intimate understanding of the operations and finances of the Company from his prior experience as the Company’s Chief Operating Officer and Chief Financial Officer.</w:t>
      </w:r>
    </w:p>
    <w:p>
      <w:pPr>
        <w:spacing w:after="0" w:line="16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Richard Fearon</w:t>
      </w:r>
      <w:r>
        <w:rPr>
          <w:rFonts w:ascii="Arial" w:cs="Arial" w:eastAsia="Arial" w:hAnsi="Arial"/>
          <w:sz w:val="21"/>
          <w:szCs w:val="21"/>
          <w:color w:val="auto"/>
        </w:rPr>
        <w:t>. Mr. Fearon’s experience as a CFO of an NYSE-listed global, diversified manufacturing company brings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Board comprehensive knowledge of financial accounting and extensive experience in financial reporting, corporate finance and capital markets, corporate development, strategic planning, mergers and acquisitions, risk management and investor relations. In addition, his service as a Lead Director of an NYSE-listed global provider of specialized polymers also provides significant governance experience. Mr. Fearon also serves as a director of another publicly-listed company. Mr. Fearon will retire as a director and officer of Eaton Corporation on March 31, 2021.</w:t>
      </w:r>
    </w:p>
    <w:p>
      <w:pPr>
        <w:spacing w:after="0" w:line="14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Andrea Funk</w:t>
      </w:r>
      <w:r>
        <w:rPr>
          <w:rFonts w:ascii="Arial" w:cs="Arial" w:eastAsia="Arial" w:hAnsi="Arial"/>
          <w:sz w:val="22"/>
          <w:szCs w:val="22"/>
          <w:color w:val="auto"/>
        </w:rPr>
        <w:t>. Ms. Funk’s experience as VP Finance of the Americas division of an NYSE-listed international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company and as former CEO and CFO of an international manufacturing and distribution business brings to the Board significant expertise in the areas of finance, operations and strategy. This, along with Ms. Funk’s prior experience in public accounting, enhances her contributions to the Audit Committee and qualifies her as an “audit committee financial expert” within the meaning of SEC regulations.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469" w:right="339" w:bottom="1440" w:gutter="0" w:footer="0" w:header="0"/>
        </w:sectPr>
      </w:pPr>
    </w:p>
    <w:bookmarkStart w:id="23" w:name="page24"/>
    <w:bookmarkEnd w:id="23"/>
    <w:p>
      <w:pPr>
        <w:jc w:val="both"/>
        <w:ind w:firstLine="648"/>
        <w:spacing w:after="0" w:line="300" w:lineRule="auto"/>
        <w:rPr>
          <w:sz w:val="20"/>
          <w:szCs w:val="20"/>
          <w:color w:val="auto"/>
        </w:rPr>
      </w:pPr>
      <w:r>
        <w:rPr>
          <w:rFonts w:ascii="Arial" w:cs="Arial" w:eastAsia="Arial" w:hAnsi="Arial"/>
          <w:sz w:val="19"/>
          <w:szCs w:val="19"/>
          <w:b w:val="1"/>
          <w:bCs w:val="1"/>
          <w:color w:val="auto"/>
        </w:rPr>
        <w:t>Stephen Hagge</w:t>
      </w:r>
      <w:r>
        <w:rPr>
          <w:rFonts w:ascii="Arial" w:cs="Arial" w:eastAsia="Arial" w:hAnsi="Arial"/>
          <w:sz w:val="19"/>
          <w:szCs w:val="19"/>
          <w:color w:val="auto"/>
        </w:rPr>
        <w:t>. Mr. Hagge brings to the Board substantial leadership and management experience in public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operations, international business, strategic initiatives and risk management from his role as former CEO, CFO and COO of an NYSE-listed global packaging manufacturer. Mr. Hagge also serves as a director of another NYSE-listed company.</w:t>
      </w:r>
    </w:p>
    <w:p>
      <w:pPr>
        <w:spacing w:after="0" w:line="15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Rose Lee</w:t>
      </w:r>
      <w:r>
        <w:rPr>
          <w:rFonts w:ascii="Arial" w:cs="Arial" w:eastAsia="Arial" w:hAnsi="Arial"/>
          <w:sz w:val="22"/>
          <w:szCs w:val="22"/>
          <w:color w:val="auto"/>
        </w:rPr>
        <w:t>. Ms. Lee brings senior management experience to the Board from her role as president of a global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segment of an NYSE-listed international manufacturing company. She also brings a deep knowledge of operations, engineering and technology matters that enhances her contribution to the Nominating and Corporate Governance Committee’s oversight of the Company’s sustainability efforts.</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James Miller</w:t>
      </w:r>
      <w:r>
        <w:rPr>
          <w:rFonts w:ascii="Arial" w:cs="Arial" w:eastAsia="Arial" w:hAnsi="Arial"/>
          <w:sz w:val="22"/>
          <w:szCs w:val="22"/>
          <w:color w:val="auto"/>
        </w:rPr>
        <w:t>. Mr. Miller, the Company’s Independent Lead Director, brings to the Board substantial leadership and</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experience, both domestic and international, from his role as former chairman and CEO of an NYSE-listed international energy and utility holding company. Mr. Miller also brings to the Board significant safety, environmental, governmental relations and regulatory agency experience by virtue of his responsibilities at this highly regulated utility company. Mr. Miller chairs the Nominating and Corporate Governance Committee and also serves as director of another NYSE-listed company.</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Josef Müller</w:t>
      </w:r>
      <w:r>
        <w:rPr>
          <w:rFonts w:ascii="Arial" w:cs="Arial" w:eastAsia="Arial" w:hAnsi="Arial"/>
          <w:sz w:val="22"/>
          <w:szCs w:val="22"/>
          <w:color w:val="auto"/>
        </w:rPr>
        <w:t>. Mr. Müller, a European national, has over 35 years of senior management experience at a global food and</w:t>
      </w:r>
      <w:r>
        <w:rPr>
          <w:rFonts w:ascii="Arial" w:cs="Arial" w:eastAsia="Arial" w:hAnsi="Arial"/>
          <w:sz w:val="22"/>
          <w:szCs w:val="22"/>
          <w:b w:val="1"/>
          <w:bCs w:val="1"/>
          <w:color w:val="auto"/>
        </w:rPr>
        <w:t xml:space="preserve"> </w:t>
      </w:r>
      <w:r>
        <w:rPr>
          <w:rFonts w:ascii="Arial" w:cs="Arial" w:eastAsia="Arial" w:hAnsi="Arial"/>
          <w:sz w:val="22"/>
          <w:szCs w:val="22"/>
          <w:color w:val="auto"/>
        </w:rPr>
        <w:t>beverage company, including as the CEO of that company’s greater China region. Mr. Müller brings to the Board significant emerging market business development and management experience.</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B. Craig Owens</w:t>
      </w:r>
      <w:r>
        <w:rPr>
          <w:rFonts w:ascii="Arial" w:cs="Arial" w:eastAsia="Arial" w:hAnsi="Arial"/>
          <w:sz w:val="21"/>
          <w:szCs w:val="21"/>
          <w:color w:val="auto"/>
        </w:rPr>
        <w:t>. Mr. Owens’ extensive experience in the consumer food and beverage industries, including his former</w:t>
      </w:r>
      <w:r>
        <w:rPr>
          <w:rFonts w:ascii="Arial" w:cs="Arial" w:eastAsia="Arial" w:hAnsi="Arial"/>
          <w:sz w:val="21"/>
          <w:szCs w:val="21"/>
          <w:b w:val="1"/>
          <w:bCs w:val="1"/>
          <w:color w:val="auto"/>
        </w:rPr>
        <w:t xml:space="preserve"> </w:t>
      </w:r>
      <w:r>
        <w:rPr>
          <w:rFonts w:ascii="Arial" w:cs="Arial" w:eastAsia="Arial" w:hAnsi="Arial"/>
          <w:sz w:val="21"/>
          <w:szCs w:val="21"/>
          <w:color w:val="auto"/>
        </w:rPr>
        <w:t>service as the CFO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He also has considerable knowledge of the retail industry having served as CFO of a leading international grocery retailer. Mr. Owens also serves as a director of another NYSE-listed company.</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Caesar Sweitzer</w:t>
      </w:r>
      <w:r>
        <w:rPr>
          <w:rFonts w:ascii="Arial" w:cs="Arial" w:eastAsia="Arial" w:hAnsi="Arial"/>
          <w:sz w:val="19"/>
          <w:szCs w:val="19"/>
          <w:color w:val="auto"/>
        </w:rPr>
        <w:t>. Mr. Sweitzer spent over 35 years in finance, primarily as an investment banker focusing on industrial</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Mr. Sweitzer 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 and he chairs the Audit Committee.</w:t>
      </w:r>
    </w:p>
    <w:p>
      <w:pPr>
        <w:spacing w:after="0" w:line="1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Jim Turner</w:t>
      </w:r>
      <w:r>
        <w:rPr>
          <w:rFonts w:ascii="Arial" w:cs="Arial" w:eastAsia="Arial" w:hAnsi="Arial"/>
          <w:sz w:val="19"/>
          <w:szCs w:val="19"/>
          <w:color w:val="auto"/>
        </w:rPr>
        <w:t>. Mr. Turner’s extensive experience in the soft drink industry, and in particular his experience as owner and</w:t>
      </w:r>
      <w:r>
        <w:rPr>
          <w:rFonts w:ascii="Arial" w:cs="Arial" w:eastAsia="Arial" w:hAnsi="Arial"/>
          <w:sz w:val="19"/>
          <w:szCs w:val="19"/>
          <w:b w:val="1"/>
          <w:bCs w:val="1"/>
          <w:color w:val="auto"/>
        </w:rPr>
        <w:t xml:space="preserve"> </w:t>
      </w:r>
      <w:r>
        <w:rPr>
          <w:rFonts w:ascii="Arial" w:cs="Arial" w:eastAsia="Arial" w:hAnsi="Arial"/>
          <w:sz w:val="19"/>
          <w:szCs w:val="19"/>
          <w:color w:val="auto"/>
        </w:rPr>
        <w:t>CEO of the largest independent soft drink bottler in the U.S., gives the Board deep insight into the industry of many of the Company’s significant customers. Mr. Turner has valuable experience in business development, finance and mergers and acquisitions. Mr. Turner chairs the Compensation Committee and also serves as a director of another NYSE-listed company.</w:t>
      </w:r>
    </w:p>
    <w:p>
      <w:pPr>
        <w:spacing w:after="0" w:line="1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William Urkiel</w:t>
      </w:r>
      <w:r>
        <w:rPr>
          <w:rFonts w:ascii="Arial" w:cs="Arial" w:eastAsia="Arial" w:hAnsi="Arial"/>
          <w:sz w:val="21"/>
          <w:szCs w:val="21"/>
          <w:color w:val="auto"/>
        </w:rPr>
        <w:t>. Mr. Urkiel’s experience as CFO of a NYSE-listed provider of innovative document management systems</w:t>
      </w:r>
      <w:r>
        <w:rPr>
          <w:rFonts w:ascii="Arial" w:cs="Arial" w:eastAsia="Arial" w:hAnsi="Arial"/>
          <w:sz w:val="21"/>
          <w:szCs w:val="21"/>
          <w:b w:val="1"/>
          <w:bCs w:val="1"/>
          <w:color w:val="auto"/>
        </w:rPr>
        <w:t xml:space="preserve"> </w:t>
      </w:r>
      <w:r>
        <w:rPr>
          <w:rFonts w:ascii="Arial" w:cs="Arial" w:eastAsia="Arial" w:hAnsi="Arial"/>
          <w:sz w:val="21"/>
          <w:szCs w:val="21"/>
          <w:color w:val="auto"/>
        </w:rPr>
        <w:t>and services brings to the Board both leadership skills and comprehensive knowledge of accounting, finance and capital markets and corporate governance matters. Mr. Urkiel’s accounting and finance experience qualify him as an “audit committee financial expert” within the meaning of SEC regulations, and he serves on the Audit Committee.</w:t>
      </w:r>
    </w:p>
    <w:p>
      <w:pPr>
        <w:spacing w:after="0" w:line="1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Dwayne Wilson</w:t>
      </w:r>
      <w:r>
        <w:rPr>
          <w:rFonts w:ascii="Arial" w:cs="Arial" w:eastAsia="Arial" w:hAnsi="Arial"/>
          <w:sz w:val="22"/>
          <w:szCs w:val="22"/>
          <w:color w:val="auto"/>
        </w:rPr>
        <w:t>. Mr. Wilson brings to the Board over 36 years of senior management experience at a leading NYSE-listed construction and engineering company. Mr. Wilson has gained a broad range of experience and exposure to a number of diverse end markets, and the Company will benefit from his knowledge and perspective, particularly in the areas of manufacturing, technology, operational excellence and engineering. Mr. Wilson also serves as a director of two other publicly-listed companies.</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463" w:right="339" w:bottom="1440" w:gutter="0" w:footer="0" w:header="0"/>
        </w:sectPr>
      </w:pPr>
    </w:p>
    <w:bookmarkStart w:id="24" w:name="page25"/>
    <w:bookmarkEnd w:id="24"/>
    <w:p>
      <w:pPr>
        <w:spacing w:after="0"/>
        <w:rPr>
          <w:sz w:val="20"/>
          <w:szCs w:val="20"/>
          <w:color w:val="auto"/>
        </w:rPr>
      </w:pPr>
      <w:r>
        <w:rPr>
          <w:rFonts w:ascii="Arial" w:cs="Arial" w:eastAsia="Arial" w:hAnsi="Arial"/>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table lists 2020 Director compensation for all independent Directors who received compensation as Directors in 2020. Compensation for Mr. Donahue, the Company’s Chief Executive Officer, is reported in the Summary Compensation Table included in the Executive Compensation section below. Mr. Donahue does not earn additional compensation for his service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5048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0"/>
              </w:rPr>
              <w:t>Name</w:t>
            </w:r>
          </w:p>
        </w:tc>
        <w:tc>
          <w:tcPr>
            <w:tcW w:w="2480" w:type="dxa"/>
            <w:vAlign w:val="bottom"/>
            <w:tcBorders>
              <w:top w:val="single" w:sz="8" w:color="auto"/>
              <w:right w:val="single" w:sz="8" w:color="auto"/>
            </w:tcBorders>
            <w:shd w:val="clear" w:color="auto" w:fill="29650B"/>
          </w:tcPr>
          <w:p>
            <w:pPr>
              <w:jc w:val="right"/>
              <w:ind w:right="432"/>
              <w:spacing w:after="0" w:line="229" w:lineRule="exact"/>
              <w:rPr>
                <w:sz w:val="20"/>
                <w:szCs w:val="20"/>
                <w:color w:val="auto"/>
              </w:rPr>
            </w:pPr>
            <w:r>
              <w:rPr>
                <w:rFonts w:ascii="Arial" w:cs="Arial" w:eastAsia="Arial" w:hAnsi="Arial"/>
                <w:sz w:val="22"/>
                <w:szCs w:val="22"/>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9"/>
                <w:szCs w:val="19"/>
                <w:color w:val="auto"/>
              </w:rPr>
            </w:pPr>
          </w:p>
        </w:tc>
        <w:tc>
          <w:tcPr>
            <w:tcW w:w="2440" w:type="dxa"/>
            <w:vAlign w:val="bottom"/>
            <w:tcBorders>
              <w:top w:val="single" w:sz="8" w:color="auto"/>
            </w:tcBorders>
            <w:shd w:val="clear" w:color="auto" w:fill="29650B"/>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auto"/>
              <w:right w:val="single" w:sz="8" w:color="auto"/>
            </w:tcBorders>
            <w:vMerge w:val="continue"/>
            <w:shd w:val="clear" w:color="auto" w:fill="29650B"/>
          </w:tcPr>
          <w:p>
            <w:pPr>
              <w:spacing w:after="0"/>
              <w:rPr>
                <w:sz w:val="23"/>
                <w:szCs w:val="23"/>
                <w:color w:val="auto"/>
              </w:rPr>
            </w:pPr>
          </w:p>
        </w:tc>
        <w:tc>
          <w:tcPr>
            <w:tcW w:w="2480" w:type="dxa"/>
            <w:vAlign w:val="bottom"/>
            <w:tcBorders>
              <w:bottom w:val="single" w:sz="8" w:color="auto"/>
              <w:right w:val="single" w:sz="8" w:color="auto"/>
            </w:tcBorders>
            <w:shd w:val="clear" w:color="auto" w:fill="29650B"/>
          </w:tcPr>
          <w:p>
            <w:pPr>
              <w:jc w:val="right"/>
              <w:ind w:right="392"/>
              <w:spacing w:after="0"/>
              <w:rPr>
                <w:sz w:val="20"/>
                <w:szCs w:val="20"/>
                <w:color w:val="auto"/>
              </w:rPr>
            </w:pPr>
            <w:r>
              <w:rPr>
                <w:rFonts w:ascii="Arial" w:cs="Arial" w:eastAsia="Arial" w:hAnsi="Arial"/>
                <w:sz w:val="22"/>
                <w:szCs w:val="22"/>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332"/>
              <w:spacing w:after="0"/>
              <w:rPr>
                <w:sz w:val="20"/>
                <w:szCs w:val="20"/>
                <w:color w:val="auto"/>
              </w:rPr>
            </w:pPr>
            <w:r>
              <w:rPr>
                <w:rFonts w:ascii="Arial" w:cs="Arial" w:eastAsia="Arial" w:hAnsi="Arial"/>
                <w:sz w:val="22"/>
                <w:szCs w:val="22"/>
                <w:b w:val="1"/>
                <w:bCs w:val="1"/>
                <w:color w:val="FFFFFF"/>
              </w:rPr>
              <w:t>Stock Awards (2)</w:t>
            </w:r>
          </w:p>
        </w:tc>
        <w:tc>
          <w:tcPr>
            <w:tcW w:w="2440" w:type="dxa"/>
            <w:vAlign w:val="bottom"/>
            <w:tcBorders>
              <w:bottom w:val="single" w:sz="8" w:color="auto"/>
            </w:tcBorders>
            <w:shd w:val="clear" w:color="auto" w:fill="29650B"/>
          </w:tcPr>
          <w:p>
            <w:pPr>
              <w:jc w:val="right"/>
              <w:ind w:right="872"/>
              <w:spacing w:after="0"/>
              <w:rPr>
                <w:sz w:val="20"/>
                <w:szCs w:val="20"/>
                <w:color w:val="auto"/>
              </w:rPr>
            </w:pPr>
            <w:r>
              <w:rPr>
                <w:rFonts w:ascii="Arial" w:cs="Arial" w:eastAsia="Arial" w:hAnsi="Arial"/>
                <w:sz w:val="22"/>
                <w:szCs w:val="22"/>
                <w:b w:val="1"/>
                <w:bCs w:val="1"/>
                <w:color w:val="FFFFFF"/>
              </w:rPr>
              <w:t>Total</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John Conway</w:t>
            </w:r>
          </w:p>
        </w:tc>
        <w:tc>
          <w:tcPr>
            <w:tcW w:w="2480" w:type="dxa"/>
            <w:vAlign w:val="bottom"/>
            <w:tcBorders>
              <w:right w:val="single" w:sz="8" w:color="auto"/>
            </w:tcBorders>
          </w:tcPr>
          <w:p>
            <w:pPr>
              <w:jc w:val="right"/>
              <w:ind w:right="612"/>
              <w:spacing w:after="0"/>
              <w:rPr>
                <w:sz w:val="20"/>
                <w:szCs w:val="20"/>
                <w:color w:val="auto"/>
              </w:rPr>
            </w:pPr>
            <w:r>
              <w:rPr>
                <w:rFonts w:ascii="Arial" w:cs="Arial" w:eastAsia="Arial" w:hAnsi="Arial"/>
                <w:sz w:val="22"/>
                <w:szCs w:val="22"/>
                <w:color w:val="auto"/>
              </w:rPr>
              <w:t>$180,000</w:t>
            </w:r>
          </w:p>
        </w:tc>
        <w:tc>
          <w:tcPr>
            <w:tcW w:w="2460" w:type="dxa"/>
            <w:vAlign w:val="bottom"/>
            <w:tcBorders>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Pr>
          <w:p>
            <w:pPr>
              <w:jc w:val="right"/>
              <w:ind w:right="512"/>
              <w:spacing w:after="0"/>
              <w:rPr>
                <w:sz w:val="20"/>
                <w:szCs w:val="20"/>
                <w:color w:val="auto"/>
              </w:rPr>
            </w:pPr>
            <w:r>
              <w:rPr>
                <w:rFonts w:ascii="Arial" w:cs="Arial" w:eastAsia="Arial" w:hAnsi="Arial"/>
                <w:sz w:val="22"/>
                <w:szCs w:val="22"/>
                <w:color w:val="auto"/>
              </w:rPr>
              <w:t>$325,000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8"/>
              </w:rPr>
              <w:t>Richard Fearon</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100,000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245,000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Andrea Funk</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125,000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270,000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6"/>
              </w:rPr>
              <w:t>Stephen Hagge</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110,000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255,000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Rose Lee</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117,500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262,500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7"/>
              </w:rPr>
              <w:t>William Little (3)</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52,500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72,500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125,000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Hans Löliger (3)</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52,500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72,500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125,000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0"/>
              </w:rPr>
              <w:t>James Miller</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155,000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300,000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Josef Müller</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125,000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270,000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B. Craig Owens</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111,250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256,250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Caesar Sweitzer</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135,000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280,000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3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Jim Turner</w:t>
            </w:r>
          </w:p>
        </w:tc>
        <w:tc>
          <w:tcPr>
            <w:tcW w:w="2480" w:type="dxa"/>
            <w:vAlign w:val="bottom"/>
            <w:tcBorders>
              <w:bottom w:val="single" w:sz="8" w:color="D9D9D9"/>
              <w:right w:val="single" w:sz="8" w:color="auto"/>
            </w:tcBorders>
            <w:shd w:val="clear" w:color="auto" w:fill="D9D9D9"/>
          </w:tcPr>
          <w:p>
            <w:pPr>
              <w:jc w:val="right"/>
              <w:ind w:right="612"/>
              <w:spacing w:after="0"/>
              <w:rPr>
                <w:sz w:val="20"/>
                <w:szCs w:val="20"/>
                <w:color w:val="auto"/>
              </w:rPr>
            </w:pPr>
            <w:r>
              <w:rPr>
                <w:rFonts w:ascii="Arial" w:cs="Arial" w:eastAsia="Arial" w:hAnsi="Arial"/>
                <w:sz w:val="22"/>
                <w:szCs w:val="22"/>
                <w:color w:val="auto"/>
              </w:rPr>
              <w:t>130,000</w:t>
            </w:r>
          </w:p>
        </w:tc>
        <w:tc>
          <w:tcPr>
            <w:tcW w:w="2460" w:type="dxa"/>
            <w:vAlign w:val="bottom"/>
            <w:tcBorders>
              <w:bottom w:val="single" w:sz="8" w:color="D9D9D9"/>
              <w:right w:val="single" w:sz="8" w:color="auto"/>
            </w:tcBorders>
            <w:shd w:val="clear" w:color="auto" w:fill="D9D9D9"/>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bottom w:val="single" w:sz="8" w:color="D9D9D9"/>
            </w:tcBorders>
            <w:shd w:val="clear" w:color="auto" w:fill="D9D9D9"/>
          </w:tcPr>
          <w:p>
            <w:pPr>
              <w:jc w:val="right"/>
              <w:ind w:right="512"/>
              <w:spacing w:after="0"/>
              <w:rPr>
                <w:sz w:val="20"/>
                <w:szCs w:val="20"/>
                <w:color w:val="auto"/>
              </w:rPr>
            </w:pPr>
            <w:r>
              <w:rPr>
                <w:rFonts w:ascii="Arial" w:cs="Arial" w:eastAsia="Arial" w:hAnsi="Arial"/>
                <w:sz w:val="22"/>
                <w:szCs w:val="22"/>
                <w:color w:val="auto"/>
              </w:rPr>
              <w:t>275,000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William Urkiel</w:t>
            </w:r>
          </w:p>
        </w:tc>
        <w:tc>
          <w:tcPr>
            <w:tcW w:w="248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color w:val="auto"/>
              </w:rPr>
              <w:t>125,000</w:t>
            </w:r>
          </w:p>
        </w:tc>
        <w:tc>
          <w:tcPr>
            <w:tcW w:w="2460" w:type="dxa"/>
            <w:vAlign w:val="bottom"/>
            <w:tcBorders>
              <w:top w:val="single" w:sz="8" w:color="auto"/>
              <w:right w:val="single" w:sz="8" w:color="auto"/>
            </w:tcBorders>
          </w:tcPr>
          <w:p>
            <w:pPr>
              <w:jc w:val="right"/>
              <w:ind w:right="452"/>
              <w:spacing w:after="0"/>
              <w:rPr>
                <w:sz w:val="20"/>
                <w:szCs w:val="20"/>
                <w:color w:val="auto"/>
              </w:rPr>
            </w:pPr>
            <w:r>
              <w:rPr>
                <w:rFonts w:ascii="Arial" w:cs="Arial" w:eastAsia="Arial" w:hAnsi="Arial"/>
                <w:sz w:val="22"/>
                <w:szCs w:val="22"/>
                <w:color w:val="auto"/>
              </w:rPr>
              <w:t>145,000</w:t>
            </w:r>
          </w:p>
        </w:tc>
        <w:tc>
          <w:tcPr>
            <w:tcW w:w="244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color w:val="auto"/>
              </w:rPr>
              <w:t>270,000</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4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600" w:right="240" w:hanging="479"/>
        <w:spacing w:after="0" w:line="209" w:lineRule="auto"/>
        <w:tabs>
          <w:tab w:leader="none" w:pos="5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2"/>
          <w:szCs w:val="22"/>
          <w:color w:val="auto"/>
        </w:rPr>
        <w:t>Each Director may defer receipt of all, or any part, of his or her cash compensation until termination of service as a Director. At the election of the Director, deferred cash compensation amounts are paid in either a lump sum or installments over a period not to exceed 10 years after departure from the Board and are credited with interest at the prime rate until distributed.</w:t>
      </w:r>
    </w:p>
    <w:p>
      <w:pPr>
        <w:spacing w:after="0" w:line="37" w:lineRule="exact"/>
        <w:rPr>
          <w:sz w:val="20"/>
          <w:szCs w:val="20"/>
          <w:color w:val="auto"/>
        </w:rPr>
      </w:pPr>
    </w:p>
    <w:p>
      <w:pPr>
        <w:jc w:val="both"/>
        <w:ind w:left="600" w:right="240" w:hanging="479"/>
        <w:spacing w:after="0" w:line="205" w:lineRule="auto"/>
        <w:tabs>
          <w:tab w:leader="none" w:pos="5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2"/>
          <w:szCs w:val="22"/>
          <w:color w:val="auto"/>
        </w:rPr>
        <w:t>The annual grant of Company Common Stock for 2020 consisted of $145,000 of Company Common Stock under the Stock Compensation Plan for Non-Employee Directors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w:t>
      </w:r>
    </w:p>
    <w:p>
      <w:pPr>
        <w:spacing w:after="0" w:line="54" w:lineRule="exact"/>
        <w:rPr>
          <w:sz w:val="20"/>
          <w:szCs w:val="20"/>
          <w:color w:val="auto"/>
        </w:rPr>
      </w:pPr>
    </w:p>
    <w:p>
      <w:pPr>
        <w:jc w:val="both"/>
        <w:ind w:left="600" w:right="240" w:hanging="479"/>
        <w:spacing w:after="0" w:line="250" w:lineRule="auto"/>
        <w:tabs>
          <w:tab w:leader="none" w:pos="58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2"/>
          <w:szCs w:val="22"/>
          <w:color w:val="auto"/>
        </w:rPr>
        <w:t>Messrs. Little and Löliger retired as Directors of the Company pursuant to the Company’s mandatory retirement rules and did not stand for re-election in April 2020.</w:t>
      </w: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449" w:right="339" w:bottom="1440" w:gutter="0" w:footer="0" w:header="0"/>
        </w:sectPr>
      </w:pPr>
    </w:p>
    <w:bookmarkStart w:id="25" w:name="page26"/>
    <w:bookmarkEnd w:id="25"/>
    <w:p>
      <w:pPr>
        <w:jc w:val="both"/>
        <w:ind w:firstLine="648"/>
        <w:spacing w:after="0" w:line="236" w:lineRule="auto"/>
        <w:rPr>
          <w:sz w:val="20"/>
          <w:szCs w:val="20"/>
          <w:color w:val="auto"/>
        </w:rPr>
      </w:pPr>
      <w:r>
        <w:rPr>
          <w:rFonts w:ascii="Arial" w:cs="Arial" w:eastAsia="Arial" w:hAnsi="Arial"/>
          <w:sz w:val="22"/>
          <w:szCs w:val="22"/>
          <w:color w:val="auto"/>
        </w:rPr>
        <w:t>The Board periodically receives benchmarking data regarding director compensation from Pay Governance LLC, an executive compensation consulting firm, and uses the 50</w:t>
      </w:r>
      <w:r>
        <w:rPr>
          <w:rFonts w:ascii="Arial" w:cs="Arial" w:eastAsia="Arial" w:hAnsi="Arial"/>
          <w:sz w:val="11"/>
          <w:szCs w:val="11"/>
          <w:color w:val="auto"/>
        </w:rPr>
        <w:t>th</w:t>
      </w:r>
      <w:r>
        <w:rPr>
          <w:rFonts w:ascii="Arial" w:cs="Arial" w:eastAsia="Arial" w:hAnsi="Arial"/>
          <w:sz w:val="22"/>
          <w:szCs w:val="22"/>
          <w:color w:val="auto"/>
        </w:rPr>
        <w:t xml:space="preserve"> percentile of its peer group’s target total cash compensation and target total direct compensation as a market check in determining director compensation. For 2021, Directors who are not employees of the Company will receive annual cash base fees, grants of Company Common Stock and cash committee fees in the amounts set forth as follows.</w:t>
      </w:r>
    </w:p>
    <w:p>
      <w:pPr>
        <w:spacing w:after="0" w:line="200" w:lineRule="exact"/>
        <w:rPr>
          <w:sz w:val="20"/>
          <w:szCs w:val="20"/>
          <w:color w:val="auto"/>
        </w:rPr>
      </w:pPr>
    </w:p>
    <w:p>
      <w:pPr>
        <w:spacing w:after="0" w:line="367" w:lineRule="exact"/>
        <w:rPr>
          <w:sz w:val="20"/>
          <w:szCs w:val="20"/>
          <w:color w:val="auto"/>
        </w:rPr>
      </w:pPr>
    </w:p>
    <w:tbl>
      <w:tblPr>
        <w:tblLayout w:type="fixed"/>
        <w:tblInd w:w="230" w:type="dxa"/>
        <w:tblCellMar>
          <w:top w:w="0" w:type="dxa"/>
          <w:left w:w="0" w:type="dxa"/>
          <w:bottom w:w="0" w:type="dxa"/>
          <w:right w:w="0" w:type="dxa"/>
        </w:tblCellMar>
      </w:tblPr>
      <w:tr>
        <w:trPr>
          <w:trHeight w:val="348"/>
        </w:trPr>
        <w:tc>
          <w:tcPr>
            <w:tcW w:w="8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Cash Base Fee</w:t>
            </w:r>
          </w:p>
        </w:tc>
        <w:tc>
          <w:tcPr>
            <w:tcW w:w="14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$100,000</w:t>
            </w:r>
          </w:p>
        </w:tc>
        <w:tc>
          <w:tcPr>
            <w:tcW w:w="0" w:type="dxa"/>
            <w:vAlign w:val="bottom"/>
          </w:tcPr>
          <w:p>
            <w:pPr>
              <w:spacing w:after="0"/>
              <w:rPr>
                <w:sz w:val="1"/>
                <w:szCs w:val="1"/>
                <w:color w:val="auto"/>
              </w:rPr>
            </w:pPr>
          </w:p>
        </w:tc>
      </w:tr>
      <w:tr>
        <w:trPr>
          <w:trHeight w:val="84"/>
        </w:trPr>
        <w:tc>
          <w:tcPr>
            <w:tcW w:w="87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87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Equity Grant</w:t>
            </w:r>
          </w:p>
        </w:tc>
        <w:tc>
          <w:tcPr>
            <w:tcW w:w="1400" w:type="dxa"/>
            <w:vAlign w:val="bottom"/>
            <w:tcBorders>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145,000</w:t>
            </w:r>
          </w:p>
        </w:tc>
        <w:tc>
          <w:tcPr>
            <w:tcW w:w="0" w:type="dxa"/>
            <w:vAlign w:val="bottom"/>
          </w:tcPr>
          <w:p>
            <w:pPr>
              <w:spacing w:after="0"/>
              <w:rPr>
                <w:sz w:val="1"/>
                <w:szCs w:val="1"/>
                <w:color w:val="auto"/>
              </w:rPr>
            </w:pPr>
          </w:p>
        </w:tc>
      </w:tr>
      <w:tr>
        <w:trPr>
          <w:trHeight w:val="84"/>
        </w:trPr>
        <w:tc>
          <w:tcPr>
            <w:tcW w:w="87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8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Supplemental Cash Committee Fees:</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7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2"/>
                <w:szCs w:val="22"/>
                <w:color w:val="auto"/>
              </w:rPr>
              <w:t>· Audit Committee - Chair</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25,000</w:t>
            </w:r>
          </w:p>
        </w:tc>
        <w:tc>
          <w:tcPr>
            <w:tcW w:w="0" w:type="dxa"/>
            <w:vAlign w:val="bottom"/>
          </w:tcPr>
          <w:p>
            <w:pPr>
              <w:spacing w:after="0"/>
              <w:rPr>
                <w:sz w:val="1"/>
                <w:szCs w:val="1"/>
                <w:color w:val="auto"/>
              </w:rPr>
            </w:pPr>
          </w:p>
        </w:tc>
      </w:tr>
      <w:tr>
        <w:trPr>
          <w:trHeight w:val="243"/>
        </w:trPr>
        <w:tc>
          <w:tcPr>
            <w:tcW w:w="8700" w:type="dxa"/>
            <w:vAlign w:val="bottom"/>
            <w:tcBorders>
              <w:left w:val="single" w:sz="8" w:color="auto"/>
              <w:right w:val="single" w:sz="8" w:color="auto"/>
            </w:tcBorders>
          </w:tcPr>
          <w:p>
            <w:pPr>
              <w:ind w:left="280"/>
              <w:spacing w:after="0" w:line="243" w:lineRule="exact"/>
              <w:rPr>
                <w:sz w:val="20"/>
                <w:szCs w:val="20"/>
                <w:color w:val="auto"/>
              </w:rPr>
            </w:pPr>
            <w:r>
              <w:rPr>
                <w:rFonts w:ascii="Arial" w:cs="Arial" w:eastAsia="Arial" w:hAnsi="Arial"/>
                <w:sz w:val="22"/>
                <w:szCs w:val="22"/>
                <w:color w:val="auto"/>
              </w:rPr>
              <w:t>· Audit Committee - Other Members</w:t>
            </w:r>
          </w:p>
        </w:tc>
        <w:tc>
          <w:tcPr>
            <w:tcW w:w="1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243"/>
        </w:trPr>
        <w:tc>
          <w:tcPr>
            <w:tcW w:w="8700" w:type="dxa"/>
            <w:vAlign w:val="bottom"/>
            <w:tcBorders>
              <w:left w:val="single" w:sz="8" w:color="auto"/>
              <w:right w:val="single" w:sz="8" w:color="auto"/>
            </w:tcBorders>
          </w:tcPr>
          <w:p>
            <w:pPr>
              <w:ind w:left="280"/>
              <w:spacing w:after="0" w:line="243" w:lineRule="exact"/>
              <w:rPr>
                <w:sz w:val="20"/>
                <w:szCs w:val="20"/>
                <w:color w:val="auto"/>
              </w:rPr>
            </w:pPr>
            <w:r>
              <w:rPr>
                <w:rFonts w:ascii="Arial" w:cs="Arial" w:eastAsia="Arial" w:hAnsi="Arial"/>
                <w:sz w:val="22"/>
                <w:szCs w:val="22"/>
                <w:color w:val="auto"/>
                <w:w w:val="94"/>
              </w:rPr>
              <w:t>· Compensation Committee and Nominating and Corporate Governance Committee - Chair</w:t>
            </w:r>
          </w:p>
        </w:tc>
        <w:tc>
          <w:tcPr>
            <w:tcW w:w="1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Borders>
              <w:left w:val="single" w:sz="8" w:color="auto"/>
              <w:right w:val="single" w:sz="8" w:color="auto"/>
            </w:tcBorders>
          </w:tcPr>
          <w:p>
            <w:pPr>
              <w:ind w:left="280"/>
              <w:spacing w:after="0" w:line="243" w:lineRule="exact"/>
              <w:rPr>
                <w:sz w:val="20"/>
                <w:szCs w:val="20"/>
                <w:color w:val="auto"/>
              </w:rPr>
            </w:pPr>
            <w:r>
              <w:rPr>
                <w:rFonts w:ascii="Arial" w:cs="Arial" w:eastAsia="Arial" w:hAnsi="Arial"/>
                <w:sz w:val="22"/>
                <w:szCs w:val="22"/>
                <w:color w:val="auto"/>
                <w:w w:val="94"/>
              </w:rPr>
              <w:t>· Compensation Committee and Nominating and Corporate Governance Committee - Other</w:t>
            </w:r>
          </w:p>
        </w:tc>
        <w:tc>
          <w:tcPr>
            <w:tcW w:w="14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274"/>
        </w:trPr>
        <w:tc>
          <w:tcPr>
            <w:tcW w:w="870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22"/>
                <w:szCs w:val="22"/>
                <w:color w:val="auto"/>
              </w:rPr>
              <w:t>Members</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color w:val="auto"/>
              </w:rPr>
              <w:t>10,000</w:t>
            </w:r>
          </w:p>
        </w:tc>
        <w:tc>
          <w:tcPr>
            <w:tcW w:w="0" w:type="dxa"/>
            <w:vAlign w:val="bottom"/>
          </w:tcPr>
          <w:p>
            <w:pPr>
              <w:spacing w:after="0"/>
              <w:rPr>
                <w:sz w:val="1"/>
                <w:szCs w:val="1"/>
                <w:color w:val="auto"/>
              </w:rPr>
            </w:pPr>
          </w:p>
        </w:tc>
      </w:tr>
      <w:tr>
        <w:trPr>
          <w:trHeight w:val="206"/>
        </w:trPr>
        <w:tc>
          <w:tcPr>
            <w:tcW w:w="870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87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Non-Executive Board Chairman Fee</w:t>
            </w:r>
          </w:p>
        </w:tc>
        <w:tc>
          <w:tcPr>
            <w:tcW w:w="1400" w:type="dxa"/>
            <w:vAlign w:val="bottom"/>
            <w:tcBorders>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80,000</w:t>
            </w:r>
          </w:p>
        </w:tc>
        <w:tc>
          <w:tcPr>
            <w:tcW w:w="0" w:type="dxa"/>
            <w:vAlign w:val="bottom"/>
          </w:tcPr>
          <w:p>
            <w:pPr>
              <w:spacing w:after="0"/>
              <w:rPr>
                <w:sz w:val="1"/>
                <w:szCs w:val="1"/>
                <w:color w:val="auto"/>
              </w:rPr>
            </w:pPr>
          </w:p>
        </w:tc>
      </w:tr>
      <w:tr>
        <w:trPr>
          <w:trHeight w:val="85"/>
        </w:trPr>
        <w:tc>
          <w:tcPr>
            <w:tcW w:w="87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40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8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Independent Lead Director Fee</w:t>
            </w:r>
          </w:p>
        </w:tc>
        <w:tc>
          <w:tcPr>
            <w:tcW w:w="140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25,000</w:t>
            </w:r>
          </w:p>
        </w:tc>
        <w:tc>
          <w:tcPr>
            <w:tcW w:w="0" w:type="dxa"/>
            <w:vAlign w:val="bottom"/>
          </w:tcPr>
          <w:p>
            <w:pPr>
              <w:spacing w:after="0"/>
              <w:rPr>
                <w:sz w:val="1"/>
                <w:szCs w:val="1"/>
                <w:color w:val="auto"/>
              </w:rPr>
            </w:pPr>
          </w:p>
        </w:tc>
      </w:tr>
      <w:tr>
        <w:trPr>
          <w:trHeight w:val="84"/>
        </w:trPr>
        <w:tc>
          <w:tcPr>
            <w:tcW w:w="87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834" w:right="339" w:bottom="1440" w:gutter="0" w:footer="0" w:header="0"/>
        </w:sectPr>
      </w:pPr>
    </w:p>
    <w:bookmarkStart w:id="26" w:name="page27"/>
    <w:bookmarkEnd w:id="26"/>
    <w:p>
      <w:pPr>
        <w:ind w:right="580"/>
        <w:spacing w:after="0" w:line="272" w:lineRule="auto"/>
        <w:rPr>
          <w:sz w:val="20"/>
          <w:szCs w:val="20"/>
          <w:color w:val="auto"/>
        </w:rPr>
      </w:pPr>
      <w:r>
        <w:rPr>
          <w:rFonts w:ascii="Arial" w:cs="Arial" w:eastAsia="Arial" w:hAnsi="Arial"/>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shows, as of March 2, 2021,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5768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3420" w:type="dxa"/>
            <w:vAlign w:val="bottom"/>
            <w:shd w:val="clear" w:color="auto" w:fill="29650B"/>
          </w:tcPr>
          <w:p>
            <w:pPr>
              <w:spacing w:after="0"/>
              <w:rPr>
                <w:sz w:val="24"/>
                <w:szCs w:val="24"/>
                <w:color w:val="auto"/>
              </w:rPr>
            </w:pPr>
          </w:p>
        </w:tc>
        <w:tc>
          <w:tcPr>
            <w:tcW w:w="4940" w:type="dxa"/>
            <w:vAlign w:val="bottom"/>
            <w:shd w:val="clear" w:color="auto" w:fill="29650B"/>
          </w:tcPr>
          <w:p>
            <w:pPr>
              <w:jc w:val="center"/>
              <w:ind w:left="152"/>
              <w:spacing w:after="0"/>
              <w:rPr>
                <w:sz w:val="20"/>
                <w:szCs w:val="20"/>
                <w:color w:val="auto"/>
              </w:rPr>
            </w:pPr>
            <w:r>
              <w:rPr>
                <w:rFonts w:ascii="Arial" w:cs="Arial" w:eastAsia="Arial" w:hAnsi="Arial"/>
                <w:sz w:val="22"/>
                <w:szCs w:val="22"/>
                <w:b w:val="1"/>
                <w:bCs w:val="1"/>
                <w:color w:val="FFFFFF"/>
                <w:w w:val="88"/>
              </w:rPr>
              <w:t>Amount of Common Stock of the Company</w:t>
            </w:r>
          </w:p>
        </w:tc>
        <w:tc>
          <w:tcPr>
            <w:tcW w:w="2860" w:type="dxa"/>
            <w:vAlign w:val="bottom"/>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Percentage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20" w:type="dxa"/>
            <w:vAlign w:val="bottom"/>
            <w:shd w:val="clear" w:color="auto" w:fill="29650B"/>
          </w:tcPr>
          <w:p>
            <w:pPr>
              <w:ind w:left="1000"/>
              <w:spacing w:after="0"/>
              <w:rPr>
                <w:sz w:val="20"/>
                <w:szCs w:val="20"/>
                <w:color w:val="auto"/>
              </w:rPr>
            </w:pPr>
            <w:r>
              <w:rPr>
                <w:rFonts w:ascii="Arial" w:cs="Arial" w:eastAsia="Arial" w:hAnsi="Arial"/>
                <w:sz w:val="22"/>
                <w:szCs w:val="22"/>
                <w:b w:val="1"/>
                <w:bCs w:val="1"/>
                <w:color w:val="FFFFFF"/>
              </w:rPr>
              <w:t>Name and Address</w:t>
            </w:r>
          </w:p>
        </w:tc>
        <w:tc>
          <w:tcPr>
            <w:tcW w:w="4940" w:type="dxa"/>
            <w:vAlign w:val="bottom"/>
            <w:shd w:val="clear" w:color="auto" w:fill="29650B"/>
          </w:tcPr>
          <w:p>
            <w:pPr>
              <w:jc w:val="center"/>
              <w:ind w:left="152"/>
              <w:spacing w:after="0"/>
              <w:rPr>
                <w:sz w:val="20"/>
                <w:szCs w:val="20"/>
                <w:color w:val="auto"/>
              </w:rPr>
            </w:pPr>
            <w:r>
              <w:rPr>
                <w:rFonts w:ascii="Arial" w:cs="Arial" w:eastAsia="Arial" w:hAnsi="Arial"/>
                <w:sz w:val="22"/>
                <w:szCs w:val="22"/>
                <w:b w:val="1"/>
                <w:bCs w:val="1"/>
                <w:color w:val="FFFFFF"/>
                <w:w w:val="89"/>
              </w:rPr>
              <w:t>Owned Beneficially, Directly or Indirectly</w:t>
            </w:r>
          </w:p>
        </w:tc>
        <w:tc>
          <w:tcPr>
            <w:tcW w:w="2860" w:type="dxa"/>
            <w:vAlign w:val="bottom"/>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Outstanding Shares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shd w:val="clear" w:color="auto" w:fill="29650B"/>
          </w:tcPr>
          <w:p>
            <w:pPr>
              <w:spacing w:after="0"/>
              <w:rPr>
                <w:sz w:val="14"/>
                <w:szCs w:val="14"/>
                <w:color w:val="auto"/>
              </w:rPr>
            </w:pPr>
          </w:p>
        </w:tc>
        <w:tc>
          <w:tcPr>
            <w:tcW w:w="4940" w:type="dxa"/>
            <w:vAlign w:val="bottom"/>
            <w:tcBorders>
              <w:bottom w:val="single" w:sz="8" w:color="auto"/>
            </w:tcBorders>
            <w:shd w:val="clear" w:color="auto" w:fill="29650B"/>
          </w:tcPr>
          <w:p>
            <w:pPr>
              <w:spacing w:after="0"/>
              <w:rPr>
                <w:sz w:val="14"/>
                <w:szCs w:val="14"/>
                <w:color w:val="auto"/>
              </w:rPr>
            </w:pPr>
          </w:p>
        </w:tc>
        <w:tc>
          <w:tcPr>
            <w:tcW w:w="2860" w:type="dxa"/>
            <w:vAlign w:val="bottom"/>
            <w:tcBorders>
              <w:bottom w:val="single" w:sz="8" w:color="auto"/>
            </w:tcBorders>
            <w:shd w:val="clear" w:color="auto" w:fill="29650B"/>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120"/>
              <w:spacing w:after="0"/>
              <w:rPr>
                <w:sz w:val="20"/>
                <w:szCs w:val="20"/>
                <w:color w:val="auto"/>
              </w:rPr>
            </w:pPr>
            <w:r>
              <w:rPr>
                <w:rFonts w:ascii="Arial" w:cs="Arial" w:eastAsia="Arial" w:hAnsi="Arial"/>
                <w:sz w:val="22"/>
                <w:szCs w:val="22"/>
                <w:color w:val="auto"/>
              </w:rPr>
              <w:t>The Vanguard Group (2)</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520"/>
              <w:spacing w:after="0"/>
              <w:rPr>
                <w:sz w:val="20"/>
                <w:szCs w:val="20"/>
                <w:color w:val="auto"/>
              </w:rPr>
            </w:pPr>
            <w:r>
              <w:rPr>
                <w:rFonts w:ascii="Arial" w:cs="Arial" w:eastAsia="Arial" w:hAnsi="Arial"/>
                <w:sz w:val="22"/>
                <w:szCs w:val="22"/>
                <w:color w:val="auto"/>
              </w:rPr>
              <w:t>100 Vanguard Blvd.</w:t>
            </w:r>
          </w:p>
        </w:tc>
        <w:tc>
          <w:tcPr>
            <w:tcW w:w="4940" w:type="dxa"/>
            <w:vAlign w:val="bottom"/>
          </w:tcPr>
          <w:p>
            <w:pPr>
              <w:jc w:val="center"/>
              <w:ind w:left="152"/>
              <w:spacing w:after="0"/>
              <w:rPr>
                <w:sz w:val="20"/>
                <w:szCs w:val="20"/>
                <w:color w:val="auto"/>
              </w:rPr>
            </w:pPr>
            <w:r>
              <w:rPr>
                <w:rFonts w:ascii="Arial" w:cs="Arial" w:eastAsia="Arial" w:hAnsi="Arial"/>
                <w:sz w:val="22"/>
                <w:szCs w:val="22"/>
                <w:color w:val="auto"/>
                <w:w w:val="87"/>
              </w:rPr>
              <w:t>11,968,559</w:t>
            </w:r>
          </w:p>
        </w:tc>
        <w:tc>
          <w:tcPr>
            <w:tcW w:w="2860" w:type="dxa"/>
            <w:vAlign w:val="bottom"/>
          </w:tcPr>
          <w:p>
            <w:pPr>
              <w:jc w:val="center"/>
              <w:spacing w:after="0"/>
              <w:rPr>
                <w:sz w:val="20"/>
                <w:szCs w:val="20"/>
                <w:color w:val="auto"/>
              </w:rPr>
            </w:pPr>
            <w:r>
              <w:rPr>
                <w:rFonts w:ascii="Arial" w:cs="Arial" w:eastAsia="Arial" w:hAnsi="Arial"/>
                <w:sz w:val="22"/>
                <w:szCs w:val="22"/>
                <w:color w:val="auto"/>
                <w:w w:val="91"/>
              </w:rPr>
              <w:t>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420" w:type="dxa"/>
            <w:vAlign w:val="bottom"/>
          </w:tcPr>
          <w:p>
            <w:pPr>
              <w:ind w:left="520"/>
              <w:spacing w:after="0"/>
              <w:rPr>
                <w:sz w:val="20"/>
                <w:szCs w:val="20"/>
                <w:color w:val="auto"/>
              </w:rPr>
            </w:pPr>
            <w:r>
              <w:rPr>
                <w:rFonts w:ascii="Arial" w:cs="Arial" w:eastAsia="Arial" w:hAnsi="Arial"/>
                <w:sz w:val="22"/>
                <w:szCs w:val="22"/>
                <w:color w:val="auto"/>
              </w:rPr>
              <w:t>Malvern, PA 19355</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3420" w:type="dxa"/>
            <w:vAlign w:val="bottom"/>
            <w:tcBorders>
              <w:bottom w:val="single" w:sz="8" w:color="auto"/>
            </w:tcBorders>
          </w:tcPr>
          <w:p>
            <w:pPr>
              <w:spacing w:after="0"/>
              <w:rPr>
                <w:sz w:val="6"/>
                <w:szCs w:val="6"/>
                <w:color w:val="auto"/>
              </w:rPr>
            </w:pPr>
          </w:p>
        </w:tc>
        <w:tc>
          <w:tcPr>
            <w:tcW w:w="494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420" w:type="dxa"/>
            <w:vAlign w:val="bottom"/>
            <w:shd w:val="clear" w:color="auto" w:fill="D9D9D9"/>
          </w:tcPr>
          <w:p>
            <w:pPr>
              <w:ind w:left="120"/>
              <w:spacing w:after="0"/>
              <w:rPr>
                <w:sz w:val="20"/>
                <w:szCs w:val="20"/>
                <w:color w:val="auto"/>
              </w:rPr>
            </w:pPr>
            <w:r>
              <w:rPr>
                <w:rFonts w:ascii="Arial" w:cs="Arial" w:eastAsia="Arial" w:hAnsi="Arial"/>
                <w:sz w:val="22"/>
                <w:szCs w:val="22"/>
                <w:color w:val="auto"/>
              </w:rPr>
              <w:t>JP Morgan Chase &amp; Co. (3)</w:t>
            </w:r>
          </w:p>
        </w:tc>
        <w:tc>
          <w:tcPr>
            <w:tcW w:w="4940" w:type="dxa"/>
            <w:vAlign w:val="bottom"/>
            <w:shd w:val="clear" w:color="auto" w:fill="D9D9D9"/>
          </w:tcPr>
          <w:p>
            <w:pPr>
              <w:spacing w:after="0"/>
              <w:rPr>
                <w:sz w:val="23"/>
                <w:szCs w:val="23"/>
                <w:color w:val="auto"/>
              </w:rPr>
            </w:pPr>
          </w:p>
        </w:tc>
        <w:tc>
          <w:tcPr>
            <w:tcW w:w="286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D9D9D9"/>
          </w:tcPr>
          <w:p>
            <w:pPr>
              <w:ind w:left="520"/>
              <w:spacing w:after="0"/>
              <w:rPr>
                <w:sz w:val="20"/>
                <w:szCs w:val="20"/>
                <w:color w:val="auto"/>
              </w:rPr>
            </w:pPr>
            <w:r>
              <w:rPr>
                <w:rFonts w:ascii="Arial" w:cs="Arial" w:eastAsia="Arial" w:hAnsi="Arial"/>
                <w:sz w:val="22"/>
                <w:szCs w:val="22"/>
                <w:color w:val="auto"/>
              </w:rPr>
              <w:t>383 Madison Avenue</w:t>
            </w:r>
          </w:p>
        </w:tc>
        <w:tc>
          <w:tcPr>
            <w:tcW w:w="4940" w:type="dxa"/>
            <w:vAlign w:val="bottom"/>
            <w:shd w:val="clear" w:color="auto" w:fill="D9D9D9"/>
          </w:tcPr>
          <w:p>
            <w:pPr>
              <w:jc w:val="center"/>
              <w:ind w:left="132"/>
              <w:spacing w:after="0"/>
              <w:rPr>
                <w:sz w:val="20"/>
                <w:szCs w:val="20"/>
                <w:color w:val="auto"/>
              </w:rPr>
            </w:pPr>
            <w:r>
              <w:rPr>
                <w:rFonts w:ascii="Arial" w:cs="Arial" w:eastAsia="Arial" w:hAnsi="Arial"/>
                <w:sz w:val="22"/>
                <w:szCs w:val="22"/>
                <w:color w:val="auto"/>
                <w:w w:val="87"/>
              </w:rPr>
              <w:t>8,518,556</w:t>
            </w:r>
          </w:p>
        </w:tc>
        <w:tc>
          <w:tcPr>
            <w:tcW w:w="2860" w:type="dxa"/>
            <w:vAlign w:val="bottom"/>
            <w:shd w:val="clear" w:color="auto" w:fill="D9D9D9"/>
          </w:tcPr>
          <w:p>
            <w:pPr>
              <w:jc w:val="center"/>
              <w:spacing w:after="0"/>
              <w:rPr>
                <w:sz w:val="20"/>
                <w:szCs w:val="20"/>
                <w:color w:val="auto"/>
              </w:rPr>
            </w:pPr>
            <w:r>
              <w:rPr>
                <w:rFonts w:ascii="Arial" w:cs="Arial" w:eastAsia="Arial" w:hAnsi="Arial"/>
                <w:sz w:val="22"/>
                <w:szCs w:val="22"/>
                <w:color w:val="auto"/>
                <w:w w:val="91"/>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420" w:type="dxa"/>
            <w:vAlign w:val="bottom"/>
            <w:shd w:val="clear" w:color="auto" w:fill="D9D9D9"/>
          </w:tcPr>
          <w:p>
            <w:pPr>
              <w:ind w:left="520"/>
              <w:spacing w:after="0"/>
              <w:rPr>
                <w:sz w:val="20"/>
                <w:szCs w:val="20"/>
                <w:color w:val="auto"/>
              </w:rPr>
            </w:pPr>
            <w:r>
              <w:rPr>
                <w:rFonts w:ascii="Arial" w:cs="Arial" w:eastAsia="Arial" w:hAnsi="Arial"/>
                <w:sz w:val="22"/>
                <w:szCs w:val="22"/>
                <w:color w:val="auto"/>
              </w:rPr>
              <w:t>New York, NY 10179</w:t>
            </w:r>
          </w:p>
        </w:tc>
        <w:tc>
          <w:tcPr>
            <w:tcW w:w="4940" w:type="dxa"/>
            <w:vAlign w:val="bottom"/>
            <w:shd w:val="clear" w:color="auto" w:fill="D9D9D9"/>
          </w:tcPr>
          <w:p>
            <w:pPr>
              <w:spacing w:after="0"/>
              <w:rPr>
                <w:sz w:val="23"/>
                <w:szCs w:val="23"/>
                <w:color w:val="auto"/>
              </w:rPr>
            </w:pPr>
          </w:p>
        </w:tc>
        <w:tc>
          <w:tcPr>
            <w:tcW w:w="286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3420" w:type="dxa"/>
            <w:vAlign w:val="bottom"/>
            <w:tcBorders>
              <w:bottom w:val="single" w:sz="8" w:color="auto"/>
            </w:tcBorders>
            <w:shd w:val="clear" w:color="auto" w:fill="D9D9D9"/>
          </w:tcPr>
          <w:p>
            <w:pPr>
              <w:spacing w:after="0"/>
              <w:rPr>
                <w:sz w:val="6"/>
                <w:szCs w:val="6"/>
                <w:color w:val="auto"/>
              </w:rPr>
            </w:pPr>
          </w:p>
        </w:tc>
        <w:tc>
          <w:tcPr>
            <w:tcW w:w="4940" w:type="dxa"/>
            <w:vAlign w:val="bottom"/>
            <w:tcBorders>
              <w:bottom w:val="single" w:sz="8" w:color="auto"/>
            </w:tcBorders>
            <w:shd w:val="clear" w:color="auto" w:fill="D9D9D9"/>
          </w:tcPr>
          <w:p>
            <w:pPr>
              <w:spacing w:after="0"/>
              <w:rPr>
                <w:sz w:val="6"/>
                <w:szCs w:val="6"/>
                <w:color w:val="auto"/>
              </w:rPr>
            </w:pPr>
          </w:p>
        </w:tc>
        <w:tc>
          <w:tcPr>
            <w:tcW w:w="286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120"/>
              <w:spacing w:after="0"/>
              <w:rPr>
                <w:sz w:val="20"/>
                <w:szCs w:val="20"/>
                <w:color w:val="auto"/>
              </w:rPr>
            </w:pPr>
            <w:r>
              <w:rPr>
                <w:rFonts w:ascii="Arial" w:cs="Arial" w:eastAsia="Arial" w:hAnsi="Arial"/>
                <w:sz w:val="22"/>
                <w:szCs w:val="22"/>
                <w:color w:val="auto"/>
              </w:rPr>
              <w:t>Janus Henderson Group plc (4)</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520"/>
              <w:spacing w:after="0" w:line="243" w:lineRule="exact"/>
              <w:rPr>
                <w:sz w:val="20"/>
                <w:szCs w:val="20"/>
                <w:color w:val="auto"/>
              </w:rPr>
            </w:pPr>
            <w:r>
              <w:rPr>
                <w:rFonts w:ascii="Arial" w:cs="Arial" w:eastAsia="Arial" w:hAnsi="Arial"/>
                <w:sz w:val="22"/>
                <w:szCs w:val="22"/>
                <w:color w:val="auto"/>
              </w:rPr>
              <w:t>201 Bishopsgate</w:t>
            </w:r>
          </w:p>
        </w:tc>
        <w:tc>
          <w:tcPr>
            <w:tcW w:w="4940" w:type="dxa"/>
            <w:vAlign w:val="bottom"/>
            <w:vMerge w:val="restart"/>
          </w:tcPr>
          <w:p>
            <w:pPr>
              <w:jc w:val="center"/>
              <w:ind w:left="132"/>
              <w:spacing w:after="0"/>
              <w:rPr>
                <w:sz w:val="20"/>
                <w:szCs w:val="20"/>
                <w:color w:val="auto"/>
              </w:rPr>
            </w:pPr>
            <w:r>
              <w:rPr>
                <w:rFonts w:ascii="Arial" w:cs="Arial" w:eastAsia="Arial" w:hAnsi="Arial"/>
                <w:sz w:val="22"/>
                <w:szCs w:val="22"/>
                <w:color w:val="auto"/>
                <w:w w:val="87"/>
              </w:rPr>
              <w:t>7,323,332</w:t>
            </w:r>
          </w:p>
        </w:tc>
        <w:tc>
          <w:tcPr>
            <w:tcW w:w="2860" w:type="dxa"/>
            <w:vAlign w:val="bottom"/>
            <w:vMerge w:val="restart"/>
          </w:tcPr>
          <w:p>
            <w:pPr>
              <w:jc w:val="center"/>
              <w:spacing w:after="0"/>
              <w:rPr>
                <w:sz w:val="20"/>
                <w:szCs w:val="20"/>
                <w:color w:val="auto"/>
              </w:rPr>
            </w:pPr>
            <w:r>
              <w:rPr>
                <w:rFonts w:ascii="Arial" w:cs="Arial" w:eastAsia="Arial" w:hAnsi="Arial"/>
                <w:sz w:val="22"/>
                <w:szCs w:val="22"/>
                <w:color w:val="auto"/>
                <w:w w:val="91"/>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520"/>
              <w:spacing w:after="0" w:line="243" w:lineRule="exact"/>
              <w:rPr>
                <w:sz w:val="20"/>
                <w:szCs w:val="20"/>
                <w:color w:val="auto"/>
              </w:rPr>
            </w:pPr>
            <w:r>
              <w:rPr>
                <w:rFonts w:ascii="Arial" w:cs="Arial" w:eastAsia="Arial" w:hAnsi="Arial"/>
                <w:sz w:val="22"/>
                <w:szCs w:val="22"/>
                <w:color w:val="auto"/>
              </w:rPr>
              <w:t>EC2M 3AE</w:t>
            </w:r>
          </w:p>
        </w:tc>
        <w:tc>
          <w:tcPr>
            <w:tcW w:w="4940" w:type="dxa"/>
            <w:vAlign w:val="bottom"/>
            <w:vMerge w:val="continue"/>
          </w:tcPr>
          <w:p>
            <w:pPr>
              <w:spacing w:after="0"/>
              <w:rPr>
                <w:sz w:val="21"/>
                <w:szCs w:val="21"/>
                <w:color w:val="auto"/>
              </w:rPr>
            </w:pPr>
          </w:p>
        </w:tc>
        <w:tc>
          <w:tcPr>
            <w:tcW w:w="2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420" w:type="dxa"/>
            <w:vAlign w:val="bottom"/>
          </w:tcPr>
          <w:p>
            <w:pPr>
              <w:ind w:left="520"/>
              <w:spacing w:after="0"/>
              <w:rPr>
                <w:sz w:val="20"/>
                <w:szCs w:val="20"/>
                <w:color w:val="auto"/>
              </w:rPr>
            </w:pPr>
            <w:r>
              <w:rPr>
                <w:rFonts w:ascii="Arial" w:cs="Arial" w:eastAsia="Arial" w:hAnsi="Arial"/>
                <w:sz w:val="22"/>
                <w:szCs w:val="22"/>
                <w:color w:val="auto"/>
              </w:rPr>
              <w:t>United Kingdom</w:t>
            </w:r>
          </w:p>
        </w:tc>
        <w:tc>
          <w:tcPr>
            <w:tcW w:w="49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2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3420" w:type="dxa"/>
            <w:vAlign w:val="bottom"/>
            <w:shd w:val="clear" w:color="auto" w:fill="D9D9D9"/>
          </w:tcPr>
          <w:p>
            <w:pPr>
              <w:ind w:left="120"/>
              <w:spacing w:after="0"/>
              <w:rPr>
                <w:sz w:val="20"/>
                <w:szCs w:val="20"/>
                <w:color w:val="auto"/>
              </w:rPr>
            </w:pPr>
            <w:r>
              <w:rPr>
                <w:rFonts w:ascii="Arial" w:cs="Arial" w:eastAsia="Arial" w:hAnsi="Arial"/>
                <w:sz w:val="22"/>
                <w:szCs w:val="22"/>
                <w:color w:val="auto"/>
              </w:rPr>
              <w:t>BlackRock, Inc. (5)</w:t>
            </w:r>
          </w:p>
        </w:tc>
        <w:tc>
          <w:tcPr>
            <w:tcW w:w="4940" w:type="dxa"/>
            <w:vAlign w:val="bottom"/>
            <w:shd w:val="clear" w:color="auto" w:fill="D9D9D9"/>
          </w:tcPr>
          <w:p>
            <w:pPr>
              <w:spacing w:after="0"/>
              <w:rPr>
                <w:sz w:val="24"/>
                <w:szCs w:val="24"/>
                <w:color w:val="auto"/>
              </w:rPr>
            </w:pPr>
          </w:p>
        </w:tc>
        <w:tc>
          <w:tcPr>
            <w:tcW w:w="286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20" w:type="dxa"/>
            <w:vAlign w:val="bottom"/>
            <w:shd w:val="clear" w:color="auto" w:fill="D9D9D9"/>
          </w:tcPr>
          <w:p>
            <w:pPr>
              <w:ind w:left="520"/>
              <w:spacing w:after="0" w:line="290" w:lineRule="exact"/>
              <w:rPr>
                <w:sz w:val="20"/>
                <w:szCs w:val="20"/>
                <w:color w:val="auto"/>
              </w:rPr>
            </w:pPr>
            <w:r>
              <w:rPr>
                <w:rFonts w:ascii="Arial" w:cs="Arial" w:eastAsia="Arial" w:hAnsi="Arial"/>
                <w:sz w:val="21"/>
                <w:szCs w:val="21"/>
                <w:color w:val="auto"/>
              </w:rPr>
              <w:t>55 East 52</w:t>
            </w:r>
            <w:r>
              <w:rPr>
                <w:rFonts w:ascii="Arial" w:cs="Arial" w:eastAsia="Arial" w:hAnsi="Arial"/>
                <w:sz w:val="33"/>
                <w:szCs w:val="33"/>
                <w:color w:val="auto"/>
                <w:vertAlign w:val="superscript"/>
              </w:rPr>
              <w:t>nd</w:t>
            </w:r>
            <w:r>
              <w:rPr>
                <w:rFonts w:ascii="Arial" w:cs="Arial" w:eastAsia="Arial" w:hAnsi="Arial"/>
                <w:sz w:val="21"/>
                <w:szCs w:val="21"/>
                <w:color w:val="auto"/>
              </w:rPr>
              <w:t xml:space="preserve"> Street</w:t>
            </w:r>
          </w:p>
        </w:tc>
        <w:tc>
          <w:tcPr>
            <w:tcW w:w="4940" w:type="dxa"/>
            <w:vAlign w:val="bottom"/>
            <w:shd w:val="clear" w:color="auto" w:fill="D9D9D9"/>
          </w:tcPr>
          <w:p>
            <w:pPr>
              <w:jc w:val="center"/>
              <w:ind w:left="132"/>
              <w:spacing w:after="0"/>
              <w:rPr>
                <w:sz w:val="20"/>
                <w:szCs w:val="20"/>
                <w:color w:val="auto"/>
              </w:rPr>
            </w:pPr>
            <w:r>
              <w:rPr>
                <w:rFonts w:ascii="Arial" w:cs="Arial" w:eastAsia="Arial" w:hAnsi="Arial"/>
                <w:sz w:val="22"/>
                <w:szCs w:val="22"/>
                <w:color w:val="auto"/>
                <w:w w:val="87"/>
              </w:rPr>
              <w:t>6,812,394</w:t>
            </w:r>
          </w:p>
        </w:tc>
        <w:tc>
          <w:tcPr>
            <w:tcW w:w="2860" w:type="dxa"/>
            <w:vAlign w:val="bottom"/>
            <w:shd w:val="clear" w:color="auto" w:fill="D9D9D9"/>
          </w:tcPr>
          <w:p>
            <w:pPr>
              <w:jc w:val="center"/>
              <w:spacing w:after="0"/>
              <w:rPr>
                <w:sz w:val="20"/>
                <w:szCs w:val="20"/>
                <w:color w:val="auto"/>
              </w:rPr>
            </w:pPr>
            <w:r>
              <w:rPr>
                <w:rFonts w:ascii="Arial" w:cs="Arial" w:eastAsia="Arial" w:hAnsi="Arial"/>
                <w:sz w:val="22"/>
                <w:szCs w:val="22"/>
                <w:color w:val="auto"/>
                <w:w w:val="91"/>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20" w:type="dxa"/>
            <w:vAlign w:val="bottom"/>
            <w:shd w:val="clear" w:color="auto" w:fill="D9D9D9"/>
          </w:tcPr>
          <w:p>
            <w:pPr>
              <w:ind w:left="520"/>
              <w:spacing w:after="0"/>
              <w:rPr>
                <w:sz w:val="20"/>
                <w:szCs w:val="20"/>
                <w:color w:val="auto"/>
              </w:rPr>
            </w:pPr>
            <w:r>
              <w:rPr>
                <w:rFonts w:ascii="Arial" w:cs="Arial" w:eastAsia="Arial" w:hAnsi="Arial"/>
                <w:sz w:val="22"/>
                <w:szCs w:val="22"/>
                <w:color w:val="auto"/>
              </w:rPr>
              <w:t>New York, NY 10055</w:t>
            </w:r>
          </w:p>
        </w:tc>
        <w:tc>
          <w:tcPr>
            <w:tcW w:w="4940" w:type="dxa"/>
            <w:vAlign w:val="bottom"/>
            <w:shd w:val="clear" w:color="auto" w:fill="D9D9D9"/>
          </w:tcPr>
          <w:p>
            <w:pPr>
              <w:spacing w:after="0"/>
              <w:rPr>
                <w:sz w:val="23"/>
                <w:szCs w:val="23"/>
                <w:color w:val="auto"/>
              </w:rPr>
            </w:pPr>
          </w:p>
        </w:tc>
        <w:tc>
          <w:tcPr>
            <w:tcW w:w="2860" w:type="dxa"/>
            <w:vAlign w:val="bottom"/>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20" w:type="dxa"/>
            <w:vAlign w:val="bottom"/>
            <w:shd w:val="clear" w:color="auto" w:fill="D9D9D9"/>
          </w:tcPr>
          <w:p>
            <w:pPr>
              <w:spacing w:after="0"/>
              <w:rPr>
                <w:sz w:val="8"/>
                <w:szCs w:val="8"/>
                <w:color w:val="auto"/>
              </w:rPr>
            </w:pPr>
          </w:p>
        </w:tc>
        <w:tc>
          <w:tcPr>
            <w:tcW w:w="4940" w:type="dxa"/>
            <w:vAlign w:val="bottom"/>
            <w:shd w:val="clear" w:color="auto" w:fill="D9D9D9"/>
          </w:tcPr>
          <w:p>
            <w:pPr>
              <w:spacing w:after="0"/>
              <w:rPr>
                <w:sz w:val="8"/>
                <w:szCs w:val="8"/>
                <w:color w:val="auto"/>
              </w:rPr>
            </w:pPr>
          </w:p>
        </w:tc>
        <w:tc>
          <w:tcPr>
            <w:tcW w:w="2860" w:type="dxa"/>
            <w:vAlign w:val="bottom"/>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20" w:hanging="301"/>
        <w:spacing w:after="0"/>
        <w:tabs>
          <w:tab w:leader="none" w:pos="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Percentages are derived based upon 134,912,097 shares of Common Stock outstanding as of March 2, 2021.</w:t>
      </w:r>
    </w:p>
    <w:p>
      <w:pPr>
        <w:spacing w:after="0" w:line="98" w:lineRule="exact"/>
        <w:rPr>
          <w:rFonts w:ascii="Arial" w:cs="Arial" w:eastAsia="Arial" w:hAnsi="Arial"/>
          <w:sz w:val="22"/>
          <w:szCs w:val="22"/>
          <w:color w:val="auto"/>
        </w:rPr>
      </w:pPr>
    </w:p>
    <w:p>
      <w:pPr>
        <w:jc w:val="both"/>
        <w:ind w:left="420" w:right="260" w:hanging="301"/>
        <w:spacing w:after="0" w:line="238" w:lineRule="auto"/>
        <w:tabs>
          <w:tab w:leader="none" w:pos="4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Vanguard Group, an investment advisor, reported that it may be deemed to be the beneficial owner of 11,968,559 shares of the Company’s Common Stock. The Vanguard Group reported that it had sole dispositive power with respect to 11,745,103 shares, including 117,151 shares for which it had shared voting power, and shared dispositive power with respect to 223,456 shares.</w:t>
      </w:r>
    </w:p>
    <w:p>
      <w:pPr>
        <w:spacing w:after="0" w:line="76" w:lineRule="exact"/>
        <w:rPr>
          <w:rFonts w:ascii="Arial" w:cs="Arial" w:eastAsia="Arial" w:hAnsi="Arial"/>
          <w:sz w:val="22"/>
          <w:szCs w:val="22"/>
          <w:color w:val="auto"/>
        </w:rPr>
      </w:pPr>
    </w:p>
    <w:p>
      <w:pPr>
        <w:jc w:val="both"/>
        <w:ind w:left="420" w:right="260" w:hanging="301"/>
        <w:spacing w:after="0" w:line="252" w:lineRule="auto"/>
        <w:tabs>
          <w:tab w:leader="none" w:pos="442" w:val="left"/>
        </w:tabs>
        <w:numPr>
          <w:ilvl w:val="0"/>
          <w:numId w:val="21"/>
        </w:numPr>
        <w:rPr>
          <w:rFonts w:ascii="Arial" w:cs="Arial" w:eastAsia="Arial" w:hAnsi="Arial"/>
          <w:sz w:val="21"/>
          <w:szCs w:val="21"/>
          <w:color w:val="auto"/>
        </w:rPr>
      </w:pPr>
      <w:r>
        <w:rPr>
          <w:rFonts w:ascii="Arial" w:cs="Arial" w:eastAsia="Arial" w:hAnsi="Arial"/>
          <w:sz w:val="21"/>
          <w:szCs w:val="21"/>
          <w:color w:val="auto"/>
        </w:rPr>
        <w:t>JP Morgan Chase &amp; Co., a parent holding company, reported that it may be deemed to be the beneficial owner of 8,518,556 shares of the Company’s Common Stock. JP Morgan Chase &amp; Co. reported that it had sole dispositive power with respect to 8,487,669 shares, including 7,778,630 shares for which it had sole voting power and 28,950 shares for which it had shared voting power, and shared dispositive power with respect to 29 shares.</w:t>
      </w:r>
    </w:p>
    <w:p>
      <w:pPr>
        <w:spacing w:after="0" w:line="65" w:lineRule="exact"/>
        <w:rPr>
          <w:rFonts w:ascii="Arial" w:cs="Arial" w:eastAsia="Arial" w:hAnsi="Arial"/>
          <w:sz w:val="21"/>
          <w:szCs w:val="21"/>
          <w:color w:val="auto"/>
        </w:rPr>
      </w:pPr>
    </w:p>
    <w:p>
      <w:pPr>
        <w:jc w:val="both"/>
        <w:ind w:left="420" w:right="260" w:hanging="301"/>
        <w:spacing w:after="0"/>
        <w:tabs>
          <w:tab w:leader="none" w:pos="4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Janus Henderson Group plc, a parent holding company, reported that it may be deemed to be the beneficial owner of 7,323,332 shares of the Company’s Common Stock. Janus Henderson Group plc reported that it had shared voting power and shared dispositive power with respect to 7,323,332 shares.</w:t>
      </w:r>
    </w:p>
    <w:p>
      <w:pPr>
        <w:spacing w:after="0" w:line="78" w:lineRule="exact"/>
        <w:rPr>
          <w:rFonts w:ascii="Arial" w:cs="Arial" w:eastAsia="Arial" w:hAnsi="Arial"/>
          <w:sz w:val="22"/>
          <w:szCs w:val="22"/>
          <w:color w:val="auto"/>
        </w:rPr>
      </w:pPr>
    </w:p>
    <w:p>
      <w:pPr>
        <w:jc w:val="both"/>
        <w:ind w:left="420" w:right="260" w:hanging="301"/>
        <w:spacing w:after="0"/>
        <w:tabs>
          <w:tab w:leader="none" w:pos="442" w:val="left"/>
        </w:tabs>
        <w:numPr>
          <w:ilvl w:val="0"/>
          <w:numId w:val="21"/>
        </w:numPr>
        <w:rPr>
          <w:rFonts w:ascii="Arial" w:cs="Arial" w:eastAsia="Arial" w:hAnsi="Arial"/>
          <w:sz w:val="22"/>
          <w:szCs w:val="22"/>
          <w:color w:val="auto"/>
        </w:rPr>
      </w:pPr>
      <w:r>
        <w:rPr>
          <w:rFonts w:ascii="Arial" w:cs="Arial" w:eastAsia="Arial" w:hAnsi="Arial"/>
          <w:sz w:val="22"/>
          <w:szCs w:val="22"/>
          <w:color w:val="auto"/>
        </w:rPr>
        <w:t>BlackRock, Inc., a parent holding company, reported that it may be deemed to be the beneficial owner of 6,812,394 shares of the Company’s Common Stock. BlackRock, Inc. reported that it had sole dispositive power with respect to 6,812,394 shares, including 6,068,303 shares for which it had sole voting power.</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449" w:right="339" w:bottom="1440" w:gutter="0" w:footer="0" w:header="0"/>
        </w:sectPr>
      </w:pPr>
    </w:p>
    <w:bookmarkStart w:id="27" w:name="page28"/>
    <w:bookmarkEnd w:id="27"/>
    <w:p>
      <w:pPr>
        <w:jc w:val="both"/>
        <w:ind w:firstLine="648"/>
        <w:spacing w:after="0" w:line="287" w:lineRule="auto"/>
        <w:rPr>
          <w:sz w:val="20"/>
          <w:szCs w:val="20"/>
          <w:color w:val="auto"/>
        </w:rPr>
      </w:pPr>
      <w:r>
        <w:rPr>
          <w:rFonts w:ascii="Arial" w:cs="Arial" w:eastAsia="Arial" w:hAnsi="Arial"/>
          <w:sz w:val="19"/>
          <w:szCs w:val="19"/>
          <w:color w:val="auto"/>
        </w:rPr>
        <w:t>The following table shows, as of March 2, 2021, the number of shares of Common Stock beneficially owned by each Director; the Company’s Chief Executive Officer, Chief Financial Officer and the three other Executive Officers who were the highest paid during 2020;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5528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Borders>
              <w:top w:val="single" w:sz="8" w:color="auto"/>
            </w:tcBorders>
            <w:vMerge w:val="restart"/>
            <w:shd w:val="clear" w:color="auto" w:fill="29650B"/>
          </w:tcPr>
          <w:p>
            <w:pPr>
              <w:ind w:left="1320"/>
              <w:spacing w:after="0"/>
              <w:rPr>
                <w:sz w:val="20"/>
                <w:szCs w:val="20"/>
                <w:color w:val="auto"/>
              </w:rPr>
            </w:pPr>
            <w:r>
              <w:rPr>
                <w:rFonts w:ascii="Arial" w:cs="Arial" w:eastAsia="Arial" w:hAnsi="Arial"/>
                <w:sz w:val="22"/>
                <w:szCs w:val="22"/>
                <w:b w:val="1"/>
                <w:bCs w:val="1"/>
                <w:color w:val="FFFFFF"/>
              </w:rPr>
              <w:t>Name</w:t>
            </w:r>
          </w:p>
        </w:tc>
        <w:tc>
          <w:tcPr>
            <w:tcW w:w="4900" w:type="dxa"/>
            <w:vAlign w:val="bottom"/>
            <w:tcBorders>
              <w:top w:val="single" w:sz="8" w:color="auto"/>
            </w:tcBorders>
            <w:shd w:val="clear" w:color="auto" w:fill="29650B"/>
          </w:tcPr>
          <w:p>
            <w:pPr>
              <w:jc w:val="right"/>
              <w:ind w:right="392"/>
              <w:spacing w:after="0" w:line="229" w:lineRule="exact"/>
              <w:rPr>
                <w:sz w:val="20"/>
                <w:szCs w:val="20"/>
                <w:color w:val="auto"/>
              </w:rPr>
            </w:pPr>
            <w:r>
              <w:rPr>
                <w:rFonts w:ascii="Arial" w:cs="Arial" w:eastAsia="Arial" w:hAnsi="Arial"/>
                <w:sz w:val="22"/>
                <w:szCs w:val="22"/>
                <w:b w:val="1"/>
                <w:bCs w:val="1"/>
                <w:color w:val="FFFFFF"/>
                <w:w w:val="97"/>
              </w:rPr>
              <w:t>Amount of Common Stock of the Company</w:t>
            </w:r>
          </w:p>
        </w:tc>
        <w:tc>
          <w:tcPr>
            <w:tcW w:w="3160" w:type="dxa"/>
            <w:vAlign w:val="bottom"/>
            <w:tcBorders>
              <w:top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86"/>
              </w:rPr>
              <w:t>Percentage of</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60" w:type="dxa"/>
            <w:vAlign w:val="bottom"/>
            <w:vMerge w:val="continue"/>
            <w:shd w:val="clear" w:color="auto" w:fill="29650B"/>
          </w:tcPr>
          <w:p>
            <w:pPr>
              <w:spacing w:after="0"/>
              <w:rPr>
                <w:sz w:val="23"/>
                <w:szCs w:val="23"/>
                <w:color w:val="auto"/>
              </w:rPr>
            </w:pPr>
          </w:p>
        </w:tc>
        <w:tc>
          <w:tcPr>
            <w:tcW w:w="4900" w:type="dxa"/>
            <w:vAlign w:val="bottom"/>
            <w:shd w:val="clear" w:color="auto" w:fill="29650B"/>
          </w:tcPr>
          <w:p>
            <w:pPr>
              <w:jc w:val="right"/>
              <w:ind w:right="452"/>
              <w:spacing w:after="0"/>
              <w:rPr>
                <w:sz w:val="20"/>
                <w:szCs w:val="20"/>
                <w:color w:val="auto"/>
              </w:rPr>
            </w:pPr>
            <w:r>
              <w:rPr>
                <w:rFonts w:ascii="Arial" w:cs="Arial" w:eastAsia="Arial" w:hAnsi="Arial"/>
                <w:sz w:val="22"/>
                <w:szCs w:val="22"/>
                <w:b w:val="1"/>
                <w:bCs w:val="1"/>
                <w:color w:val="FFFFFF"/>
              </w:rPr>
              <w:t>Owned Beneficially, Directly or Indirectly</w:t>
            </w:r>
          </w:p>
        </w:tc>
        <w:tc>
          <w:tcPr>
            <w:tcW w:w="3160" w:type="dxa"/>
            <w:vAlign w:val="bottom"/>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Outstanding Shares (1)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3160" w:type="dxa"/>
            <w:vAlign w:val="bottom"/>
          </w:tcPr>
          <w:p>
            <w:pPr>
              <w:ind w:left="120"/>
              <w:spacing w:after="0"/>
              <w:rPr>
                <w:sz w:val="20"/>
                <w:szCs w:val="20"/>
                <w:color w:val="auto"/>
              </w:rPr>
            </w:pPr>
            <w:r>
              <w:rPr>
                <w:rFonts w:ascii="Arial" w:cs="Arial" w:eastAsia="Arial" w:hAnsi="Arial"/>
                <w:sz w:val="22"/>
                <w:szCs w:val="22"/>
                <w:color w:val="auto"/>
              </w:rPr>
              <w:t>John Conway</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1,031,933</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Timothy Donahue (2)</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637,682</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Richard Fearon (3)</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3,531</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Andrea Funk</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8,564</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Gerard Gifford</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161,896</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Stephen Hagge</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2,338</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Thomas Kelly (2)</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133,172</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Rose Lee</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10,134</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James Miller</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25,001</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Josef Müller</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24,314</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Djalma Novaes</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77,473</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B. Craig Owens</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2,338</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Didier Sourisseau</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91,760</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Caesar Sweitzer</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15,914</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Jim Turner</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92,725</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William Urkiel</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51,944</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120"/>
              <w:spacing w:after="0"/>
              <w:rPr>
                <w:sz w:val="20"/>
                <w:szCs w:val="20"/>
                <w:color w:val="auto"/>
              </w:rPr>
            </w:pPr>
            <w:r>
              <w:rPr>
                <w:rFonts w:ascii="Arial" w:cs="Arial" w:eastAsia="Arial" w:hAnsi="Arial"/>
                <w:sz w:val="22"/>
                <w:szCs w:val="22"/>
                <w:color w:val="auto"/>
              </w:rPr>
              <w:t>Dwayne Wilson</w:t>
            </w:r>
          </w:p>
        </w:tc>
        <w:tc>
          <w:tcPr>
            <w:tcW w:w="4900" w:type="dxa"/>
            <w:vAlign w:val="bottom"/>
          </w:tcPr>
          <w:p>
            <w:pPr>
              <w:jc w:val="right"/>
              <w:ind w:right="1372"/>
              <w:spacing w:after="0"/>
              <w:rPr>
                <w:sz w:val="20"/>
                <w:szCs w:val="20"/>
                <w:color w:val="auto"/>
              </w:rPr>
            </w:pPr>
            <w:r>
              <w:rPr>
                <w:rFonts w:ascii="Arial" w:cs="Arial" w:eastAsia="Arial" w:hAnsi="Arial"/>
                <w:sz w:val="22"/>
                <w:szCs w:val="22"/>
                <w:color w:val="auto"/>
              </w:rPr>
              <w:t>368</w:t>
            </w:r>
          </w:p>
        </w:tc>
        <w:tc>
          <w:tcPr>
            <w:tcW w:w="3160" w:type="dxa"/>
            <w:vAlign w:val="bottom"/>
          </w:tcPr>
          <w:p>
            <w:pPr>
              <w:jc w:val="cente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160" w:type="dxa"/>
            <w:vAlign w:val="bottom"/>
            <w:shd w:val="clear" w:color="auto" w:fill="D9D9D9"/>
          </w:tcPr>
          <w:p>
            <w:pPr>
              <w:ind w:left="120"/>
              <w:spacing w:after="0"/>
              <w:rPr>
                <w:sz w:val="20"/>
                <w:szCs w:val="20"/>
                <w:color w:val="auto"/>
              </w:rPr>
            </w:pPr>
            <w:r>
              <w:rPr>
                <w:rFonts w:ascii="Arial" w:cs="Arial" w:eastAsia="Arial" w:hAnsi="Arial"/>
                <w:sz w:val="22"/>
                <w:szCs w:val="22"/>
                <w:color w:val="auto"/>
              </w:rPr>
              <w:t>Directors and Executive</w:t>
            </w:r>
          </w:p>
        </w:tc>
        <w:tc>
          <w:tcPr>
            <w:tcW w:w="4900" w:type="dxa"/>
            <w:vAlign w:val="bottom"/>
            <w:shd w:val="clear" w:color="auto" w:fill="D9D9D9"/>
          </w:tcPr>
          <w:p>
            <w:pPr>
              <w:spacing w:after="0"/>
              <w:rPr>
                <w:sz w:val="24"/>
                <w:szCs w:val="24"/>
                <w:color w:val="auto"/>
              </w:rPr>
            </w:pPr>
          </w:p>
        </w:tc>
        <w:tc>
          <w:tcPr>
            <w:tcW w:w="3160" w:type="dxa"/>
            <w:vAlign w:val="bottom"/>
            <w:shd w:val="clear" w:color="auto" w:fill="D9D9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60" w:type="dxa"/>
            <w:vAlign w:val="bottom"/>
            <w:shd w:val="clear" w:color="auto" w:fill="D9D9D9"/>
          </w:tcPr>
          <w:p>
            <w:pPr>
              <w:ind w:left="240"/>
              <w:spacing w:after="0"/>
              <w:rPr>
                <w:sz w:val="20"/>
                <w:szCs w:val="20"/>
                <w:color w:val="auto"/>
              </w:rPr>
            </w:pPr>
            <w:r>
              <w:rPr>
                <w:rFonts w:ascii="Arial" w:cs="Arial" w:eastAsia="Arial" w:hAnsi="Arial"/>
                <w:sz w:val="22"/>
                <w:szCs w:val="22"/>
                <w:color w:val="auto"/>
              </w:rPr>
              <w:t>Officers as a Group of 20</w:t>
            </w:r>
          </w:p>
        </w:tc>
        <w:tc>
          <w:tcPr>
            <w:tcW w:w="4900" w:type="dxa"/>
            <w:vAlign w:val="bottom"/>
            <w:shd w:val="clear" w:color="auto" w:fill="D9D9D9"/>
          </w:tcPr>
          <w:p>
            <w:pPr>
              <w:jc w:val="right"/>
              <w:ind w:right="1372"/>
              <w:spacing w:after="0"/>
              <w:rPr>
                <w:sz w:val="20"/>
                <w:szCs w:val="20"/>
                <w:color w:val="auto"/>
              </w:rPr>
            </w:pPr>
            <w:r>
              <w:rPr>
                <w:rFonts w:ascii="Arial" w:cs="Arial" w:eastAsia="Arial" w:hAnsi="Arial"/>
                <w:sz w:val="22"/>
                <w:szCs w:val="22"/>
                <w:color w:val="auto"/>
              </w:rPr>
              <w:t>2,499,081</w:t>
            </w:r>
          </w:p>
        </w:tc>
        <w:tc>
          <w:tcPr>
            <w:tcW w:w="3160" w:type="dxa"/>
            <w:vAlign w:val="bottom"/>
            <w:shd w:val="clear" w:color="auto" w:fill="D9D9D9"/>
          </w:tcPr>
          <w:p>
            <w:pPr>
              <w:jc w:val="center"/>
              <w:spacing w:after="0"/>
              <w:rPr>
                <w:sz w:val="20"/>
                <w:szCs w:val="20"/>
                <w:color w:val="auto"/>
              </w:rPr>
            </w:pPr>
            <w:r>
              <w:rPr>
                <w:rFonts w:ascii="Arial" w:cs="Arial" w:eastAsia="Arial" w:hAnsi="Arial"/>
                <w:sz w:val="22"/>
                <w:szCs w:val="22"/>
                <w:color w:val="auto"/>
                <w:w w:val="91"/>
              </w:rPr>
              <w:t>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D9D9D9"/>
          </w:tcPr>
          <w:p>
            <w:pPr>
              <w:spacing w:after="0"/>
              <w:rPr>
                <w:sz w:val="21"/>
                <w:szCs w:val="21"/>
                <w:color w:val="auto"/>
              </w:rPr>
            </w:pPr>
          </w:p>
        </w:tc>
        <w:tc>
          <w:tcPr>
            <w:tcW w:w="4900" w:type="dxa"/>
            <w:vAlign w:val="bottom"/>
            <w:shd w:val="clear" w:color="auto" w:fill="D9D9D9"/>
          </w:tcPr>
          <w:p>
            <w:pPr>
              <w:spacing w:after="0"/>
              <w:rPr>
                <w:sz w:val="21"/>
                <w:szCs w:val="21"/>
                <w:color w:val="auto"/>
              </w:rPr>
            </w:pPr>
          </w:p>
        </w:tc>
        <w:tc>
          <w:tcPr>
            <w:tcW w:w="3160" w:type="dxa"/>
            <w:vAlign w:val="bottom"/>
            <w:shd w:val="clear" w:color="auto" w:fill="D9D9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22"/>
          <w:szCs w:val="22"/>
          <w:color w:val="auto"/>
        </w:rPr>
        <w:t>* Less than 1%</w:t>
      </w:r>
    </w:p>
    <w:p>
      <w:pPr>
        <w:spacing w:after="0" w:line="198" w:lineRule="exact"/>
        <w:rPr>
          <w:sz w:val="20"/>
          <w:szCs w:val="20"/>
          <w:color w:val="auto"/>
        </w:rPr>
      </w:pPr>
    </w:p>
    <w:p>
      <w:pPr>
        <w:ind w:left="440" w:hanging="315"/>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Percentages are derived based upon 134,912,097 shares of Common Stock outstanding as of March 2, 2021.</w:t>
      </w:r>
    </w:p>
    <w:p>
      <w:pPr>
        <w:spacing w:after="0" w:line="98" w:lineRule="exact"/>
        <w:rPr>
          <w:rFonts w:ascii="Arial" w:cs="Arial" w:eastAsia="Arial" w:hAnsi="Arial"/>
          <w:sz w:val="22"/>
          <w:szCs w:val="22"/>
          <w:color w:val="auto"/>
        </w:rPr>
      </w:pPr>
    </w:p>
    <w:p>
      <w:pPr>
        <w:jc w:val="both"/>
        <w:ind w:left="440" w:right="120" w:hanging="315"/>
        <w:spacing w:after="0" w:line="238" w:lineRule="auto"/>
        <w:tabs>
          <w:tab w:leader="none" w:pos="438" w:val="left"/>
        </w:tabs>
        <w:numPr>
          <w:ilvl w:val="0"/>
          <w:numId w:val="22"/>
        </w:numPr>
        <w:rPr>
          <w:rFonts w:ascii="Arial" w:cs="Arial" w:eastAsia="Arial" w:hAnsi="Arial"/>
          <w:sz w:val="22"/>
          <w:szCs w:val="22"/>
          <w:color w:val="auto"/>
        </w:rPr>
      </w:pPr>
      <w:r>
        <w:rPr>
          <w:rFonts w:ascii="Arial" w:cs="Arial" w:eastAsia="Arial" w:hAnsi="Arial"/>
          <w:sz w:val="22"/>
          <w:szCs w:val="22"/>
          <w:color w:val="auto"/>
        </w:rPr>
        <w:t>Excludes 3,000,000 shares of Common Stock held in the Crown Cork &amp; Seal Company, Inc. Master Retirement Trust on behalf of various Company pension plans (“Trust Shares”). Messrs. Donahue and Kelly are members of the Benefits Plan Investment Committee of the trust that has sole voting and dispositive power with respect to the Trust Shares, but they disclaim beneficial ownership of the Trust Shares.</w:t>
      </w:r>
    </w:p>
    <w:p>
      <w:pPr>
        <w:spacing w:after="0" w:line="76" w:lineRule="exact"/>
        <w:rPr>
          <w:rFonts w:ascii="Arial" w:cs="Arial" w:eastAsia="Arial" w:hAnsi="Arial"/>
          <w:sz w:val="22"/>
          <w:szCs w:val="22"/>
          <w:color w:val="auto"/>
        </w:rPr>
      </w:pPr>
    </w:p>
    <w:p>
      <w:pPr>
        <w:ind w:left="440" w:hanging="315"/>
        <w:spacing w:after="0"/>
        <w:tabs>
          <w:tab w:leader="none" w:pos="4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Includes 16 shares of Common Stock held by the Fearon Family Trust, of which Mr. Fearon is a trustee and a beneficiary.</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469" w:right="3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Meetings of the Board of Directors. </w:t>
      </w:r>
      <w:r>
        <w:rPr>
          <w:rFonts w:ascii="Arial" w:cs="Arial" w:eastAsia="Arial" w:hAnsi="Arial"/>
          <w:sz w:val="22"/>
          <w:szCs w:val="22"/>
          <w:color w:val="auto"/>
        </w:rPr>
        <w:t>In 2020, there were seven meetings of the Board of Directors. Each Director during</w:t>
      </w:r>
      <w:r>
        <w:rPr>
          <w:rFonts w:ascii="Arial" w:cs="Arial" w:eastAsia="Arial" w:hAnsi="Arial"/>
          <w:sz w:val="22"/>
          <w:szCs w:val="22"/>
          <w:b w:val="1"/>
          <w:bCs w:val="1"/>
          <w:color w:val="auto"/>
        </w:rPr>
        <w:t xml:space="preserve"> </w:t>
      </w:r>
      <w:r>
        <w:rPr>
          <w:rFonts w:ascii="Arial" w:cs="Arial" w:eastAsia="Arial" w:hAnsi="Arial"/>
          <w:sz w:val="22"/>
          <w:szCs w:val="22"/>
          <w:color w:val="auto"/>
        </w:rPr>
        <w:t>his or her term of service attended at least 75% of the aggregate meetings of the Board and of the committees on which he or she served.</w:t>
      </w:r>
    </w:p>
    <w:p>
      <w:pPr>
        <w:spacing w:after="0" w:line="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Attendance at the Annual Meeting. </w:t>
      </w:r>
      <w:r>
        <w:rPr>
          <w:rFonts w:ascii="Arial" w:cs="Arial" w:eastAsia="Arial" w:hAnsi="Arial"/>
          <w:sz w:val="22"/>
          <w:szCs w:val="22"/>
          <w:color w:val="auto"/>
        </w:rPr>
        <w:t>Under the Company’s Corporate Governance Guidelines, Directors are expected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attend the Company’s Annual Meeting of Shareholders. In 2020, each of the Directors serving on the Board at the time attended the Annual Meeting of Shareholders.</w:t>
      </w:r>
    </w:p>
    <w:p>
      <w:pPr>
        <w:spacing w:after="0" w:line="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Director Independence. </w:t>
      </w:r>
      <w:r>
        <w:rPr>
          <w:rFonts w:ascii="Arial" w:cs="Arial" w:eastAsia="Arial" w:hAnsi="Arial"/>
          <w:sz w:val="22"/>
          <w:szCs w:val="22"/>
          <w:color w:val="auto"/>
        </w:rPr>
        <w:t>The Board has determined that all Directors standing for election, with the exception of Timothy</w:t>
      </w:r>
      <w:r>
        <w:rPr>
          <w:rFonts w:ascii="Arial" w:cs="Arial" w:eastAsia="Arial" w:hAnsi="Arial"/>
          <w:sz w:val="22"/>
          <w:szCs w:val="22"/>
          <w:b w:val="1"/>
          <w:bCs w:val="1"/>
          <w:color w:val="auto"/>
        </w:rPr>
        <w:t xml:space="preserve"> </w:t>
      </w:r>
      <w:r>
        <w:rPr>
          <w:rFonts w:ascii="Arial" w:cs="Arial" w:eastAsia="Arial" w:hAnsi="Arial"/>
          <w:sz w:val="22"/>
          <w:szCs w:val="22"/>
          <w:color w:val="auto"/>
        </w:rPr>
        <w:t>Donahue, the Company’s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making the foregoing determinations, the Board considered the Directors’ affiliations with the Company or third parties and Company payments to such parties. For Mr. Conway, the Board considered his status prior to 2016 as the Company’s Chief Executive Officer. For Ms. Funk, the Board considered her role as an officer of EnerSys and ordinary course of business purchases by the Company of batteries and related accessories from EnerSys. The Board also considered her role as a director of Ecore International in relation to ordinary course of business purchases of rubber matting by the Company from Ecore. For Mr. Fearon, the Board considered his role as a Director of Avient Corporation and ordinary course of business purchases of plastisol sealing compounds by the Company from Avient. The Board also considered Mr. Fearon’s role as a Director and officer of Eaton Corporation (from which he will retire on March 31, 2021) and ordinary course of business purchases of energy management solutions by the Company from Eaton. Finally for Mr. Fearon, the Board considered his role as a Trustee of Manufacturers Alliance/MAPI, Inc., a not for profit professional society, and the payment of membership dues for Crown employees by the Company to MAPI. For Mr. Hagge, who is a Director of Transcendia Topco Holdings, the Board considered ordinary course of business purchases of high-density polyethylene by the Company from Transcendia. For Mr. Wilson, the Board considered his role as a Director of Ingredion Incorporated and ordinary course of business purchases of dry bag material for making adhesive used in corrugated paper by the Company from Ingredion. None of these relationships or transactions fell within the NYSE listing standards disqualifying criteria.</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Board Leadership and Risk Oversight. </w:t>
      </w:r>
      <w:r>
        <w:rPr>
          <w:rFonts w:ascii="Arial" w:cs="Arial" w:eastAsia="Arial" w:hAnsi="Arial"/>
          <w:sz w:val="22"/>
          <w:szCs w:val="22"/>
          <w:color w:val="auto"/>
        </w:rPr>
        <w:t>Mr. Conway is the independent, non-executive Chairman of the Board. The</w:t>
      </w:r>
      <w:r>
        <w:rPr>
          <w:rFonts w:ascii="Arial" w:cs="Arial" w:eastAsia="Arial" w:hAnsi="Arial"/>
          <w:sz w:val="22"/>
          <w:szCs w:val="22"/>
          <w:b w:val="1"/>
          <w:bCs w:val="1"/>
          <w:color w:val="auto"/>
        </w:rPr>
        <w:t xml:space="preserve"> </w:t>
      </w:r>
      <w:r>
        <w:rPr>
          <w:rFonts w:ascii="Arial" w:cs="Arial" w:eastAsia="Arial" w:hAnsi="Arial"/>
          <w:sz w:val="22"/>
          <w:szCs w:val="22"/>
          <w:color w:val="auto"/>
        </w:rPr>
        <w:t>non-executive Chairman of the Board has a range of duties, including, among other things:</w:t>
      </w:r>
    </w:p>
    <w:p>
      <w:pPr>
        <w:spacing w:after="0" w:line="276" w:lineRule="exact"/>
        <w:rPr>
          <w:sz w:val="20"/>
          <w:szCs w:val="20"/>
          <w:color w:val="auto"/>
        </w:rPr>
      </w:pPr>
    </w:p>
    <w:p>
      <w:pPr>
        <w:ind w:left="1300" w:hanging="320"/>
        <w:spacing w:after="0" w:line="250"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creating and maintaining an effective working relationship among the Chief Executive Officer and other members of management and the other members of the Board;</w:t>
      </w:r>
    </w:p>
    <w:p>
      <w:pPr>
        <w:spacing w:after="0" w:line="12" w:lineRule="exact"/>
        <w:rPr>
          <w:rFonts w:ascii="Arial" w:cs="Arial" w:eastAsia="Arial" w:hAnsi="Arial"/>
          <w:sz w:val="22"/>
          <w:szCs w:val="22"/>
          <w:color w:val="auto"/>
        </w:rPr>
      </w:pPr>
    </w:p>
    <w:p>
      <w:pPr>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providing the Chief Executive Officer ongoing direction as to Board needs, interests and opinions; and</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assuring that the Board agenda is appropriately directed to the matters of greater importance to the Company.</w:t>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449"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9"/>
          <w:szCs w:val="19"/>
          <w:color w:val="auto"/>
        </w:rPr>
        <w:t>Mr. Miller serves as the Independent Lead Director of the Board. The Independent Lead Director is an independent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Director designated by the other independent Directors of the Board and has a range of duties, including, among other things:</w:t>
      </w:r>
    </w:p>
    <w:p>
      <w:pPr>
        <w:spacing w:after="0" w:line="11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presiding at all meetings of the Board in the Chairman’s absence;</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presiding at all executive sessions of the Board’s independent directors;</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serving as a liaison between the Chairman of the Board and the Board’s independent directors;</w:t>
      </w:r>
    </w:p>
    <w:p>
      <w:pPr>
        <w:spacing w:after="0" w:line="44" w:lineRule="exact"/>
        <w:rPr>
          <w:rFonts w:ascii="Arial" w:cs="Arial" w:eastAsia="Arial" w:hAnsi="Arial"/>
          <w:sz w:val="22"/>
          <w:szCs w:val="22"/>
          <w:color w:val="auto"/>
        </w:rPr>
      </w:pPr>
    </w:p>
    <w:p>
      <w:pPr>
        <w:ind w:left="1300" w:right="20" w:hanging="320"/>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providing the Chairman with input on and approving the agendas and schedules for meetings of the Board and its committees;</w:t>
      </w:r>
    </w:p>
    <w:p>
      <w:pPr>
        <w:spacing w:after="0" w:line="12" w:lineRule="exact"/>
        <w:rPr>
          <w:rFonts w:ascii="Arial" w:cs="Arial" w:eastAsia="Arial" w:hAnsi="Arial"/>
          <w:sz w:val="22"/>
          <w:szCs w:val="22"/>
          <w:color w:val="auto"/>
        </w:rPr>
      </w:pPr>
    </w:p>
    <w:p>
      <w:pPr>
        <w:jc w:val="both"/>
        <w:ind w:left="1300" w:hanging="320"/>
        <w:spacing w:after="0" w:line="238"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22"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calling executive sessions of the Board’s independent Directors when appropriate;</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being available for consultation with the Chief Executive Officer regarding the concerns of the other directors;</w:t>
      </w:r>
    </w:p>
    <w:p>
      <w:pPr>
        <w:spacing w:after="0" w:line="78" w:lineRule="exact"/>
        <w:rPr>
          <w:rFonts w:ascii="Arial" w:cs="Arial" w:eastAsia="Arial" w:hAnsi="Arial"/>
          <w:sz w:val="19"/>
          <w:szCs w:val="19"/>
          <w:color w:val="auto"/>
        </w:rPr>
      </w:pPr>
    </w:p>
    <w:p>
      <w:pPr>
        <w:ind w:left="1300" w:hanging="320"/>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being available for consultation with members of senior management regarding the concerns of any members of senior management;</w:t>
      </w:r>
    </w:p>
    <w:p>
      <w:pPr>
        <w:spacing w:after="0" w:line="12"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being available for consultation and direct communication with Shareholders and other interested parties when appropriate;</w:t>
      </w:r>
    </w:p>
    <w:p>
      <w:pPr>
        <w:spacing w:after="0" w:line="12"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interviewing Director candidates and making recommendations to the Nominating and Corporate Governance Committee and the Board;</w:t>
      </w:r>
    </w:p>
    <w:p>
      <w:pPr>
        <w:spacing w:after="0" w:line="12"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leading the Board’s evaluation of the Chairman of the Board; and</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serving a leading role in the Board’s annual self-assessment.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Board’s current leadership structure includes Audit, Compensation and Nominating and Corporate Governance Committees that are each chaired by and composed solely of independent Directors.</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roles of Chairman of the Board and Chief Executive Officer are held by two different individuals. The independent Chairman of the Board, Mr. Conway, presides over meetings of the Board and acts as liaison between the Board and Mr. Donahue, the Chief Executive Officer, who is responsible for the day-to-day management of the Company. Moreover, the Board believes that its other structural features, including twelve independent Directors among the slate of thirteen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21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Board is responsible for providing oversight of the Company’s Executive Officers’ responsibilities to assess and manage the Company’s risk, including its credit risk, liquidity risk, reputational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469" w:right="339" w:bottom="1440" w:gutter="0" w:footer="0" w:header="0"/>
        </w:sectPr>
      </w:pPr>
    </w:p>
    <w:bookmarkStart w:id="30" w:name="page31"/>
    <w:bookmarkEnd w:id="30"/>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Director Stock Ownership, Anti-Pledging and Anti-Hedging. </w:t>
      </w:r>
      <w:r>
        <w:rPr>
          <w:rFonts w:ascii="Arial" w:cs="Arial" w:eastAsia="Arial" w:hAnsi="Arial"/>
          <w:sz w:val="22"/>
          <w:szCs w:val="22"/>
          <w:color w:val="auto"/>
        </w:rPr>
        <w:t>Under the Company’s Corporate Governance</w:t>
      </w:r>
      <w:r>
        <w:rPr>
          <w:rFonts w:ascii="Arial" w:cs="Arial" w:eastAsia="Arial" w:hAnsi="Arial"/>
          <w:sz w:val="22"/>
          <w:szCs w:val="22"/>
          <w:b w:val="1"/>
          <w:bCs w:val="1"/>
          <w:color w:val="auto"/>
        </w:rPr>
        <w:t xml:space="preserve"> </w:t>
      </w:r>
      <w:r>
        <w:rPr>
          <w:rFonts w:ascii="Arial" w:cs="Arial" w:eastAsia="Arial" w:hAnsi="Arial"/>
          <w:sz w:val="22"/>
          <w:szCs w:val="22"/>
          <w:color w:val="auto"/>
        </w:rPr>
        <w:t>Guidelines, after five years of service on the Board, independent Directors are expected to own Company Common Stock having a market value of at least five times the cash base annual Director’s fee. As of March 2, 2021,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Board Committees. </w:t>
      </w:r>
      <w:r>
        <w:rPr>
          <w:rFonts w:ascii="Arial" w:cs="Arial" w:eastAsia="Arial" w:hAnsi="Arial"/>
          <w:sz w:val="21"/>
          <w:szCs w:val="21"/>
          <w:color w:val="auto"/>
        </w:rPr>
        <w:t>The Board has an Audit Committee, a Compensation Committee, a Nominating and Corporate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Governance Committee and an Executive Committee. The Board has approved written charters for the Audit Committee, Compensation Committee and Nominating and Corporate Governance Committee that can be found at </w:t>
      </w:r>
      <w:r>
        <w:rPr>
          <w:rFonts w:ascii="Arial" w:cs="Arial" w:eastAsia="Arial" w:hAnsi="Arial"/>
          <w:sz w:val="21"/>
          <w:szCs w:val="21"/>
          <w:b w:val="1"/>
          <w:bCs w:val="1"/>
          <w:u w:val="single" w:color="auto"/>
          <w:color w:val="29650B"/>
        </w:rPr>
        <w:t>www.crowncork.com/investors/corporate-governance</w:t>
      </w:r>
      <w:r>
        <w:rPr>
          <w:rFonts w:ascii="Arial" w:cs="Arial" w:eastAsia="Arial" w:hAnsi="Arial"/>
          <w:sz w:val="21"/>
          <w:szCs w:val="21"/>
          <w:color w:val="000000"/>
        </w:rPr>
        <w:t>. Each of the Audit Committee, Compensation Committee and</w:t>
      </w:r>
      <w:r>
        <w:rPr>
          <w:rFonts w:ascii="Arial" w:cs="Arial" w:eastAsia="Arial" w:hAnsi="Arial"/>
          <w:sz w:val="21"/>
          <w:szCs w:val="21"/>
          <w:b w:val="1"/>
          <w:bCs w:val="1"/>
          <w:color w:val="29650B"/>
        </w:rPr>
        <w:t xml:space="preserve"> </w:t>
      </w:r>
      <w:r>
        <w:rPr>
          <w:rFonts w:ascii="Arial" w:cs="Arial" w:eastAsia="Arial" w:hAnsi="Arial"/>
          <w:sz w:val="21"/>
          <w:szCs w:val="21"/>
          <w:color w:val="000000"/>
        </w:rPr>
        <w:t>Nominating and Corporate Governance Committee conducts a self-evaluation and review of its charter annually.</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i w:val="1"/>
          <w:iCs w:val="1"/>
          <w:color w:val="auto"/>
        </w:rPr>
        <w:t xml:space="preserve">Audit Committee. </w:t>
      </w:r>
      <w:r>
        <w:rPr>
          <w:rFonts w:ascii="Arial" w:cs="Arial" w:eastAsia="Arial" w:hAnsi="Arial"/>
          <w:sz w:val="21"/>
          <w:szCs w:val="21"/>
          <w:color w:val="auto"/>
        </w:rPr>
        <w:t>In 2020, the Audit Committee had ten meetings. The Audit Committee provides assistance to the Board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discharging its responsibilities in connection with the oversight of the financial accounting practices and internal controls of the Company and represents the Board in connection with the services rendered by the Company’s independent auditors. The current members of the Audit Committee are Ms. Funk and Messrs. Müller, Owens, Sweitzer, Urkiel and Wilson. Mr. Sweitzer serves as Chair of the Audit Committee. The Board has determined that the Directors who serve on the Audit Committee are all independent under the listing standards of the NYSE and that Messrs. Sweitzer and Urkiel and Ms. Funk are “audit committee financial experts” within the meaning of SEC regulations.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b w:val="1"/>
          <w:bCs w:val="1"/>
          <w:i w:val="1"/>
          <w:iCs w:val="1"/>
          <w:color w:val="auto"/>
        </w:rPr>
        <w:t xml:space="preserve">Compensation Committee. </w:t>
      </w:r>
      <w:r>
        <w:rPr>
          <w:rFonts w:ascii="Arial" w:cs="Arial" w:eastAsia="Arial" w:hAnsi="Arial"/>
          <w:sz w:val="19"/>
          <w:szCs w:val="19"/>
          <w:color w:val="auto"/>
        </w:rPr>
        <w:t>In 2020, the Compensation Committee had six meetings. The Compensation Committee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responsible for the review of the executive compensation program. The current members of the Compensation Committee are Ms. Funk and Messrs. Hagge, Miller, Müller and Turner, each of whom is independent under the listing standards of the NYSE. Mr. Turner serves as Chair of the Compensation Committee. For further discussion regarding the Compensation Committee’s processes and procedures for the consideration of executive compensation, see the CD&amp;A beginning on page 31.</w:t>
      </w:r>
    </w:p>
    <w:p>
      <w:pPr>
        <w:spacing w:after="0" w:line="14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b w:val="1"/>
          <w:bCs w:val="1"/>
          <w:i w:val="1"/>
          <w:iCs w:val="1"/>
          <w:color w:val="auto"/>
        </w:rPr>
        <w:t xml:space="preserve">Nominating and Corporate Governance Committee. </w:t>
      </w:r>
      <w:r>
        <w:rPr>
          <w:rFonts w:ascii="Arial" w:cs="Arial" w:eastAsia="Arial" w:hAnsi="Arial"/>
          <w:sz w:val="22"/>
          <w:szCs w:val="22"/>
          <w:color w:val="auto"/>
        </w:rPr>
        <w:t>There were four meetings of the Nominating and Corporate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Governance Committee in 2020. 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oversight of the Company’s environmental, social and governance policies, programs and practices. The current members of the Nominating and Corporate Governance Committee are Ms. Lee and Messrs. Miller, Sweitzer, Turner and Urkiel, each of whom is independent under the listing standards of the NYSE. Mr. Miller serves as Chair of the Nominating and Corporate Governance Committee.</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463" w:right="3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9"/>
          <w:szCs w:val="19"/>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will also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is committed to thoughtful board refreshment and ongoing board succession planning. Six new independent directors recently have been added to the Company’s Board of Directors: Ms. Lee in 2016, Ms. Funk in 2017, Messrs. Fearon, Hagge and Owens in 2019 and Mr. Wilson in 2020. During the refreshment process, the Nominating &amp; Corporate Governance Committee was assisted by an independent search firm and interviewed candidates identified through Director, Shareholder and independent search firm input.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Shareholders who wish to suggest qualified candidates may write, via Certified Mail – Return Receipt Requested, to the Office of the Corporate Secretary, Crown Holdings, Inc., 770 Township Line Road, Yardley, PA 19067 stating in detail the qualifications of the persons they recommend. Shareholders must include a letter from each person recommended affirming that he or she agrees to serve as a Director of the Company if elected by Shareholders. However, through its own resources, the Committee expects to be able to identify an ample number of qualified candidates. See “Questions and Answers about the 2021 Annual Meeting” for information on bringing nominations for the Board of Directors at the 2022 Annual Meeting.</w:t>
      </w:r>
    </w:p>
    <w:p>
      <w:pPr>
        <w:spacing w:after="0" w:line="14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Executive Sessions of the Board. </w:t>
      </w:r>
      <w:r>
        <w:rPr>
          <w:rFonts w:ascii="Arial" w:cs="Arial" w:eastAsia="Arial" w:hAnsi="Arial"/>
          <w:sz w:val="22"/>
          <w:szCs w:val="22"/>
          <w:color w:val="auto"/>
        </w:rPr>
        <w:t>Pursuant to the Company’s Corporate Governance Guidelines, the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of the Company meet periodically at regularly scheduled executive sessions without management. The Independent Lead Director chairs such meetings.</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Proxy Access. </w:t>
      </w:r>
      <w:r>
        <w:rPr>
          <w:rFonts w:ascii="Arial" w:cs="Arial" w:eastAsia="Arial" w:hAnsi="Arial"/>
          <w:sz w:val="22"/>
          <w:szCs w:val="22"/>
          <w:color w:val="auto"/>
        </w:rPr>
        <w:t>The Company’s proxy access By-Law permits Shareholders owning 3% or more of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for a period of at least three years to nominate up to the greater of 20% of the Board of Directors or two Directors and include these nominations in the Company’s proxy materials. The number of Shareholders who may aggregate their shares to meet the 3% ownership threshold is limited to 20.</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Code of Business Conduct and Ethics. </w:t>
      </w:r>
      <w:r>
        <w:rPr>
          <w:rFonts w:ascii="Arial" w:cs="Arial" w:eastAsia="Arial" w:hAnsi="Arial"/>
          <w:sz w:val="21"/>
          <w:szCs w:val="21"/>
          <w:color w:val="auto"/>
        </w:rPr>
        <w:t>The Company has a Code of Business Conduct and Ethics that applies to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Directors and employees. The Code of Business Conduct and Ethics is available on the Company’s website at </w:t>
      </w:r>
      <w:r>
        <w:rPr>
          <w:rFonts w:ascii="Arial" w:cs="Arial" w:eastAsia="Arial" w:hAnsi="Arial"/>
          <w:sz w:val="21"/>
          <w:szCs w:val="21"/>
          <w:b w:val="1"/>
          <w:bCs w:val="1"/>
          <w:u w:val="single" w:color="auto"/>
          <w:color w:val="29650B"/>
        </w:rPr>
        <w:t>www.crowncork.com/investors/corporate-governance/code-business-conduct-and-ethics</w:t>
      </w:r>
      <w:r>
        <w:rPr>
          <w:rFonts w:ascii="Arial" w:cs="Arial" w:eastAsia="Arial" w:hAnsi="Arial"/>
          <w:sz w:val="21"/>
          <w:szCs w:val="21"/>
          <w:color w:val="000000"/>
        </w:rPr>
        <w:t>. The Company intends to disclose</w:t>
      </w:r>
      <w:r>
        <w:rPr>
          <w:rFonts w:ascii="Arial" w:cs="Arial" w:eastAsia="Arial" w:hAnsi="Arial"/>
          <w:sz w:val="21"/>
          <w:szCs w:val="21"/>
          <w:b w:val="1"/>
          <w:bCs w:val="1"/>
          <w:color w:val="29650B"/>
        </w:rPr>
        <w:t xml:space="preserve"> </w:t>
      </w:r>
      <w:r>
        <w:rPr>
          <w:rFonts w:ascii="Arial" w:cs="Arial" w:eastAsia="Arial" w:hAnsi="Arial"/>
          <w:sz w:val="21"/>
          <w:szCs w:val="21"/>
          <w:color w:val="000000"/>
        </w:rPr>
        <w:t>updates to, and waivers of, the Code of Business Conduct and Ethics on the Company’s website.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Sustainability. </w:t>
      </w:r>
      <w:r>
        <w:rPr>
          <w:rFonts w:ascii="Arial" w:cs="Arial" w:eastAsia="Arial" w:hAnsi="Arial"/>
          <w:sz w:val="22"/>
          <w:szCs w:val="22"/>
          <w:color w:val="auto"/>
        </w:rPr>
        <w:t>See “Sustainability – Environmental and Social Responsibility” on page 5 in the Proxy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Summary.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Transactions with Related Persons. </w:t>
      </w:r>
      <w:r>
        <w:rPr>
          <w:rFonts w:ascii="Arial" w:cs="Arial" w:eastAsia="Arial" w:hAnsi="Arial"/>
          <w:sz w:val="19"/>
          <w:szCs w:val="19"/>
          <w:color w:val="auto"/>
        </w:rPr>
        <w:t>The Nominating and Corporate Governance Committee is charged with reviewing</w:t>
      </w:r>
      <w:r>
        <w:rPr>
          <w:rFonts w:ascii="Arial" w:cs="Arial" w:eastAsia="Arial" w:hAnsi="Arial"/>
          <w:sz w:val="19"/>
          <w:szCs w:val="19"/>
          <w:b w:val="1"/>
          <w:bCs w:val="1"/>
          <w:color w:val="auto"/>
        </w:rPr>
        <w:t xml:space="preserve"> </w:t>
      </w:r>
      <w:r>
        <w:rPr>
          <w:rFonts w:ascii="Arial" w:cs="Arial" w:eastAsia="Arial" w:hAnsi="Arial"/>
          <w:sz w:val="19"/>
          <w:szCs w:val="19"/>
          <w:color w:val="auto"/>
        </w:rPr>
        <w:t>and approving or 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469" w:right="339" w:bottom="1440" w:gutter="0" w:footer="0" w:header="0"/>
        </w:sectPr>
      </w:pPr>
    </w:p>
    <w:bookmarkStart w:id="32" w:name="page33"/>
    <w:bookmarkEnd w:id="32"/>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Human Capital Resources. </w:t>
      </w:r>
      <w:r>
        <w:rPr>
          <w:rFonts w:ascii="Arial" w:cs="Arial" w:eastAsia="Arial" w:hAnsi="Arial"/>
          <w:sz w:val="19"/>
          <w:szCs w:val="19"/>
          <w:color w:val="auto"/>
        </w:rPr>
        <w:t>The Company’s global workforce is the backbone of its sustainability and business success</w:t>
      </w:r>
      <w:r>
        <w:rPr>
          <w:rFonts w:ascii="Arial" w:cs="Arial" w:eastAsia="Arial" w:hAnsi="Arial"/>
          <w:sz w:val="19"/>
          <w:szCs w:val="19"/>
          <w:b w:val="1"/>
          <w:bCs w:val="1"/>
          <w:color w:val="auto"/>
        </w:rPr>
        <w:t xml:space="preserve"> </w:t>
      </w:r>
      <w:r>
        <w:rPr>
          <w:rFonts w:ascii="Arial" w:cs="Arial" w:eastAsia="Arial" w:hAnsi="Arial"/>
          <w:sz w:val="19"/>
          <w:szCs w:val="19"/>
          <w:color w:val="auto"/>
        </w:rPr>
        <w:t>and is the focus of the Working Together pillar of the Company’s Twentyby30 sustainability program. The Company has built a Total Safety Culture that provides the framework for all health and safety initiatives across the Company and empowers employees to take a proactive role in their safety and that of their peers. For more information, see “Human Capital” on page 6 of the Company’s Annual Report on Form 10-K for the fiscal year ended December 31, 2020.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Shareholder Engagement. </w:t>
      </w:r>
      <w:r>
        <w:rPr>
          <w:rFonts w:ascii="Arial" w:cs="Arial" w:eastAsia="Arial" w:hAnsi="Arial"/>
          <w:sz w:val="22"/>
          <w:szCs w:val="22"/>
          <w:color w:val="auto"/>
        </w:rPr>
        <w:t>See “Shareholder Engagement” on page 4 in the Proxy Statement Summary.</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Communications with the Board of Directors. </w:t>
      </w:r>
      <w:r>
        <w:rPr>
          <w:rFonts w:ascii="Arial" w:cs="Arial" w:eastAsia="Arial" w:hAnsi="Arial"/>
          <w:sz w:val="22"/>
          <w:szCs w:val="22"/>
          <w:color w:val="auto"/>
        </w:rPr>
        <w:t>Shareholders and other interested parties who wish to send</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on any topic to the Chairman, the Independent Lead Director, the independent Directors or the Board as a whole may do so by writing c/o Office of the Corporate Secretary, Crown Holdings, Inc., 770 Township Line Road, Yardley, PA 19067. Communications will be forwarded to the Directors if they relate to substantive matters and include information, suggestions or comments that the Chairman or Independent Lead Director, with the assistance of the Corporate Secretary, deems appropriate for consideration by the Directors.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Company Website. </w:t>
      </w:r>
      <w:r>
        <w:rPr>
          <w:rFonts w:ascii="Arial" w:cs="Arial" w:eastAsia="Arial" w:hAnsi="Arial"/>
          <w:sz w:val="22"/>
          <w:szCs w:val="22"/>
          <w:color w:val="auto"/>
        </w:rPr>
        <w:t>The Company’s Corporate Governance Guidelines and the Charters of the Audit, Compensation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Nominating and Corporate Governance Committees are available on the Company’s website at </w:t>
      </w:r>
      <w:r>
        <w:rPr>
          <w:rFonts w:ascii="Arial" w:cs="Arial" w:eastAsia="Arial" w:hAnsi="Arial"/>
          <w:sz w:val="22"/>
          <w:szCs w:val="22"/>
          <w:b w:val="1"/>
          <w:bCs w:val="1"/>
          <w:u w:val="single" w:color="auto"/>
          <w:color w:val="29650B"/>
        </w:rPr>
        <w:t>www.crowncork.com/investors/corporate-governance</w:t>
      </w:r>
      <w:r>
        <w:rPr>
          <w:rFonts w:ascii="Arial" w:cs="Arial" w:eastAsia="Arial" w:hAnsi="Arial"/>
          <w:sz w:val="22"/>
          <w:szCs w:val="22"/>
          <w:color w:val="000000"/>
        </w:rPr>
        <w:t>.</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463"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3"/>
          <w:szCs w:val="23"/>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Compensation Discussion and Analysis (“CD&amp;A”) provides an overview of the Company’s executive compensation program together with a description of the material factors underlying the decisions that resulted in the compensation provided for 2020 to the Company’s Chief Executive Officer (“CEO”), the Company’s Chief Financial Officer and the other three Executive Officers who were the highest paid during 2020 (collectively, “Named Executive Officers” or “NEOs”). The names of the Company’s 2020 NEOs and their titles at year-end are:</w:t>
      </w:r>
    </w:p>
    <w:p>
      <w:pPr>
        <w:spacing w:after="0" w:line="316" w:lineRule="exact"/>
        <w:rPr>
          <w:sz w:val="20"/>
          <w:szCs w:val="20"/>
          <w:color w:val="auto"/>
        </w:rPr>
      </w:pPr>
    </w:p>
    <w:p>
      <w:pPr>
        <w:ind w:left="800" w:hanging="158"/>
        <w:spacing w:after="0"/>
        <w:tabs>
          <w:tab w:leader="none" w:pos="80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Timothy J. Donahue </w:t>
      </w:r>
      <w:r>
        <w:rPr>
          <w:rFonts w:ascii="Arial" w:cs="Arial" w:eastAsia="Arial" w:hAnsi="Arial"/>
          <w:sz w:val="22"/>
          <w:szCs w:val="22"/>
          <w:color w:val="auto"/>
        </w:rPr>
        <w:t>– President and Chief Executive Officer</w:t>
      </w:r>
    </w:p>
    <w:p>
      <w:pPr>
        <w:spacing w:after="0" w:line="98" w:lineRule="exact"/>
        <w:rPr>
          <w:rFonts w:ascii="Arial" w:cs="Arial" w:eastAsia="Arial" w:hAnsi="Arial"/>
          <w:sz w:val="22"/>
          <w:szCs w:val="22"/>
          <w:color w:val="auto"/>
        </w:rPr>
      </w:pPr>
    </w:p>
    <w:p>
      <w:pPr>
        <w:ind w:left="780" w:hanging="138"/>
        <w:spacing w:after="0"/>
        <w:tabs>
          <w:tab w:leader="none" w:pos="7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Thomas A. Kelly </w:t>
      </w:r>
      <w:r>
        <w:rPr>
          <w:rFonts w:ascii="Arial" w:cs="Arial" w:eastAsia="Arial" w:hAnsi="Arial"/>
          <w:sz w:val="22"/>
          <w:szCs w:val="22"/>
          <w:color w:val="auto"/>
        </w:rPr>
        <w:t>– Senior Vice President and Chief Financial Officer</w:t>
      </w:r>
    </w:p>
    <w:p>
      <w:pPr>
        <w:spacing w:after="0" w:line="98" w:lineRule="exact"/>
        <w:rPr>
          <w:rFonts w:ascii="Arial" w:cs="Arial" w:eastAsia="Arial" w:hAnsi="Arial"/>
          <w:sz w:val="22"/>
          <w:szCs w:val="22"/>
          <w:color w:val="auto"/>
        </w:rPr>
      </w:pPr>
    </w:p>
    <w:p>
      <w:pPr>
        <w:ind w:left="780" w:hanging="138"/>
        <w:spacing w:after="0"/>
        <w:tabs>
          <w:tab w:leader="none" w:pos="7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Gerard H. Gifford </w:t>
      </w:r>
      <w:r>
        <w:rPr>
          <w:rFonts w:ascii="Arial" w:cs="Arial" w:eastAsia="Arial" w:hAnsi="Arial"/>
          <w:sz w:val="22"/>
          <w:szCs w:val="22"/>
          <w:color w:val="auto"/>
        </w:rPr>
        <w:t>– Executive Vice President and Chief Operating Officer</w:t>
      </w:r>
    </w:p>
    <w:p>
      <w:pPr>
        <w:spacing w:after="0" w:line="98" w:lineRule="exact"/>
        <w:rPr>
          <w:rFonts w:ascii="Arial" w:cs="Arial" w:eastAsia="Arial" w:hAnsi="Arial"/>
          <w:sz w:val="22"/>
          <w:szCs w:val="22"/>
          <w:color w:val="auto"/>
        </w:rPr>
      </w:pPr>
    </w:p>
    <w:p>
      <w:pPr>
        <w:ind w:left="820" w:hanging="178"/>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Didier Sourisseau </w:t>
      </w:r>
      <w:r>
        <w:rPr>
          <w:rFonts w:ascii="Arial" w:cs="Arial" w:eastAsia="Arial" w:hAnsi="Arial"/>
          <w:sz w:val="22"/>
          <w:szCs w:val="22"/>
          <w:color w:val="auto"/>
        </w:rPr>
        <w:t>– President – European Division</w:t>
      </w:r>
    </w:p>
    <w:p>
      <w:pPr>
        <w:spacing w:after="0" w:line="98" w:lineRule="exact"/>
        <w:rPr>
          <w:rFonts w:ascii="Arial" w:cs="Arial" w:eastAsia="Arial" w:hAnsi="Arial"/>
          <w:sz w:val="22"/>
          <w:szCs w:val="22"/>
          <w:color w:val="auto"/>
        </w:rPr>
      </w:pPr>
    </w:p>
    <w:p>
      <w:pPr>
        <w:ind w:left="820" w:hanging="178"/>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Djalma Novaes, Jr</w:t>
      </w:r>
      <w:r>
        <w:rPr>
          <w:rFonts w:ascii="Arial" w:cs="Arial" w:eastAsia="Arial" w:hAnsi="Arial"/>
          <w:sz w:val="22"/>
          <w:szCs w:val="22"/>
          <w:color w:val="auto"/>
        </w:rPr>
        <w:t>. – President – Americas Division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following discussion and analysis contains statements regarding individual and Company performance targets and goals. These targets and goals are disclosed in the limited context of the Company’s compensation programs and should not be understood to be statements of management’s expectations or estimates of financial results or other guidance. The Company specifically cautions investors not to apply these statements to other contexts.</w:t>
      </w:r>
    </w:p>
    <w:p>
      <w:pPr>
        <w:spacing w:after="0" w:line="19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2020 Say-on-Pay Vote Results. </w:t>
      </w:r>
      <w:r>
        <w:rPr>
          <w:rFonts w:ascii="Arial" w:cs="Arial" w:eastAsia="Arial" w:hAnsi="Arial"/>
          <w:sz w:val="22"/>
          <w:szCs w:val="22"/>
          <w:color w:val="auto"/>
        </w:rPr>
        <w:t>At our Annual Meeting of Shareholders held in April 2020, we held an advisory</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Say-on-Pay vote on the 2019 compensation of our NEOs. Over 96% of the shares voted at last year’s Annual Meeting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2020. Although the advisory Shareholder vote on executive compensation is non-binding, the Committee will continue to take the outcome of this annual vote into consideration when making compensation decisions for our NEOs.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449" w:right="339" w:bottom="1440" w:gutter="0" w:footer="0" w:header="0"/>
          <w:type w:val="continuous"/>
        </w:sectPr>
      </w:pPr>
    </w:p>
    <w:bookmarkStart w:id="35" w:name="page36"/>
    <w:bookmarkEnd w:id="35"/>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At-Risk Compensation. </w:t>
      </w:r>
      <w:r>
        <w:rPr>
          <w:rFonts w:ascii="Arial" w:cs="Arial" w:eastAsia="Arial" w:hAnsi="Arial"/>
          <w:sz w:val="22"/>
          <w:szCs w:val="22"/>
          <w:color w:val="auto"/>
        </w:rPr>
        <w:t>Our executive compensation program is based on our “pay-for-performance” philosophy, as</w:t>
      </w:r>
      <w:r>
        <w:rPr>
          <w:rFonts w:ascii="Arial" w:cs="Arial" w:eastAsia="Arial" w:hAnsi="Arial"/>
          <w:sz w:val="22"/>
          <w:szCs w:val="22"/>
          <w:b w:val="1"/>
          <w:bCs w:val="1"/>
          <w:color w:val="auto"/>
        </w:rPr>
        <w:t xml:space="preserve"> </w:t>
      </w:r>
      <w:r>
        <w:rPr>
          <w:rFonts w:ascii="Arial" w:cs="Arial" w:eastAsia="Arial" w:hAnsi="Arial"/>
          <w:sz w:val="22"/>
          <w:szCs w:val="22"/>
          <w:color w:val="auto"/>
        </w:rPr>
        <w:t>outlined in the following table, with the majority of our NEOs’ total direct compensation “at risk” and tied to the accomplishment of performance objectives.</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60" w:type="dxa"/>
            <w:vAlign w:val="bottom"/>
            <w:tcBorders>
              <w:top w:val="single" w:sz="8" w:color="auto"/>
            </w:tcBorders>
            <w:shd w:val="clear" w:color="auto" w:fill="29650B"/>
          </w:tcPr>
          <w:p>
            <w:pPr>
              <w:spacing w:after="0"/>
              <w:rPr>
                <w:sz w:val="19"/>
                <w:szCs w:val="19"/>
                <w:color w:val="auto"/>
              </w:rPr>
            </w:pPr>
          </w:p>
        </w:tc>
        <w:tc>
          <w:tcPr>
            <w:tcW w:w="4300" w:type="dxa"/>
            <w:vAlign w:val="bottom"/>
            <w:tcBorders>
              <w:top w:val="single" w:sz="8" w:color="auto"/>
              <w:right w:val="single" w:sz="8" w:color="auto"/>
            </w:tcBorders>
            <w:shd w:val="clear" w:color="auto" w:fill="29650B"/>
          </w:tcPr>
          <w:p>
            <w:pPr>
              <w:spacing w:after="0"/>
              <w:rPr>
                <w:sz w:val="19"/>
                <w:szCs w:val="19"/>
                <w:color w:val="auto"/>
              </w:rPr>
            </w:pPr>
          </w:p>
        </w:tc>
        <w:tc>
          <w:tcPr>
            <w:tcW w:w="3700" w:type="dxa"/>
            <w:vAlign w:val="bottom"/>
            <w:tcBorders>
              <w:top w:val="single" w:sz="8" w:color="auto"/>
              <w:right w:val="single" w:sz="8" w:color="auto"/>
            </w:tcBorders>
            <w:shd w:val="clear" w:color="auto" w:fill="29650B"/>
          </w:tcPr>
          <w:p>
            <w:pPr>
              <w:ind w:left="120"/>
              <w:spacing w:after="0" w:line="229" w:lineRule="exact"/>
              <w:rPr>
                <w:sz w:val="20"/>
                <w:szCs w:val="20"/>
                <w:color w:val="auto"/>
              </w:rPr>
            </w:pPr>
            <w:r>
              <w:rPr>
                <w:rFonts w:ascii="Arial" w:cs="Arial" w:eastAsia="Arial" w:hAnsi="Arial"/>
                <w:sz w:val="22"/>
                <w:szCs w:val="22"/>
                <w:b w:val="1"/>
                <w:bCs w:val="1"/>
                <w:color w:val="FFFFFF"/>
                <w:w w:val="92"/>
              </w:rPr>
              <w:t>Alignment with Pay-for-Performance</w:t>
            </w:r>
          </w:p>
        </w:tc>
      </w:tr>
      <w:tr>
        <w:trPr>
          <w:trHeight w:val="270"/>
        </w:trPr>
        <w:tc>
          <w:tcPr>
            <w:tcW w:w="3180" w:type="dxa"/>
            <w:vAlign w:val="bottom"/>
            <w:tcBorders>
              <w:left w:val="single" w:sz="8" w:color="auto"/>
              <w:bottom w:val="single" w:sz="8" w:color="auto"/>
              <w:right w:val="single" w:sz="8" w:color="auto"/>
            </w:tcBorders>
            <w:shd w:val="clear" w:color="auto" w:fill="29650B"/>
          </w:tcPr>
          <w:p>
            <w:pPr>
              <w:ind w:left="520"/>
              <w:spacing w:after="0"/>
              <w:rPr>
                <w:sz w:val="20"/>
                <w:szCs w:val="20"/>
                <w:color w:val="auto"/>
              </w:rPr>
            </w:pPr>
            <w:r>
              <w:rPr>
                <w:rFonts w:ascii="Arial" w:cs="Arial" w:eastAsia="Arial" w:hAnsi="Arial"/>
                <w:sz w:val="22"/>
                <w:szCs w:val="22"/>
                <w:b w:val="1"/>
                <w:bCs w:val="1"/>
                <w:color w:val="FFFFFF"/>
              </w:rPr>
              <w:t>Compensation Element</w:t>
            </w:r>
          </w:p>
        </w:tc>
        <w:tc>
          <w:tcPr>
            <w:tcW w:w="60" w:type="dxa"/>
            <w:vAlign w:val="bottom"/>
            <w:tcBorders>
              <w:bottom w:val="single" w:sz="8" w:color="auto"/>
            </w:tcBorders>
            <w:shd w:val="clear" w:color="auto" w:fill="29650B"/>
          </w:tcPr>
          <w:p>
            <w:pPr>
              <w:spacing w:after="0"/>
              <w:rPr>
                <w:sz w:val="23"/>
                <w:szCs w:val="23"/>
                <w:color w:val="auto"/>
              </w:rPr>
            </w:pPr>
          </w:p>
        </w:tc>
        <w:tc>
          <w:tcPr>
            <w:tcW w:w="4300" w:type="dxa"/>
            <w:vAlign w:val="bottom"/>
            <w:tcBorders>
              <w:bottom w:val="single" w:sz="8" w:color="auto"/>
              <w:right w:val="single" w:sz="8" w:color="auto"/>
            </w:tcBorders>
            <w:shd w:val="clear" w:color="auto" w:fill="29650B"/>
          </w:tcPr>
          <w:p>
            <w:pPr>
              <w:ind w:left="1040"/>
              <w:spacing w:after="0"/>
              <w:rPr>
                <w:sz w:val="20"/>
                <w:szCs w:val="20"/>
                <w:color w:val="auto"/>
              </w:rPr>
            </w:pPr>
            <w:r>
              <w:rPr>
                <w:rFonts w:ascii="Arial" w:cs="Arial" w:eastAsia="Arial" w:hAnsi="Arial"/>
                <w:sz w:val="22"/>
                <w:szCs w:val="22"/>
                <w:b w:val="1"/>
                <w:bCs w:val="1"/>
                <w:color w:val="FFFFFF"/>
              </w:rPr>
              <w:t>Basis for Measurement</w:t>
            </w:r>
          </w:p>
        </w:tc>
        <w:tc>
          <w:tcPr>
            <w:tcW w:w="3700" w:type="dxa"/>
            <w:vAlign w:val="bottom"/>
            <w:tcBorders>
              <w:bottom w:val="single" w:sz="8" w:color="auto"/>
              <w:right w:val="single" w:sz="8" w:color="auto"/>
            </w:tcBorders>
            <w:shd w:val="clear" w:color="auto" w:fill="29650B"/>
          </w:tcPr>
          <w:p>
            <w:pPr>
              <w:ind w:left="1340"/>
              <w:spacing w:after="0"/>
              <w:rPr>
                <w:sz w:val="20"/>
                <w:szCs w:val="20"/>
                <w:color w:val="auto"/>
              </w:rPr>
            </w:pPr>
            <w:r>
              <w:rPr>
                <w:rFonts w:ascii="Arial" w:cs="Arial" w:eastAsia="Arial" w:hAnsi="Arial"/>
                <w:sz w:val="22"/>
                <w:szCs w:val="22"/>
                <w:b w:val="1"/>
                <w:bCs w:val="1"/>
                <w:color w:val="FFFFFF"/>
              </w:rPr>
              <w:t>Philosophy</w:t>
            </w:r>
          </w:p>
        </w:tc>
      </w:tr>
      <w:tr>
        <w:trPr>
          <w:trHeight w:val="489"/>
        </w:trPr>
        <w:tc>
          <w:tcPr>
            <w:tcW w:w="3240" w:type="dxa"/>
            <w:vAlign w:val="bottom"/>
            <w:tcBorders>
              <w:left w:val="single" w:sz="8" w:color="auto"/>
            </w:tcBorders>
            <w:gridSpan w:val="2"/>
            <w:shd w:val="clear" w:color="auto" w:fill="D9D9D9"/>
          </w:tcPr>
          <w:p>
            <w:pPr>
              <w:ind w:left="120"/>
              <w:spacing w:after="0"/>
              <w:rPr>
                <w:sz w:val="20"/>
                <w:szCs w:val="20"/>
                <w:color w:val="auto"/>
              </w:rPr>
            </w:pPr>
            <w:r>
              <w:rPr>
                <w:rFonts w:ascii="Arial" w:cs="Arial" w:eastAsia="Arial" w:hAnsi="Arial"/>
                <w:sz w:val="22"/>
                <w:szCs w:val="22"/>
                <w:b w:val="1"/>
                <w:bCs w:val="1"/>
                <w:color w:val="auto"/>
              </w:rPr>
              <w:t>Annual Cash Compensation</w:t>
            </w:r>
          </w:p>
        </w:tc>
        <w:tc>
          <w:tcPr>
            <w:tcW w:w="430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33"/>
        </w:trPr>
        <w:tc>
          <w:tcPr>
            <w:tcW w:w="318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60" w:type="dxa"/>
            <w:vAlign w:val="bottom"/>
            <w:tcBorders>
              <w:bottom w:val="single" w:sz="8" w:color="auto"/>
            </w:tcBorders>
            <w:shd w:val="clear" w:color="auto" w:fill="D9D9D9"/>
          </w:tcPr>
          <w:p>
            <w:pPr>
              <w:spacing w:after="0"/>
              <w:rPr>
                <w:sz w:val="20"/>
                <w:szCs w:val="20"/>
                <w:color w:val="auto"/>
              </w:rPr>
            </w:pPr>
          </w:p>
        </w:tc>
        <w:tc>
          <w:tcPr>
            <w:tcW w:w="4300" w:type="dxa"/>
            <w:vAlign w:val="bottom"/>
            <w:tcBorders>
              <w:bottom w:val="single" w:sz="8" w:color="auto"/>
              <w:right w:val="single" w:sz="8" w:color="D9D9D9"/>
            </w:tcBorders>
            <w:shd w:val="clear" w:color="auto" w:fill="D9D9D9"/>
          </w:tcPr>
          <w:p>
            <w:pPr>
              <w:spacing w:after="0"/>
              <w:rPr>
                <w:sz w:val="20"/>
                <w:szCs w:val="20"/>
                <w:color w:val="auto"/>
              </w:rPr>
            </w:pPr>
          </w:p>
        </w:tc>
        <w:tc>
          <w:tcPr>
            <w:tcW w:w="370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458"/>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Base Salary</w:t>
            </w:r>
          </w:p>
        </w:tc>
        <w:tc>
          <w:tcPr>
            <w:tcW w:w="60" w:type="dxa"/>
            <w:vAlign w:val="bottom"/>
          </w:tcPr>
          <w:p>
            <w:pPr>
              <w:spacing w:after="0"/>
              <w:rPr>
                <w:sz w:val="24"/>
                <w:szCs w:val="24"/>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1"/>
              </w:rPr>
              <w:t>Individual performance based on primary duties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6"/>
              </w:rPr>
              <w:t>Competitive compensation required to</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and responsibilities and market</w:t>
            </w: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attract and retain highly qualified</w:t>
            </w: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competitiveness.</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executives.</w:t>
            </w:r>
          </w:p>
        </w:tc>
      </w:tr>
      <w:tr>
        <w:trPr>
          <w:trHeight w:val="233"/>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458"/>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Annual Incentive Bonus</w:t>
            </w:r>
          </w:p>
        </w:tc>
        <w:tc>
          <w:tcPr>
            <w:tcW w:w="60" w:type="dxa"/>
            <w:vAlign w:val="bottom"/>
          </w:tcPr>
          <w:p>
            <w:pPr>
              <w:spacing w:after="0"/>
              <w:rPr>
                <w:sz w:val="24"/>
                <w:szCs w:val="24"/>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Economic profit and modified operating cash</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Use of economic profit and modified</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flow.</w:t>
            </w: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operating cash flow metrics drives long-</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6"/>
              </w:rPr>
              <w:t>term operating performance and long-</w:t>
            </w: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3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term increase in Shareholder value.</w:t>
            </w:r>
          </w:p>
        </w:tc>
      </w:tr>
      <w:tr>
        <w:trPr>
          <w:trHeight w:val="233"/>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490"/>
        </w:trPr>
        <w:tc>
          <w:tcPr>
            <w:tcW w:w="3240" w:type="dxa"/>
            <w:vAlign w:val="bottom"/>
            <w:tcBorders>
              <w:left w:val="single" w:sz="8" w:color="auto"/>
            </w:tcBorders>
            <w:gridSpan w:val="2"/>
            <w:shd w:val="clear" w:color="auto" w:fill="D9D9D9"/>
          </w:tcPr>
          <w:p>
            <w:pPr>
              <w:ind w:left="120"/>
              <w:spacing w:after="0"/>
              <w:rPr>
                <w:sz w:val="20"/>
                <w:szCs w:val="20"/>
                <w:color w:val="auto"/>
              </w:rPr>
            </w:pPr>
            <w:r>
              <w:rPr>
                <w:rFonts w:ascii="Arial" w:cs="Arial" w:eastAsia="Arial" w:hAnsi="Arial"/>
                <w:sz w:val="22"/>
                <w:szCs w:val="22"/>
                <w:b w:val="1"/>
                <w:bCs w:val="1"/>
                <w:color w:val="auto"/>
                <w:w w:val="89"/>
              </w:rPr>
              <w:t>Long-Term Equity Compensation</w:t>
            </w:r>
          </w:p>
        </w:tc>
        <w:tc>
          <w:tcPr>
            <w:tcW w:w="430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33"/>
        </w:trPr>
        <w:tc>
          <w:tcPr>
            <w:tcW w:w="3180" w:type="dxa"/>
            <w:vAlign w:val="bottom"/>
            <w:tcBorders>
              <w:left w:val="single" w:sz="8" w:color="auto"/>
              <w:bottom w:val="single" w:sz="8" w:color="auto"/>
              <w:right w:val="single" w:sz="8" w:color="D9D9D9"/>
            </w:tcBorders>
            <w:shd w:val="clear" w:color="auto" w:fill="D9D9D9"/>
          </w:tcPr>
          <w:p>
            <w:pPr>
              <w:spacing w:after="0"/>
              <w:rPr>
                <w:sz w:val="20"/>
                <w:szCs w:val="20"/>
                <w:color w:val="auto"/>
              </w:rPr>
            </w:pPr>
          </w:p>
        </w:tc>
        <w:tc>
          <w:tcPr>
            <w:tcW w:w="60" w:type="dxa"/>
            <w:vAlign w:val="bottom"/>
            <w:tcBorders>
              <w:bottom w:val="single" w:sz="8" w:color="auto"/>
            </w:tcBorders>
            <w:shd w:val="clear" w:color="auto" w:fill="D9D9D9"/>
          </w:tcPr>
          <w:p>
            <w:pPr>
              <w:spacing w:after="0"/>
              <w:rPr>
                <w:sz w:val="20"/>
                <w:szCs w:val="20"/>
                <w:color w:val="auto"/>
              </w:rPr>
            </w:pPr>
          </w:p>
        </w:tc>
        <w:tc>
          <w:tcPr>
            <w:tcW w:w="4300" w:type="dxa"/>
            <w:vAlign w:val="bottom"/>
            <w:tcBorders>
              <w:bottom w:val="single" w:sz="8" w:color="auto"/>
              <w:right w:val="single" w:sz="8" w:color="D9D9D9"/>
            </w:tcBorders>
            <w:shd w:val="clear" w:color="auto" w:fill="D9D9D9"/>
          </w:tcPr>
          <w:p>
            <w:pPr>
              <w:spacing w:after="0"/>
              <w:rPr>
                <w:sz w:val="20"/>
                <w:szCs w:val="20"/>
                <w:color w:val="auto"/>
              </w:rPr>
            </w:pPr>
          </w:p>
        </w:tc>
        <w:tc>
          <w:tcPr>
            <w:tcW w:w="370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458"/>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Performance-Based Restricted</w:t>
            </w:r>
          </w:p>
        </w:tc>
        <w:tc>
          <w:tcPr>
            <w:tcW w:w="60" w:type="dxa"/>
            <w:vAlign w:val="bottom"/>
          </w:tcPr>
          <w:p>
            <w:pPr>
              <w:spacing w:after="0"/>
              <w:rPr>
                <w:sz w:val="24"/>
                <w:szCs w:val="24"/>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Total shareholder return relative to industry</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9"/>
              </w:rPr>
              <w:t>Provides incentive to outperform and</w:t>
            </w:r>
          </w:p>
        </w:tc>
      </w:tr>
      <w:tr>
        <w:trPr>
          <w:trHeight w:val="243"/>
        </w:trPr>
        <w:tc>
          <w:tcPr>
            <w:tcW w:w="3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Stock Awards (approximately</w:t>
            </w:r>
          </w:p>
        </w:tc>
        <w:tc>
          <w:tcPr>
            <w:tcW w:w="60" w:type="dxa"/>
            <w:vAlign w:val="bottom"/>
          </w:tcPr>
          <w:p>
            <w:pPr>
              <w:spacing w:after="0"/>
              <w:rPr>
                <w:sz w:val="21"/>
                <w:szCs w:val="21"/>
                <w:color w:val="auto"/>
              </w:rPr>
            </w:pPr>
          </w:p>
        </w:tc>
        <w:tc>
          <w:tcPr>
            <w:tcW w:w="4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89"/>
              </w:rPr>
              <w:t>peer group and return on invested capital versus</w:t>
            </w: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deliver superior Shareholder returns</w:t>
            </w:r>
          </w:p>
        </w:tc>
      </w:tr>
      <w:tr>
        <w:trPr>
          <w:trHeight w:val="243"/>
        </w:trPr>
        <w:tc>
          <w:tcPr>
            <w:tcW w:w="3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two-thirds of total long-term</w:t>
            </w:r>
          </w:p>
        </w:tc>
        <w:tc>
          <w:tcPr>
            <w:tcW w:w="60" w:type="dxa"/>
            <w:vAlign w:val="bottom"/>
          </w:tcPr>
          <w:p>
            <w:pPr>
              <w:spacing w:after="0"/>
              <w:rPr>
                <w:sz w:val="21"/>
                <w:szCs w:val="21"/>
                <w:color w:val="auto"/>
              </w:rPr>
            </w:pPr>
          </w:p>
        </w:tc>
        <w:tc>
          <w:tcPr>
            <w:tcW w:w="4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 target, in each case over a three-year</w:t>
            </w: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relative to peers and to efficiently</w:t>
            </w:r>
          </w:p>
        </w:tc>
      </w:tr>
      <w:tr>
        <w:trPr>
          <w:trHeight w:val="243"/>
        </w:trPr>
        <w:tc>
          <w:tcPr>
            <w:tcW w:w="3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equity compensation)</w:t>
            </w:r>
          </w:p>
        </w:tc>
        <w:tc>
          <w:tcPr>
            <w:tcW w:w="60" w:type="dxa"/>
            <w:vAlign w:val="bottom"/>
          </w:tcPr>
          <w:p>
            <w:pPr>
              <w:spacing w:after="0"/>
              <w:rPr>
                <w:sz w:val="21"/>
                <w:szCs w:val="21"/>
                <w:color w:val="auto"/>
              </w:rPr>
            </w:pPr>
          </w:p>
        </w:tc>
        <w:tc>
          <w:tcPr>
            <w:tcW w:w="4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performance period.</w:t>
            </w: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utilize the Company’s capital. Aligns</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NEOs with interests of Shareholders</w:t>
            </w:r>
          </w:p>
        </w:tc>
      </w:tr>
      <w:tr>
        <w:trPr>
          <w:trHeight w:val="243"/>
        </w:trPr>
        <w:tc>
          <w:tcPr>
            <w:tcW w:w="31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and promotes commitment to the long-</w:t>
            </w:r>
          </w:p>
        </w:tc>
      </w:tr>
      <w:tr>
        <w:trPr>
          <w:trHeight w:val="274"/>
        </w:trPr>
        <w:tc>
          <w:tcPr>
            <w:tcW w:w="31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3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term performance of the Company.</w:t>
            </w:r>
          </w:p>
        </w:tc>
      </w:tr>
      <w:tr>
        <w:trPr>
          <w:trHeight w:val="233"/>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458"/>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Time-Based Restricted Stock</w:t>
            </w:r>
          </w:p>
        </w:tc>
        <w:tc>
          <w:tcPr>
            <w:tcW w:w="60" w:type="dxa"/>
            <w:vAlign w:val="bottom"/>
          </w:tcPr>
          <w:p>
            <w:pPr>
              <w:spacing w:after="0"/>
              <w:rPr>
                <w:sz w:val="24"/>
                <w:szCs w:val="24"/>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Aligns NEOs with interests of</w:t>
            </w:r>
          </w:p>
        </w:tc>
      </w:tr>
      <w:tr>
        <w:trPr>
          <w:trHeight w:val="243"/>
        </w:trPr>
        <w:tc>
          <w:tcPr>
            <w:tcW w:w="3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5"/>
              </w:rPr>
              <w:t>Awards (approximately one-third</w:t>
            </w:r>
          </w:p>
        </w:tc>
        <w:tc>
          <w:tcPr>
            <w:tcW w:w="6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Shareholders and promotes</w:t>
            </w:r>
          </w:p>
        </w:tc>
      </w:tr>
      <w:tr>
        <w:trPr>
          <w:trHeight w:val="243"/>
        </w:trPr>
        <w:tc>
          <w:tcPr>
            <w:tcW w:w="3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of total long-term equity</w:t>
            </w:r>
          </w:p>
        </w:tc>
        <w:tc>
          <w:tcPr>
            <w:tcW w:w="60" w:type="dxa"/>
            <w:vAlign w:val="bottom"/>
          </w:tcPr>
          <w:p>
            <w:pPr>
              <w:spacing w:after="0"/>
              <w:rPr>
                <w:sz w:val="21"/>
                <w:szCs w:val="21"/>
                <w:color w:val="auto"/>
              </w:rPr>
            </w:pPr>
          </w:p>
        </w:tc>
        <w:tc>
          <w:tcPr>
            <w:tcW w:w="43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commitment to the long-term</w:t>
            </w:r>
          </w:p>
        </w:tc>
      </w:tr>
      <w:tr>
        <w:trPr>
          <w:trHeight w:val="274"/>
        </w:trPr>
        <w:tc>
          <w:tcPr>
            <w:tcW w:w="3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compensation)</w:t>
            </w:r>
          </w:p>
        </w:tc>
        <w:tc>
          <w:tcPr>
            <w:tcW w:w="60" w:type="dxa"/>
            <w:vAlign w:val="bottom"/>
          </w:tcPr>
          <w:p>
            <w:pPr>
              <w:spacing w:after="0"/>
              <w:rPr>
                <w:sz w:val="23"/>
                <w:szCs w:val="23"/>
                <w:color w:val="auto"/>
              </w:rPr>
            </w:pPr>
          </w:p>
        </w:tc>
        <w:tc>
          <w:tcPr>
            <w:tcW w:w="43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performance of the Company.</w:t>
            </w:r>
          </w:p>
        </w:tc>
      </w:tr>
      <w:tr>
        <w:trPr>
          <w:trHeight w:val="233"/>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bl>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allocation of 2020 total direct compensation for our CEO and for our other NEOs among these various components is set forth in the materials on page 9 in the Proxy Statement Summary that highlight the Company’s emphasis on “at risk” and equity-based compensation.</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463" w:right="339" w:bottom="1440" w:gutter="0" w:footer="0" w:header="0"/>
        </w:sectPr>
      </w:pPr>
    </w:p>
    <w:bookmarkStart w:id="36" w:name="page37"/>
    <w:bookmarkEnd w:id="36"/>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Pay-for-Performance Alignment – Performance-Based Shares. </w:t>
      </w:r>
      <w:r>
        <w:rPr>
          <w:rFonts w:ascii="Arial" w:cs="Arial" w:eastAsia="Arial" w:hAnsi="Arial"/>
          <w:sz w:val="19"/>
          <w:szCs w:val="19"/>
          <w:color w:val="auto"/>
        </w:rPr>
        <w:t>The Company’s executive compensation program is</w:t>
      </w:r>
      <w:r>
        <w:rPr>
          <w:rFonts w:ascii="Arial" w:cs="Arial" w:eastAsia="Arial" w:hAnsi="Arial"/>
          <w:sz w:val="19"/>
          <w:szCs w:val="19"/>
          <w:b w:val="1"/>
          <w:bCs w:val="1"/>
          <w:color w:val="auto"/>
        </w:rPr>
        <w:t xml:space="preserve"> </w:t>
      </w:r>
      <w:r>
        <w:rPr>
          <w:rFonts w:ascii="Arial" w:cs="Arial" w:eastAsia="Arial" w:hAnsi="Arial"/>
          <w:sz w:val="19"/>
          <w:szCs w:val="19"/>
          <w:color w:val="auto"/>
        </w:rPr>
        <w:t>designed to motivate our NEOs to create long-term value for our Shareholders and to efficiently use the Company’s invested capital in order to grow our business. To achieve these objectives, our program emphasizes long-term performance-based equity incentives. Beginning with 2017 grants vesting in 2020, performance share grants have utilized two performance metrics: total shareholder return (“TSR”) relative to a group of industry peers and the Company’s return on invested capital (“ROIC”) versus a target. Grants made prior to 2017 vested solely on the basis of TSR. Based on the Company’s performance for the measurement periods related to the vesting of performance-based shares in 2020 and 2021, the Company’s NEOs, including the CEO, received awards that were 21.3% and 48.5% above the target grants established in 2017 and 2018. However, due to the Company’s under-performance for the measurement periods related to the performance-based shares vesting in 2018 and 2019, the NEOs forfeited 100% of the performance-based shares granted in 2015 and 2016. Such forfeitures and additional awards display a clear and direct correlation between pay-for-performance and our executives’ compensation.</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Role of the Compensation Committee. </w:t>
      </w:r>
      <w:r>
        <w:rPr>
          <w:rFonts w:ascii="Arial" w:cs="Arial" w:eastAsia="Arial" w:hAnsi="Arial"/>
          <w:sz w:val="21"/>
          <w:szCs w:val="21"/>
          <w:color w:val="auto"/>
        </w:rPr>
        <w:t>The Committee currently comprises five Directors, all of whom are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 the NYSE listing standards. During 2020, the Committee members were Andrea Funk, Stephen Hagge, Hans Löliger, James Miller, Josef Müller and Jim Turner. In February 2020, Mr. Löliger retired from the Committee and was replaced by Mr. Hagge.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Arial" w:cs="Arial" w:eastAsia="Arial" w:hAnsi="Arial"/>
          <w:sz w:val="21"/>
          <w:szCs w:val="21"/>
          <w:b w:val="1"/>
          <w:bCs w:val="1"/>
          <w:u w:val="single" w:color="auto"/>
          <w:color w:val="29650B"/>
        </w:rPr>
        <w:t>www.crowncork.com/investors/corporate-governance/compensation-committee-charter</w:t>
      </w:r>
      <w:r>
        <w:rPr>
          <w:rFonts w:ascii="Arial" w:cs="Arial" w:eastAsia="Arial" w:hAnsi="Arial"/>
          <w:sz w:val="21"/>
          <w:szCs w:val="21"/>
          <w:color w:val="000000"/>
        </w:rPr>
        <w:t>.</w:t>
      </w:r>
    </w:p>
    <w:p>
      <w:pPr>
        <w:spacing w:after="0" w:line="1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Compensation Philosophy and Objectives. </w:t>
      </w:r>
      <w:r>
        <w:rPr>
          <w:rFonts w:ascii="Arial" w:cs="Arial" w:eastAsia="Arial" w:hAnsi="Arial"/>
          <w:sz w:val="19"/>
          <w:szCs w:val="19"/>
          <w:color w:val="auto"/>
        </w:rPr>
        <w:t>The Committee maintains a “pay-for-performance” philosophy toward</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compensation. One 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total shareholder return.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2020 under the Company’s long-term incentive plan is tied to performance of the Company’s total shareholder return versus that of a peer group and return on invested capital versus the Company’s projected three-year average of return on invested capital.</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463" w:right="339" w:bottom="1440" w:gutter="0" w:footer="0" w:header="0"/>
        </w:sectPr>
      </w:pPr>
    </w:p>
    <w:bookmarkStart w:id="37" w:name="page38"/>
    <w:bookmarkEnd w:id="37"/>
    <w:p>
      <w:pPr>
        <w:jc w:val="both"/>
        <w:ind w:firstLine="648"/>
        <w:spacing w:after="0" w:line="238" w:lineRule="auto"/>
        <w:rPr>
          <w:sz w:val="20"/>
          <w:szCs w:val="20"/>
          <w:color w:val="auto"/>
        </w:rPr>
      </w:pPr>
      <w:r>
        <w:rPr>
          <w:rFonts w:ascii="Arial" w:cs="Arial" w:eastAsia="Arial" w:hAnsi="Arial"/>
          <w:sz w:val="22"/>
          <w:szCs w:val="22"/>
          <w:i w:val="1"/>
          <w:iCs w:val="1"/>
          <w:color w:val="auto"/>
        </w:rPr>
        <w:t>Stock Ownership Guidelines and Share Retention Policy</w:t>
      </w:r>
      <w:r>
        <w:rPr>
          <w:rFonts w:ascii="Arial" w:cs="Arial" w:eastAsia="Arial" w:hAnsi="Arial"/>
          <w:sz w:val="22"/>
          <w:szCs w:val="22"/>
          <w:color w:val="auto"/>
        </w:rPr>
        <w:t>. Consistent with the Committee’s stock ownership-oriented</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philosophy and its focus on long-term performance, the Company maintains stock ownership guidelines under which our NEOs are expected to own Company Common Stock with a minimum value equal to a multiple of base salary,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216535</wp:posOffset>
            </wp:positionV>
            <wp:extent cx="4989195" cy="934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89195" cy="934720"/>
                    </a:xfrm>
                    <a:prstGeom prst="rect">
                      <a:avLst/>
                    </a:prstGeom>
                    <a:noFill/>
                  </pic:spPr>
                </pic:pic>
              </a:graphicData>
            </a:graphic>
          </wp:anchor>
        </w:drawing>
      </w:r>
    </w:p>
    <w:p>
      <w:pPr>
        <w:spacing w:after="0" w:line="361"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FFFFFF"/>
        </w:rPr>
        <w:t>Stock Ownership Guidelines Applicable to NEOs</w:t>
      </w:r>
    </w:p>
    <w:p>
      <w:pPr>
        <w:spacing w:after="0" w:line="51" w:lineRule="exact"/>
        <w:rPr>
          <w:sz w:val="20"/>
          <w:szCs w:val="20"/>
          <w:color w:val="auto"/>
        </w:rPr>
      </w:pPr>
    </w:p>
    <w:tbl>
      <w:tblPr>
        <w:tblLayout w:type="fixed"/>
        <w:tblInd w:w="1020" w:type="dxa"/>
        <w:tblCellMar>
          <w:top w:w="0" w:type="dxa"/>
          <w:left w:w="0" w:type="dxa"/>
          <w:bottom w:w="0" w:type="dxa"/>
          <w:right w:w="0" w:type="dxa"/>
        </w:tblCellMar>
      </w:tblPr>
      <w:tr>
        <w:trPr>
          <w:trHeight w:val="321"/>
        </w:trPr>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FFFFFF"/>
                <w:w w:val="85"/>
              </w:rPr>
              <w:t>Position</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FFFFFF"/>
                <w:w w:val="90"/>
              </w:rPr>
              <w:t>Multiple of Base Salary</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300"/>
        </w:trPr>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CEO</w:t>
            </w:r>
          </w:p>
        </w:tc>
        <w:tc>
          <w:tcPr>
            <w:tcW w:w="4000" w:type="dxa"/>
            <w:vAlign w:val="bottom"/>
          </w:tcPr>
          <w:p>
            <w:pPr>
              <w:jc w:val="center"/>
              <w:spacing w:after="0"/>
              <w:rPr>
                <w:sz w:val="20"/>
                <w:szCs w:val="20"/>
                <w:color w:val="auto"/>
              </w:rPr>
            </w:pPr>
            <w:r>
              <w:rPr>
                <w:rFonts w:ascii="Arial" w:cs="Arial" w:eastAsia="Arial" w:hAnsi="Arial"/>
                <w:sz w:val="22"/>
                <w:szCs w:val="22"/>
                <w:color w:val="auto"/>
                <w:w w:val="94"/>
              </w:rPr>
              <w:t>6x</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301"/>
        </w:trPr>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All other NEOs</w:t>
            </w:r>
          </w:p>
        </w:tc>
        <w:tc>
          <w:tcPr>
            <w:tcW w:w="4000" w:type="dxa"/>
            <w:vAlign w:val="bottom"/>
          </w:tcPr>
          <w:p>
            <w:pPr>
              <w:jc w:val="center"/>
              <w:spacing w:after="0"/>
              <w:rPr>
                <w:sz w:val="20"/>
                <w:szCs w:val="20"/>
                <w:color w:val="auto"/>
              </w:rPr>
            </w:pPr>
            <w:r>
              <w:rPr>
                <w:rFonts w:ascii="Arial" w:cs="Arial" w:eastAsia="Arial" w:hAnsi="Arial"/>
                <w:sz w:val="22"/>
                <w:szCs w:val="22"/>
                <w:color w:val="auto"/>
                <w:w w:val="94"/>
              </w:rPr>
              <w:t>3x</w:t>
            </w:r>
          </w:p>
        </w:tc>
      </w:tr>
      <w:tr>
        <w:trPr>
          <w:trHeight w:val="44"/>
        </w:trPr>
        <w:tc>
          <w:tcPr>
            <w:tcW w:w="3860" w:type="dxa"/>
            <w:vAlign w:val="bottom"/>
            <w:tcBorders>
              <w:bottom w:val="single" w:sz="8" w:color="auto"/>
              <w:right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Until the ownership requirement is satisfied, an NEO is required to retain 50% of the after-tax number of shares of any Common Stock received as the result of an option exercise, vesting of restricted shares or issuance of deferred shares. At year-end, all the NEOs either owned more than the minimum level of Common Stock or were otherwise in compliance with the stock ownership guidelines.</w:t>
      </w:r>
    </w:p>
    <w:p>
      <w:pPr>
        <w:spacing w:after="0" w:line="18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i w:val="1"/>
          <w:iCs w:val="1"/>
          <w:color w:val="auto"/>
        </w:rPr>
        <w:t xml:space="preserve">Prohibition of Hedging and Pledging. </w:t>
      </w:r>
      <w:r>
        <w:rPr>
          <w:rFonts w:ascii="Arial" w:cs="Arial" w:eastAsia="Arial" w:hAnsi="Arial"/>
          <w:sz w:val="19"/>
          <w:szCs w:val="19"/>
          <w:color w:val="auto"/>
        </w:rPr>
        <w:t>Under the Company’s Corporate Governance Guidelines, the Company’s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and other insiders may not engage in any form of hedging or pledging transactions with respect to Company securities.</w:t>
      </w:r>
    </w:p>
    <w:p>
      <w:pPr>
        <w:spacing w:after="0" w:line="9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Committee Process. </w:t>
      </w:r>
      <w:r>
        <w:rPr>
          <w:rFonts w:ascii="Arial" w:cs="Arial" w:eastAsia="Arial" w:hAnsi="Arial"/>
          <w:sz w:val="19"/>
          <w:szCs w:val="19"/>
          <w:color w:val="auto"/>
        </w:rPr>
        <w:t>The Committee meets as often as necessary to perform its duties and responsibilities. During 2020,</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met six times. The Committee usually meets with the CEO and, when appropriate, with other Company Officers and outside advisors. In addition, the Committee periodically meets in executive session without management present.</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Setting of Meeting Agenda</w:t>
      </w:r>
      <w:r>
        <w:rPr>
          <w:rFonts w:ascii="Arial" w:cs="Arial" w:eastAsia="Arial" w:hAnsi="Arial"/>
          <w:sz w:val="19"/>
          <w:szCs w:val="19"/>
          <w:color w:val="auto"/>
        </w:rPr>
        <w:t>. The Committee’s meeting agenda is normally established by the Committee Chair in</w:t>
      </w:r>
      <w:r>
        <w:rPr>
          <w:rFonts w:ascii="Arial" w:cs="Arial" w:eastAsia="Arial" w:hAnsi="Arial"/>
          <w:sz w:val="19"/>
          <w:szCs w:val="19"/>
          <w:i w:val="1"/>
          <w:iCs w:val="1"/>
          <w:color w:val="auto"/>
        </w:rPr>
        <w:t xml:space="preserve"> </w:t>
      </w:r>
      <w:r>
        <w:rPr>
          <w:rFonts w:ascii="Arial" w:cs="Arial" w:eastAsia="Arial" w:hAnsi="Arial"/>
          <w:sz w:val="19"/>
          <w:szCs w:val="19"/>
          <w:color w:val="auto"/>
        </w:rPr>
        <w:t>consultation with the CEO and the Vice President of Human Resources.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14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Use of Tally Sheets</w:t>
      </w:r>
      <w:r>
        <w:rPr>
          <w:rFonts w:ascii="Arial" w:cs="Arial" w:eastAsia="Arial" w:hAnsi="Arial"/>
          <w:sz w:val="22"/>
          <w:szCs w:val="22"/>
          <w:color w:val="auto"/>
        </w:rPr>
        <w:t>. The Committee reviews tally sheets when setting annual compensation for the NEOs. These tally</w:t>
      </w:r>
      <w:r>
        <w:rPr>
          <w:rFonts w:ascii="Arial" w:cs="Arial" w:eastAsia="Arial" w:hAnsi="Arial"/>
          <w:sz w:val="22"/>
          <w:szCs w:val="22"/>
          <w:i w:val="1"/>
          <w:iCs w:val="1"/>
          <w:color w:val="auto"/>
        </w:rPr>
        <w:t xml:space="preserve"> </w:t>
      </w:r>
      <w:r>
        <w:rPr>
          <w:rFonts w:ascii="Arial" w:cs="Arial" w:eastAsia="Arial" w:hAnsi="Arial"/>
          <w:sz w:val="22"/>
          <w:szCs w:val="22"/>
          <w:color w:val="auto"/>
        </w:rPr>
        <w:t>sheets allow the Committee to review each NEO’s compensation on an aggregate basis and to see how a change in any one component affects each NEO’s total compensation. For 2020,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on retirement benefits.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Retention of Compensation Consultants</w:t>
      </w:r>
      <w:r>
        <w:rPr>
          <w:rFonts w:ascii="Arial" w:cs="Arial" w:eastAsia="Arial" w:hAnsi="Arial"/>
          <w:sz w:val="22"/>
          <w:szCs w:val="22"/>
          <w:color w:val="auto"/>
        </w:rPr>
        <w:t>. The Committee’s charter authorizes the Committee, in its sole discretion, to</w:t>
      </w:r>
      <w:r>
        <w:rPr>
          <w:rFonts w:ascii="Arial" w:cs="Arial" w:eastAsia="Arial" w:hAnsi="Arial"/>
          <w:sz w:val="22"/>
          <w:szCs w:val="22"/>
          <w:i w:val="1"/>
          <w:iCs w:val="1"/>
          <w:color w:val="auto"/>
        </w:rPr>
        <w:t xml:space="preserve"> </w:t>
      </w:r>
      <w:r>
        <w:rPr>
          <w:rFonts w:ascii="Arial" w:cs="Arial" w:eastAsia="Arial" w:hAnsi="Arial"/>
          <w:sz w:val="22"/>
          <w:szCs w:val="22"/>
          <w:color w:val="auto"/>
        </w:rPr>
        <w:t>retain, oversee and terminate consultants to assist it in the evaluation of compensation for the NEOs. The Committee has sole authority to approve the fees and other retention terms of any such consultants.</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469" w:right="339" w:bottom="1440" w:gutter="0" w:footer="0" w:header="0"/>
        </w:sectPr>
      </w:pPr>
    </w:p>
    <w:bookmarkStart w:id="38" w:name="page39"/>
    <w:bookmarkEnd w:id="38"/>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Role of Executive Officers in Compensation Decisions. </w:t>
      </w:r>
      <w:r>
        <w:rPr>
          <w:rFonts w:ascii="Arial" w:cs="Arial" w:eastAsia="Arial" w:hAnsi="Arial"/>
          <w:sz w:val="19"/>
          <w:szCs w:val="19"/>
          <w:color w:val="auto"/>
        </w:rPr>
        <w:t>The Committee makes all decisions regarding the CEO’s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Decisions 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Executive Compensation Consultant. </w:t>
      </w:r>
      <w:r>
        <w:rPr>
          <w:rFonts w:ascii="Arial" w:cs="Arial" w:eastAsia="Arial" w:hAnsi="Arial"/>
          <w:sz w:val="22"/>
          <w:szCs w:val="22"/>
          <w:color w:val="auto"/>
        </w:rPr>
        <w:t>Pursuant to its authority under its charter to retain compensation consultants,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engaged Pay Governance LLC, an executive compensation consulting firm, to act as its independent advisor with respect to 2020 compensation decisions.</w:t>
      </w:r>
    </w:p>
    <w:p>
      <w:pPr>
        <w:spacing w:after="0" w:line="1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Consultant Independence</w:t>
      </w:r>
      <w:r>
        <w:rPr>
          <w:rFonts w:ascii="Arial" w:cs="Arial" w:eastAsia="Arial" w:hAnsi="Arial"/>
          <w:sz w:val="19"/>
          <w:szCs w:val="19"/>
          <w:color w:val="auto"/>
        </w:rPr>
        <w:t>. All services provided by Pay Governance to the Committee are conducted under the direction</w:t>
      </w:r>
      <w:r>
        <w:rPr>
          <w:rFonts w:ascii="Arial" w:cs="Arial" w:eastAsia="Arial" w:hAnsi="Arial"/>
          <w:sz w:val="19"/>
          <w:szCs w:val="19"/>
          <w:i w:val="1"/>
          <w:iCs w:val="1"/>
          <w:color w:val="auto"/>
        </w:rPr>
        <w:t xml:space="preserve"> </w:t>
      </w:r>
      <w:r>
        <w:rPr>
          <w:rFonts w:ascii="Arial" w:cs="Arial" w:eastAsia="Arial" w:hAnsi="Arial"/>
          <w:sz w:val="19"/>
          <w:szCs w:val="19"/>
          <w:color w:val="auto"/>
        </w:rPr>
        <w:t>and authority of the 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Use of Benchmarking. </w:t>
      </w:r>
      <w:r>
        <w:rPr>
          <w:rFonts w:ascii="Arial" w:cs="Arial" w:eastAsia="Arial" w:hAnsi="Arial"/>
          <w:sz w:val="22"/>
          <w:szCs w:val="22"/>
          <w:color w:val="auto"/>
        </w:rPr>
        <w:t>In advising the Committee regarding 2020 compensation for our NEOs, Pay Governance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developed competitive compensation levels by establishing a benchmark match for each NEO position in the competitive market. Competitive levels were developed for the following elements of pay:</w:t>
      </w:r>
    </w:p>
    <w:p>
      <w:pPr>
        <w:spacing w:after="0" w:line="75"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base salary</w:t>
      </w:r>
    </w:p>
    <w:p>
      <w:pPr>
        <w:spacing w:after="0" w:line="8" w:lineRule="exact"/>
        <w:rPr>
          <w:rFonts w:ascii="Arial" w:cs="Arial" w:eastAsia="Arial" w:hAnsi="Arial"/>
          <w:sz w:val="22"/>
          <w:szCs w:val="22"/>
          <w:color w:val="auto"/>
        </w:rPr>
      </w:pPr>
    </w:p>
    <w:p>
      <w:pPr>
        <w:ind w:left="1040" w:hanging="384"/>
        <w:spacing w:after="0" w:line="230" w:lineRule="auto"/>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target annual incentive</w:t>
      </w:r>
    </w:p>
    <w:p>
      <w:pPr>
        <w:ind w:left="1040" w:hanging="384"/>
        <w:spacing w:after="0" w:line="230" w:lineRule="auto"/>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target total cash compensation (base salary plus target annual incentive)</w:t>
      </w:r>
    </w:p>
    <w:p>
      <w:pPr>
        <w:ind w:left="1040" w:hanging="384"/>
        <w:spacing w:after="0" w:line="230" w:lineRule="auto"/>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long-term equity incentives</w:t>
      </w:r>
    </w:p>
    <w:p>
      <w:pPr>
        <w:ind w:left="1040" w:hanging="384"/>
        <w:spacing w:after="0"/>
        <w:tabs>
          <w:tab w:leader="none" w:pos="10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target total direct compensation (target total cash compensation plus the target value of long-term equity incentives)</w:t>
      </w:r>
    </w:p>
    <w:p>
      <w:pPr>
        <w:spacing w:after="0" w:line="24" w:lineRule="exact"/>
        <w:rPr>
          <w:rFonts w:ascii="Arial" w:cs="Arial" w:eastAsia="Arial" w:hAnsi="Arial"/>
          <w:sz w:val="19"/>
          <w:szCs w:val="19"/>
          <w:color w:val="auto"/>
        </w:rPr>
      </w:pPr>
    </w:p>
    <w:p>
      <w:pPr>
        <w:ind w:left="1060" w:hanging="404"/>
        <w:spacing w:after="0" w:line="230" w:lineRule="auto"/>
        <w:tabs>
          <w:tab w:leader="none" w:pos="10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annualized value of retirement benefits</w:t>
      </w:r>
    </w:p>
    <w:p>
      <w:pPr>
        <w:ind w:left="1040" w:hanging="384"/>
        <w:spacing w:after="0"/>
        <w:tabs>
          <w:tab w:leader="none" w:pos="10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target total remuneration (target total direct compensation plus the annualized value of retirement benefits)</w:t>
      </w:r>
    </w:p>
    <w:p>
      <w:pPr>
        <w:spacing w:after="0" w:line="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Peer Group Composition. </w:t>
      </w:r>
      <w:r>
        <w:rPr>
          <w:rFonts w:ascii="Arial" w:cs="Arial" w:eastAsia="Arial" w:hAnsi="Arial"/>
          <w:sz w:val="22"/>
          <w:szCs w:val="22"/>
          <w:color w:val="auto"/>
        </w:rPr>
        <w:t>In establishing its benchmarks for each of the NEOs, Pay Governance gathered data for 17</w:t>
      </w:r>
      <w:r>
        <w:rPr>
          <w:rFonts w:ascii="Arial" w:cs="Arial" w:eastAsia="Arial" w:hAnsi="Arial"/>
          <w:sz w:val="22"/>
          <w:szCs w:val="22"/>
          <w:b w:val="1"/>
          <w:bCs w:val="1"/>
          <w:color w:val="auto"/>
        </w:rPr>
        <w:t xml:space="preserve"> </w:t>
      </w:r>
      <w:r>
        <w:rPr>
          <w:rFonts w:ascii="Arial" w:cs="Arial" w:eastAsia="Arial" w:hAnsi="Arial"/>
          <w:sz w:val="22"/>
          <w:szCs w:val="22"/>
          <w:color w:val="auto"/>
        </w:rPr>
        <w:t>companies, or divisions of companies, defined as the “Peer Group.”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comprises the following companies: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rPr>
                <w:sz w:val="20"/>
                <w:szCs w:val="20"/>
                <w:color w:val="auto"/>
              </w:rPr>
            </w:pPr>
            <w:r>
              <w:rPr>
                <w:rFonts w:ascii="Arial" w:cs="Arial" w:eastAsia="Arial" w:hAnsi="Arial"/>
                <w:sz w:val="22"/>
                <w:szCs w:val="22"/>
                <w:color w:val="auto"/>
              </w:rPr>
              <w:t>Avery Dennison Corporation</w:t>
            </w:r>
          </w:p>
        </w:tc>
        <w:tc>
          <w:tcPr>
            <w:tcW w:w="13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3320" w:type="dxa"/>
            <w:vAlign w:val="bottom"/>
          </w:tcPr>
          <w:p>
            <w:pPr>
              <w:ind w:left="460"/>
              <w:spacing w:after="0"/>
              <w:rPr>
                <w:sz w:val="20"/>
                <w:szCs w:val="20"/>
                <w:color w:val="auto"/>
              </w:rPr>
            </w:pPr>
            <w:r>
              <w:rPr>
                <w:rFonts w:ascii="Arial" w:cs="Arial" w:eastAsia="Arial" w:hAnsi="Arial"/>
                <w:sz w:val="22"/>
                <w:szCs w:val="22"/>
                <w:color w:val="auto"/>
              </w:rPr>
              <w:t>Nestlé USA</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Ball Corporation</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rPr>
              <w:t>O-I Glass</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Bemis Company</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rPr>
              <w:t>PPG Industries</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Campbell Soup Company</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rPr>
              <w:t>SC Johnson &amp; Son</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Colgate Palmolive Company</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rPr>
              <w:t>Sealed Air Corporation</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Dean Foods Company</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w w:val="90"/>
              </w:rPr>
              <w:t>The Sherwin-Williams Company</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line="243" w:lineRule="exact"/>
              <w:rPr>
                <w:sz w:val="20"/>
                <w:szCs w:val="20"/>
                <w:color w:val="auto"/>
              </w:rPr>
            </w:pPr>
            <w:r>
              <w:rPr>
                <w:rFonts w:ascii="Arial" w:cs="Arial" w:eastAsia="Arial" w:hAnsi="Arial"/>
                <w:sz w:val="22"/>
                <w:szCs w:val="22"/>
                <w:color w:val="auto"/>
              </w:rPr>
              <w:t>Eastman Chemical Company</w:t>
            </w:r>
          </w:p>
        </w:tc>
        <w:tc>
          <w:tcPr>
            <w:tcW w:w="136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320" w:type="dxa"/>
            <w:vAlign w:val="bottom"/>
          </w:tcPr>
          <w:p>
            <w:pPr>
              <w:ind w:left="460"/>
              <w:spacing w:after="0" w:line="243" w:lineRule="exact"/>
              <w:rPr>
                <w:sz w:val="20"/>
                <w:szCs w:val="20"/>
                <w:color w:val="auto"/>
              </w:rPr>
            </w:pPr>
            <w:r>
              <w:rPr>
                <w:rFonts w:ascii="Arial" w:cs="Arial" w:eastAsia="Arial" w:hAnsi="Arial"/>
                <w:sz w:val="22"/>
                <w:szCs w:val="22"/>
                <w:color w:val="auto"/>
                <w:w w:val="91"/>
              </w:rPr>
              <w:t>United States Steel Corporation</w:t>
            </w:r>
          </w:p>
        </w:tc>
      </w:tr>
      <w:tr>
        <w:trPr>
          <w:trHeight w:val="261"/>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00" w:type="dxa"/>
            <w:vAlign w:val="bottom"/>
          </w:tcPr>
          <w:p>
            <w:pPr>
              <w:ind w:left="460"/>
              <w:spacing w:after="0"/>
              <w:rPr>
                <w:sz w:val="20"/>
                <w:szCs w:val="20"/>
                <w:color w:val="auto"/>
              </w:rPr>
            </w:pPr>
            <w:r>
              <w:rPr>
                <w:rFonts w:ascii="Arial" w:cs="Arial" w:eastAsia="Arial" w:hAnsi="Arial"/>
                <w:sz w:val="22"/>
                <w:szCs w:val="22"/>
                <w:color w:val="auto"/>
              </w:rPr>
              <w:t>Greif</w:t>
            </w:r>
          </w:p>
        </w:tc>
        <w:tc>
          <w:tcPr>
            <w:tcW w:w="13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3320" w:type="dxa"/>
            <w:vAlign w:val="bottom"/>
          </w:tcPr>
          <w:p>
            <w:pPr>
              <w:ind w:left="460"/>
              <w:spacing w:after="0"/>
              <w:rPr>
                <w:sz w:val="20"/>
                <w:szCs w:val="20"/>
                <w:color w:val="auto"/>
              </w:rPr>
            </w:pPr>
            <w:r>
              <w:rPr>
                <w:rFonts w:ascii="Arial" w:cs="Arial" w:eastAsia="Arial" w:hAnsi="Arial"/>
                <w:sz w:val="22"/>
                <w:szCs w:val="22"/>
                <w:color w:val="auto"/>
              </w:rPr>
              <w:t>WestRock</w:t>
            </w:r>
          </w:p>
        </w:tc>
      </w:tr>
    </w:tbl>
    <w:p>
      <w:pPr>
        <w:ind w:left="1780" w:hanging="976"/>
        <w:spacing w:after="0"/>
        <w:tabs>
          <w:tab w:leader="none" w:pos="17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Keurig Dr Pepper</w:t>
      </w: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463" w:right="339" w:bottom="1440" w:gutter="0" w:footer="0" w:header="0"/>
        </w:sectPr>
      </w:pPr>
    </w:p>
    <w:bookmarkStart w:id="39" w:name="page40"/>
    <w:bookmarkEnd w:id="39"/>
    <w:p>
      <w:pPr>
        <w:jc w:val="both"/>
        <w:ind w:firstLine="648"/>
        <w:spacing w:after="0"/>
        <w:rPr>
          <w:sz w:val="20"/>
          <w:szCs w:val="20"/>
          <w:color w:val="auto"/>
        </w:rPr>
      </w:pPr>
      <w:r>
        <w:rPr>
          <w:rFonts w:ascii="Arial" w:cs="Arial" w:eastAsia="Arial" w:hAnsi="Arial"/>
          <w:sz w:val="22"/>
          <w:szCs w:val="22"/>
          <w:color w:val="auto"/>
        </w:rPr>
        <w:t>Specific benchmark levels were developed using regression analysis to size-adjust the market data to reflect the Company’s corporate revenue or the individual business unit revenue, when appropriate. To provide a broader frame of reference, Pay Governance also analyzed each NEO position against general industry data.</w:t>
      </w:r>
    </w:p>
    <w:p>
      <w:pPr>
        <w:spacing w:after="0" w:line="20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Compensation Strategy for CEO. </w:t>
      </w:r>
      <w:r>
        <w:rPr>
          <w:rFonts w:ascii="Arial" w:cs="Arial" w:eastAsia="Arial" w:hAnsi="Arial"/>
          <w:sz w:val="19"/>
          <w:szCs w:val="19"/>
          <w:color w:val="auto"/>
        </w:rPr>
        <w:t>The evaluation of the CEO’s performance and the setting of his compensation is one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fundamental duties of the Committee. In determining the CEO’s compensation for 2020,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78" w:lineRule="exact"/>
        <w:rPr>
          <w:sz w:val="20"/>
          <w:szCs w:val="20"/>
          <w:color w:val="auto"/>
        </w:rPr>
      </w:pPr>
    </w:p>
    <w:p>
      <w:pPr>
        <w:jc w:val="both"/>
        <w:ind w:left="980" w:right="20" w:hanging="324"/>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Strong earnings and cash flow generation. </w:t>
      </w:r>
      <w:r>
        <w:rPr>
          <w:rFonts w:ascii="Arial" w:cs="Arial" w:eastAsia="Arial" w:hAnsi="Arial"/>
          <w:sz w:val="22"/>
          <w:szCs w:val="22"/>
          <w:color w:val="auto"/>
        </w:rPr>
        <w:t>For the year, net income was $688 million. This translated to diluted</w:t>
      </w:r>
      <w:r>
        <w:rPr>
          <w:rFonts w:ascii="Arial" w:cs="Arial" w:eastAsia="Arial" w:hAnsi="Arial"/>
          <w:sz w:val="22"/>
          <w:szCs w:val="22"/>
          <w:i w:val="1"/>
          <w:iCs w:val="1"/>
          <w:color w:val="auto"/>
        </w:rPr>
        <w:t xml:space="preserve"> </w:t>
      </w:r>
      <w:r>
        <w:rPr>
          <w:rFonts w:ascii="Arial" w:cs="Arial" w:eastAsia="Arial" w:hAnsi="Arial"/>
          <w:sz w:val="22"/>
          <w:szCs w:val="22"/>
          <w:color w:val="auto"/>
        </w:rPr>
        <w:t>earnings per share of $4.30, an increase of 13.8% over 2019. Cash flow from operating activities in 2020 was $1,315 million, which was significantly improved over $1,163 million in 2019.</w:t>
      </w:r>
    </w:p>
    <w:p>
      <w:pPr>
        <w:spacing w:after="0" w:line="213" w:lineRule="exact"/>
        <w:rPr>
          <w:rFonts w:ascii="Arial" w:cs="Arial" w:eastAsia="Arial" w:hAnsi="Arial"/>
          <w:sz w:val="22"/>
          <w:szCs w:val="22"/>
          <w:color w:val="auto"/>
        </w:rPr>
      </w:pPr>
    </w:p>
    <w:p>
      <w:pPr>
        <w:jc w:val="both"/>
        <w:ind w:left="980" w:hanging="324"/>
        <w:spacing w:after="0" w:line="279" w:lineRule="auto"/>
        <w:tabs>
          <w:tab w:leader="none" w:pos="980"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Investment in growth markets</w:t>
      </w:r>
      <w:r>
        <w:rPr>
          <w:rFonts w:ascii="Arial" w:cs="Arial" w:eastAsia="Arial" w:hAnsi="Arial"/>
          <w:sz w:val="19"/>
          <w:szCs w:val="19"/>
          <w:color w:val="auto"/>
        </w:rPr>
        <w:t>. In response to increasing global demand for beverage cans, during 2020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added new production lines at its facilities in Toronto, Ontario and Nichols, New York, commercialized a new can plant in Thailand, and completed the conversion of two lines in Spain from steel to aluminum. In addition, the Company began construction on a number of projects that are scheduled to be completed in 2021, including a new two-line can plant in Bowling Green, Kentucky; a third production line at its Olympia, Washington facility; a second production line at its plant in Rio Verde, Brazil; and a new can plant in Vung Tao, Vietnam.</w:t>
      </w:r>
    </w:p>
    <w:p>
      <w:pPr>
        <w:spacing w:after="0" w:line="177" w:lineRule="exact"/>
        <w:rPr>
          <w:rFonts w:ascii="Arial" w:cs="Arial" w:eastAsia="Arial" w:hAnsi="Arial"/>
          <w:sz w:val="19"/>
          <w:szCs w:val="19"/>
          <w:color w:val="auto"/>
        </w:rPr>
      </w:pPr>
    </w:p>
    <w:p>
      <w:pPr>
        <w:ind w:left="980" w:right="20" w:hanging="324"/>
        <w:spacing w:after="0" w:line="274" w:lineRule="auto"/>
        <w:tabs>
          <w:tab w:leader="none" w:pos="980"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 xml:space="preserve">Deleveraging of the balance sheet. </w:t>
      </w:r>
      <w:r>
        <w:rPr>
          <w:rFonts w:ascii="Arial" w:cs="Arial" w:eastAsia="Arial" w:hAnsi="Arial"/>
          <w:sz w:val="21"/>
          <w:szCs w:val="21"/>
          <w:color w:val="auto"/>
        </w:rPr>
        <w:t>Following the Signode (Transit Packaging) acquisition, the Company’s</w:t>
      </w:r>
      <w:r>
        <w:rPr>
          <w:rFonts w:ascii="Arial" w:cs="Arial" w:eastAsia="Arial" w:hAnsi="Arial"/>
          <w:sz w:val="21"/>
          <w:szCs w:val="21"/>
          <w:i w:val="1"/>
          <w:iCs w:val="1"/>
          <w:color w:val="auto"/>
        </w:rPr>
        <w:t xml:space="preserve"> </w:t>
      </w:r>
      <w:r>
        <w:rPr>
          <w:rFonts w:ascii="Arial" w:cs="Arial" w:eastAsia="Arial" w:hAnsi="Arial"/>
          <w:sz w:val="21"/>
          <w:szCs w:val="21"/>
          <w:color w:val="auto"/>
        </w:rPr>
        <w:t>deleveraging goal is on plan. At the end of 2020, net leverage (net debt over EBITDA) declined to 3.9 times.</w:t>
      </w:r>
    </w:p>
    <w:p>
      <w:pPr>
        <w:spacing w:after="0" w:line="177" w:lineRule="exact"/>
        <w:rPr>
          <w:rFonts w:ascii="Arial" w:cs="Arial" w:eastAsia="Arial" w:hAnsi="Arial"/>
          <w:sz w:val="21"/>
          <w:szCs w:val="21"/>
          <w:color w:val="auto"/>
        </w:rPr>
      </w:pPr>
    </w:p>
    <w:p>
      <w:pPr>
        <w:jc w:val="both"/>
        <w:ind w:left="980" w:hanging="324"/>
        <w:spacing w:after="0" w:line="271" w:lineRule="auto"/>
        <w:tabs>
          <w:tab w:leader="none" w:pos="980"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Sustainability. </w:t>
      </w:r>
      <w:r>
        <w:rPr>
          <w:rFonts w:ascii="Arial" w:cs="Arial" w:eastAsia="Arial" w:hAnsi="Arial"/>
          <w:sz w:val="19"/>
          <w:szCs w:val="19"/>
          <w:color w:val="auto"/>
        </w:rPr>
        <w:t>Under Mr. Donahue’s leadership, the Company has continued its commitment to efficiently manage</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conserve resources and bring innovations to market to support the sustainability efforts of Crown, its customers and consumers. As of the end of 2019 (four years into its five-year initiative to reduce energy consumption and greenhouse gas emissions), the Company surpassed its 2020 worldwide metal packaging sustainability goals of a 5% reduction in energy consumption and a 10% reduction in greenhouse gas emissions, per billion standard units of production. In March 2020, the Company signed one of the largest non-investment grade “sustainability-linked loans” in history. The Company also has made commitments regarding renewable energy and water conservation and has made commitments to the Science-Based Targets initiative (“SBTi”) for Scope 1, 2 and 3 emissions. The Company received numerous awards from governments and high rankings by various ESG ratings agencies, some of which is described in more detail in the Proxy Summary above. In addition, the Company centralized management of its corporate-level sustainability efforts under the newly-created role of Vice President – Global Sustainability, created Sustainability Steering Committees comprised of senior executives at the corporate and divisional levels, launched its Supplier Code of Conduct to ensure alignment of supplier conduct with the Company’s core values, and created the role of Senior Vice President – Diversity &amp; Inclusion.</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469" w:right="339" w:bottom="1440" w:gutter="0" w:footer="0" w:header="0"/>
        </w:sectPr>
      </w:pPr>
    </w:p>
    <w:bookmarkStart w:id="40" w:name="page41"/>
    <w:bookmarkEnd w:id="40"/>
    <w:p>
      <w:pPr>
        <w:ind w:firstLine="648"/>
        <w:spacing w:after="0" w:line="206" w:lineRule="auto"/>
        <w:rPr>
          <w:sz w:val="20"/>
          <w:szCs w:val="20"/>
          <w:color w:val="auto"/>
        </w:rPr>
      </w:pPr>
      <w:r>
        <w:rPr>
          <w:rFonts w:ascii="Arial" w:cs="Arial" w:eastAsia="Arial" w:hAnsi="Arial"/>
          <w:sz w:val="22"/>
          <w:szCs w:val="22"/>
          <w:i w:val="1"/>
          <w:iCs w:val="1"/>
          <w:color w:val="auto"/>
        </w:rPr>
        <w:t>CEO Target Compensation</w:t>
      </w:r>
      <w:r>
        <w:rPr>
          <w:rFonts w:ascii="Arial" w:cs="Arial" w:eastAsia="Arial" w:hAnsi="Arial"/>
          <w:sz w:val="22"/>
          <w:szCs w:val="22"/>
          <w:b w:val="1"/>
          <w:b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uses the 50</w:t>
      </w:r>
      <w:r>
        <w:rPr>
          <w:rFonts w:ascii="Arial" w:cs="Arial" w:eastAsia="Arial" w:hAnsi="Arial"/>
          <w:sz w:val="35"/>
          <w:szCs w:val="35"/>
          <w:color w:val="auto"/>
          <w:vertAlign w:val="superscript"/>
        </w:rPr>
        <w:t>th</w:t>
      </w:r>
      <w:r>
        <w:rPr>
          <w:rFonts w:ascii="Arial" w:cs="Arial" w:eastAsia="Arial" w:hAnsi="Arial"/>
          <w:sz w:val="22"/>
          <w:szCs w:val="22"/>
          <w:i w:val="1"/>
          <w:iCs w:val="1"/>
          <w:color w:val="auto"/>
        </w:rPr>
        <w:t xml:space="preserve"> </w:t>
      </w:r>
      <w:r>
        <w:rPr>
          <w:rFonts w:ascii="Arial" w:cs="Arial" w:eastAsia="Arial" w:hAnsi="Arial"/>
          <w:sz w:val="22"/>
          <w:szCs w:val="22"/>
          <w:color w:val="auto"/>
        </w:rPr>
        <w:t>percentile of the Peer Group’s target total direct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as a guidepost in determining CEO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specific components of Mr. Donahue’s 2020 compensation were set as follows:</w:t>
      </w:r>
    </w:p>
    <w:p>
      <w:pPr>
        <w:spacing w:after="0" w:line="207" w:lineRule="exact"/>
        <w:rPr>
          <w:sz w:val="20"/>
          <w:szCs w:val="20"/>
          <w:color w:val="auto"/>
        </w:rPr>
      </w:pPr>
    </w:p>
    <w:tbl>
      <w:tblPr>
        <w:tblLayout w:type="fixed"/>
        <w:tblInd w:w="1710" w:type="dxa"/>
        <w:tblCellMar>
          <w:top w:w="0" w:type="dxa"/>
          <w:left w:w="0" w:type="dxa"/>
          <w:bottom w:w="0" w:type="dxa"/>
          <w:right w:w="0" w:type="dxa"/>
        </w:tblCellMar>
      </w:tblPr>
      <w:tr>
        <w:trPr>
          <w:trHeight w:val="375"/>
        </w:trPr>
        <w:tc>
          <w:tcPr>
            <w:tcW w:w="43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Base Salary</w:t>
            </w:r>
          </w:p>
        </w:tc>
        <w:tc>
          <w:tcPr>
            <w:tcW w:w="3520" w:type="dxa"/>
            <w:vAlign w:val="bottom"/>
            <w:tcBorders>
              <w:top w:val="single" w:sz="8" w:color="auto"/>
              <w:right w:val="single" w:sz="8" w:color="auto"/>
            </w:tcBorders>
          </w:tcPr>
          <w:p>
            <w:pPr>
              <w:jc w:val="right"/>
              <w:ind w:right="652"/>
              <w:spacing w:after="0"/>
              <w:rPr>
                <w:sz w:val="20"/>
                <w:szCs w:val="20"/>
                <w:color w:val="auto"/>
              </w:rPr>
            </w:pPr>
            <w:r>
              <w:rPr>
                <w:rFonts w:ascii="Arial" w:cs="Arial" w:eastAsia="Arial" w:hAnsi="Arial"/>
                <w:sz w:val="22"/>
                <w:szCs w:val="22"/>
                <w:color w:val="auto"/>
              </w:rPr>
              <w:t>$1,200,000</w:t>
            </w:r>
          </w:p>
        </w:tc>
      </w:tr>
      <w:tr>
        <w:trPr>
          <w:trHeight w:val="98"/>
        </w:trPr>
        <w:tc>
          <w:tcPr>
            <w:tcW w:w="4340" w:type="dxa"/>
            <w:vAlign w:val="bottom"/>
            <w:tcBorders>
              <w:left w:val="single" w:sz="8" w:color="auto"/>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355"/>
        </w:trPr>
        <w:tc>
          <w:tcPr>
            <w:tcW w:w="4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Target Annual Incentive</w:t>
            </w:r>
          </w:p>
        </w:tc>
        <w:tc>
          <w:tcPr>
            <w:tcW w:w="352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1,440,000</w:t>
            </w:r>
          </w:p>
        </w:tc>
      </w:tr>
      <w:tr>
        <w:trPr>
          <w:trHeight w:val="98"/>
        </w:trPr>
        <w:tc>
          <w:tcPr>
            <w:tcW w:w="4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5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5"/>
        </w:trPr>
        <w:tc>
          <w:tcPr>
            <w:tcW w:w="4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Target Long-Term Equity Incentive</w:t>
            </w:r>
          </w:p>
        </w:tc>
        <w:tc>
          <w:tcPr>
            <w:tcW w:w="352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6,239,951</w:t>
            </w:r>
          </w:p>
        </w:tc>
      </w:tr>
      <w:tr>
        <w:trPr>
          <w:trHeight w:val="98"/>
        </w:trPr>
        <w:tc>
          <w:tcPr>
            <w:tcW w:w="4340" w:type="dxa"/>
            <w:vAlign w:val="bottom"/>
            <w:tcBorders>
              <w:left w:val="single" w:sz="8" w:color="auto"/>
              <w:bottom w:val="single" w:sz="8" w:color="auto"/>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r>
      <w:tr>
        <w:trPr>
          <w:trHeight w:val="355"/>
        </w:trPr>
        <w:tc>
          <w:tcPr>
            <w:tcW w:w="43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Target Total Direct Compensation</w:t>
            </w:r>
          </w:p>
        </w:tc>
        <w:tc>
          <w:tcPr>
            <w:tcW w:w="352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8,879,951</w:t>
            </w:r>
          </w:p>
        </w:tc>
      </w:tr>
      <w:tr>
        <w:trPr>
          <w:trHeight w:val="98"/>
        </w:trPr>
        <w:tc>
          <w:tcPr>
            <w:tcW w:w="43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52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3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In conjunction with the Committee’s emphasis on stock-based compensation, a majority of the CEO’s 2020 target total direct compensation was in the form of Company Common Stock.</w:t>
      </w:r>
    </w:p>
    <w:p>
      <w:pPr>
        <w:spacing w:after="0" w:line="169"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Compensation Strategy for NEOs other than the CEO. </w:t>
      </w:r>
      <w:r>
        <w:rPr>
          <w:rFonts w:ascii="Arial" w:cs="Arial" w:eastAsia="Arial" w:hAnsi="Arial"/>
          <w:sz w:val="22"/>
          <w:szCs w:val="22"/>
          <w:color w:val="auto"/>
        </w:rPr>
        <w:t>For 2020, the Committee generally continued following its</w:t>
      </w:r>
      <w:r>
        <w:rPr>
          <w:rFonts w:ascii="Arial" w:cs="Arial" w:eastAsia="Arial" w:hAnsi="Arial"/>
          <w:sz w:val="22"/>
          <w:szCs w:val="22"/>
          <w:b w:val="1"/>
          <w:bCs w:val="1"/>
          <w:color w:val="auto"/>
        </w:rPr>
        <w:t xml:space="preserve"> </w:t>
      </w:r>
      <w:r>
        <w:rPr>
          <w:rFonts w:ascii="Arial" w:cs="Arial" w:eastAsia="Arial" w:hAnsi="Arial"/>
          <w:sz w:val="22"/>
          <w:szCs w:val="22"/>
          <w:color w:val="auto"/>
        </w:rPr>
        <w:t>market-based compensation strategy for the NEOs other than the CEO:</w:t>
      </w:r>
    </w:p>
    <w:p>
      <w:pPr>
        <w:spacing w:after="0" w:line="168" w:lineRule="exact"/>
        <w:rPr>
          <w:sz w:val="20"/>
          <w:szCs w:val="20"/>
          <w:color w:val="auto"/>
        </w:rPr>
      </w:pPr>
    </w:p>
    <w:p>
      <w:pPr>
        <w:ind w:left="1040" w:right="20" w:hanging="384"/>
        <w:spacing w:after="0" w:line="274" w:lineRule="auto"/>
        <w:tabs>
          <w:tab w:leader="none" w:pos="10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Pay levels were evaluated relative to the Peer Group as the primary market reference point. In addition, general industry data was reviewed as an additional market reference and to ensure robust competitive data.</w:t>
      </w:r>
    </w:p>
    <w:p>
      <w:pPr>
        <w:spacing w:after="0" w:line="42" w:lineRule="exact"/>
        <w:rPr>
          <w:rFonts w:ascii="Arial" w:cs="Arial" w:eastAsia="Arial" w:hAnsi="Arial"/>
          <w:sz w:val="21"/>
          <w:szCs w:val="21"/>
          <w:color w:val="auto"/>
        </w:rPr>
      </w:pPr>
    </w:p>
    <w:p>
      <w:pPr>
        <w:jc w:val="both"/>
        <w:ind w:left="1040" w:hanging="384"/>
        <w:spacing w:after="0" w:line="203" w:lineRule="auto"/>
        <w:tabs>
          <w:tab w:leader="none" w:pos="10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Target total cash compensation and target total direct compensation levels were set towards the middle range of the Peer Group. The Committee used the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 of the Peer Group’s target total cash compensation and target total direct compensation as a market check in determining compensation. However, the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 is a guidepost and not an absolute target.</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Components of Compensation. </w:t>
      </w:r>
      <w:r>
        <w:rPr>
          <w:rFonts w:ascii="Arial" w:cs="Arial" w:eastAsia="Arial" w:hAnsi="Arial"/>
          <w:sz w:val="22"/>
          <w:szCs w:val="22"/>
          <w:color w:val="auto"/>
        </w:rPr>
        <w:t>For 2020, the principal components of compensation for NEOs were base salary, annual</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bonus, long-term equity incentives, retirement benefits and perquisites.</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Base Salary. </w:t>
      </w:r>
      <w:r>
        <w:rPr>
          <w:rFonts w:ascii="Arial" w:cs="Arial" w:eastAsia="Arial" w:hAnsi="Arial"/>
          <w:sz w:val="21"/>
          <w:szCs w:val="21"/>
          <w:color w:val="auto"/>
        </w:rPr>
        <w:t>The Company provides NEOs with base salaries to compensate them for services rendered during the year.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Committee 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2020 Base Salaries</w:t>
      </w:r>
      <w:r>
        <w:rPr>
          <w:rFonts w:ascii="Arial" w:cs="Arial" w:eastAsia="Arial" w:hAnsi="Arial"/>
          <w:sz w:val="22"/>
          <w:szCs w:val="22"/>
          <w:color w:val="auto"/>
        </w:rPr>
        <w:t>. The Committee has determined that base salary levels for the NEOs should be targeted towards the</w:t>
      </w:r>
      <w:r>
        <w:rPr>
          <w:rFonts w:ascii="Arial" w:cs="Arial" w:eastAsia="Arial" w:hAnsi="Arial"/>
          <w:sz w:val="22"/>
          <w:szCs w:val="22"/>
          <w:i w:val="1"/>
          <w:iCs w:val="1"/>
          <w:color w:val="auto"/>
        </w:rPr>
        <w:t xml:space="preserve"> </w:t>
      </w:r>
      <w:r>
        <w:rPr>
          <w:rFonts w:ascii="Arial" w:cs="Arial" w:eastAsia="Arial" w:hAnsi="Arial"/>
          <w:sz w:val="22"/>
          <w:szCs w:val="22"/>
          <w:color w:val="auto"/>
        </w:rPr>
        <w:t>middle range of the Peer Group. Consistent with this market-based pay strategy, the Committee approved increases in the base salaries of the NEOs in order to move them in line with the middle range of the Peer Group. Base salaries for each of the NEOs for 2020 were as set forth in the following table.</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476" w:right="339" w:bottom="1440" w:gutter="0" w:footer="0" w:header="0"/>
        </w:sectPr>
      </w:pPr>
    </w:p>
    <w:bookmarkStart w:id="41" w:name="page42"/>
    <w:bookmarkEnd w:id="41"/>
    <w:tbl>
      <w:tblPr>
        <w:tblLayout w:type="fixed"/>
        <w:tblInd w:w="2270" w:type="dxa"/>
        <w:tblCellMar>
          <w:top w:w="0" w:type="dxa"/>
          <w:left w:w="0" w:type="dxa"/>
          <w:bottom w:w="0" w:type="dxa"/>
          <w:right w:w="0" w:type="dxa"/>
        </w:tblCellMar>
      </w:tblPr>
      <w:tr>
        <w:trPr>
          <w:trHeight w:val="348"/>
        </w:trPr>
        <w:tc>
          <w:tcPr>
            <w:tcW w:w="3460" w:type="dxa"/>
            <w:vAlign w:val="bottom"/>
            <w:tcBorders>
              <w:top w:val="single" w:sz="8" w:color="auto"/>
              <w:left w:val="single" w:sz="8" w:color="auto"/>
              <w:right w:val="single" w:sz="8" w:color="auto"/>
            </w:tcBorders>
            <w:shd w:val="clear" w:color="auto" w:fill="29650B"/>
          </w:tcPr>
          <w:p>
            <w:pPr>
              <w:ind w:left="1440"/>
              <w:spacing w:after="0"/>
              <w:rPr>
                <w:sz w:val="20"/>
                <w:szCs w:val="20"/>
                <w:color w:val="auto"/>
              </w:rPr>
            </w:pPr>
            <w:r>
              <w:rPr>
                <w:rFonts w:ascii="Arial" w:cs="Arial" w:eastAsia="Arial" w:hAnsi="Arial"/>
                <w:sz w:val="22"/>
                <w:szCs w:val="22"/>
                <w:b w:val="1"/>
                <w:bCs w:val="1"/>
                <w:color w:val="FFFFFF"/>
              </w:rPr>
              <w:t>Name</w:t>
            </w:r>
          </w:p>
        </w:tc>
        <w:tc>
          <w:tcPr>
            <w:tcW w:w="3280" w:type="dxa"/>
            <w:vAlign w:val="bottom"/>
            <w:tcBorders>
              <w:top w:val="single" w:sz="8" w:color="auto"/>
              <w:right w:val="single" w:sz="8" w:color="auto"/>
            </w:tcBorders>
            <w:shd w:val="clear" w:color="auto" w:fill="29650B"/>
          </w:tcPr>
          <w:p>
            <w:pPr>
              <w:jc w:val="right"/>
              <w:ind w:right="772"/>
              <w:spacing w:after="0"/>
              <w:rPr>
                <w:sz w:val="20"/>
                <w:szCs w:val="20"/>
                <w:color w:val="auto"/>
              </w:rPr>
            </w:pPr>
            <w:r>
              <w:rPr>
                <w:rFonts w:ascii="Arial" w:cs="Arial" w:eastAsia="Arial" w:hAnsi="Arial"/>
                <w:sz w:val="22"/>
                <w:szCs w:val="22"/>
                <w:b w:val="1"/>
                <w:bCs w:val="1"/>
                <w:color w:val="FFFFFF"/>
              </w:rPr>
              <w:t>2020 Base Salary</w:t>
            </w:r>
          </w:p>
        </w:tc>
      </w:tr>
      <w:tr>
        <w:trPr>
          <w:trHeight w:val="84"/>
        </w:trPr>
        <w:tc>
          <w:tcPr>
            <w:tcW w:w="346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3280" w:type="dxa"/>
            <w:vAlign w:val="bottom"/>
            <w:tcBorders>
              <w:bottom w:val="single" w:sz="8" w:color="auto"/>
              <w:right w:val="single" w:sz="8" w:color="auto"/>
            </w:tcBorders>
            <w:shd w:val="clear" w:color="auto" w:fill="29650B"/>
          </w:tcPr>
          <w:p>
            <w:pPr>
              <w:spacing w:after="0"/>
              <w:rPr>
                <w:sz w:val="7"/>
                <w:szCs w:val="7"/>
                <w:color w:val="auto"/>
              </w:rPr>
            </w:pPr>
          </w:p>
        </w:tc>
      </w:tr>
      <w:tr>
        <w:trPr>
          <w:trHeight w:val="354"/>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$1,200,000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r>
        <w:trPr>
          <w:trHeight w:val="354"/>
        </w:trPr>
        <w:tc>
          <w:tcPr>
            <w:tcW w:w="34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328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710,000</w:t>
            </w:r>
          </w:p>
        </w:tc>
      </w:tr>
      <w:tr>
        <w:trPr>
          <w:trHeight w:val="98"/>
        </w:trPr>
        <w:tc>
          <w:tcPr>
            <w:tcW w:w="34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2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4"/>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745,000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r>
        <w:trPr>
          <w:trHeight w:val="354"/>
        </w:trPr>
        <w:tc>
          <w:tcPr>
            <w:tcW w:w="34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Didier Sourisseau (1)</w:t>
            </w:r>
          </w:p>
        </w:tc>
        <w:tc>
          <w:tcPr>
            <w:tcW w:w="3280" w:type="dxa"/>
            <w:vAlign w:val="bottom"/>
            <w:tcBorders>
              <w:right w:val="single" w:sz="8" w:color="auto"/>
            </w:tcBorders>
            <w:shd w:val="clear" w:color="auto" w:fill="D9D9D9"/>
          </w:tcPr>
          <w:p>
            <w:pPr>
              <w:jc w:val="right"/>
              <w:ind w:right="652"/>
              <w:spacing w:after="0"/>
              <w:rPr>
                <w:sz w:val="20"/>
                <w:szCs w:val="20"/>
                <w:color w:val="auto"/>
              </w:rPr>
            </w:pPr>
            <w:r>
              <w:rPr>
                <w:rFonts w:ascii="Arial" w:cs="Arial" w:eastAsia="Arial" w:hAnsi="Arial"/>
                <w:sz w:val="22"/>
                <w:szCs w:val="22"/>
                <w:color w:val="auto"/>
              </w:rPr>
              <w:t>639,640</w:t>
            </w:r>
          </w:p>
        </w:tc>
      </w:tr>
      <w:tr>
        <w:trPr>
          <w:trHeight w:val="98"/>
        </w:trPr>
        <w:tc>
          <w:tcPr>
            <w:tcW w:w="34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2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54"/>
        </w:trPr>
        <w:tc>
          <w:tcPr>
            <w:tcW w:w="34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Djalma Novaes</w:t>
            </w:r>
          </w:p>
        </w:tc>
        <w:tc>
          <w:tcPr>
            <w:tcW w:w="3280" w:type="dxa"/>
            <w:vAlign w:val="bottom"/>
            <w:tcBorders>
              <w:right w:val="single" w:sz="8" w:color="auto"/>
            </w:tcBorders>
          </w:tcPr>
          <w:p>
            <w:pPr>
              <w:jc w:val="right"/>
              <w:ind w:right="652"/>
              <w:spacing w:after="0"/>
              <w:rPr>
                <w:sz w:val="20"/>
                <w:szCs w:val="20"/>
                <w:color w:val="auto"/>
              </w:rPr>
            </w:pPr>
            <w:r>
              <w:rPr>
                <w:rFonts w:ascii="Arial" w:cs="Arial" w:eastAsia="Arial" w:hAnsi="Arial"/>
                <w:sz w:val="22"/>
                <w:szCs w:val="22"/>
                <w:color w:val="auto"/>
              </w:rPr>
              <w:t>600,000</w:t>
            </w:r>
          </w:p>
        </w:tc>
      </w:tr>
      <w:tr>
        <w:trPr>
          <w:trHeight w:val="98"/>
        </w:trPr>
        <w:tc>
          <w:tcPr>
            <w:tcW w:w="3460" w:type="dxa"/>
            <w:vAlign w:val="bottom"/>
            <w:tcBorders>
              <w:left w:val="single" w:sz="8" w:color="auto"/>
              <w:bottom w:val="single" w:sz="8" w:color="auto"/>
              <w:right w:val="single" w:sz="8" w:color="auto"/>
            </w:tcBorders>
          </w:tcPr>
          <w:p>
            <w:pPr>
              <w:spacing w:after="0"/>
              <w:rPr>
                <w:sz w:val="8"/>
                <w:szCs w:val="8"/>
                <w:color w:val="auto"/>
              </w:rPr>
            </w:pPr>
          </w:p>
        </w:tc>
        <w:tc>
          <w:tcPr>
            <w:tcW w:w="3280" w:type="dxa"/>
            <w:vAlign w:val="bottom"/>
            <w:tcBorders>
              <w:bottom w:val="single" w:sz="8" w:color="auto"/>
              <w:right w:val="single" w:sz="8" w:color="auto"/>
            </w:tcBorders>
          </w:tcPr>
          <w:p>
            <w:pPr>
              <w:spacing w:after="0"/>
              <w:rPr>
                <w:sz w:val="8"/>
                <w:szCs w:val="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w:t>
      </w:r>
    </w:p>
    <w:p>
      <w:pPr>
        <w:spacing w:after="0" w:line="121" w:lineRule="exact"/>
        <w:rPr>
          <w:sz w:val="20"/>
          <w:szCs w:val="20"/>
          <w:color w:val="auto"/>
        </w:rPr>
      </w:pPr>
    </w:p>
    <w:p>
      <w:pPr>
        <w:ind w:left="660" w:right="40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Sourisseau’s base salary for 2020 set forth in the table above has been converted from Swiss Francs into U.S. Dollars at the 2020 average exchange rate of $1.066067.</w:t>
      </w:r>
    </w:p>
    <w:p>
      <w:pPr>
        <w:spacing w:after="0" w:line="2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b w:val="1"/>
          <w:bCs w:val="1"/>
          <w:color w:val="auto"/>
        </w:rPr>
        <w:t xml:space="preserve">Annual Incentive Bonus. </w:t>
      </w:r>
      <w:r>
        <w:rPr>
          <w:rFonts w:ascii="Arial" w:cs="Arial" w:eastAsia="Arial" w:hAnsi="Arial"/>
          <w:sz w:val="19"/>
          <w:szCs w:val="19"/>
          <w:color w:val="auto"/>
        </w:rPr>
        <w:t>Annual cash bonuses are included as part of the executive compensation program because,</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our “pay-for-performance” philosophy, the Committee believes that a significant portion of each NEO’s compensation should be contingent on success in achieving annual goals that drive the long-term operating performance of the Company. NEOs are eligible for annual cash bonuses under our Economic Profit Incentive Plan (the “EP Plan”). For 2020,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2020 Bonus Opportunities and Results</w:t>
      </w:r>
      <w:r>
        <w:rPr>
          <w:rFonts w:ascii="Arial" w:cs="Arial" w:eastAsia="Arial" w:hAnsi="Arial"/>
          <w:sz w:val="19"/>
          <w:szCs w:val="19"/>
          <w:color w:val="auto"/>
        </w:rPr>
        <w:t>. For 2020, the Committee assigned each NEO an annual target level under the EP</w:t>
      </w:r>
      <w:r>
        <w:rPr>
          <w:rFonts w:ascii="Arial" w:cs="Arial" w:eastAsia="Arial" w:hAnsi="Arial"/>
          <w:sz w:val="19"/>
          <w:szCs w:val="19"/>
          <w:i w:val="1"/>
          <w:iCs w:val="1"/>
          <w:color w:val="auto"/>
        </w:rPr>
        <w:t xml:space="preserve"> </w:t>
      </w:r>
      <w:r>
        <w:rPr>
          <w:rFonts w:ascii="Arial" w:cs="Arial" w:eastAsia="Arial" w:hAnsi="Arial"/>
          <w:sz w:val="19"/>
          <w:szCs w:val="19"/>
          <w:color w:val="auto"/>
        </w:rPr>
        <w:t>Plan together with a 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2020 should be the same as in 2019. The 2020 minimum, maximum and target bonus opportunities together with actual bonuses paid to the NEOs were as follows:</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62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158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95"/>
              </w:rPr>
              <w:t>Minimum</w:t>
            </w:r>
          </w:p>
        </w:tc>
        <w:tc>
          <w:tcPr>
            <w:tcW w:w="168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94"/>
              </w:rPr>
              <w:t>Maximum</w:t>
            </w:r>
          </w:p>
        </w:tc>
        <w:tc>
          <w:tcPr>
            <w:tcW w:w="17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5"/>
              </w:rPr>
              <w:t>Target Bonus as</w:t>
            </w:r>
          </w:p>
        </w:tc>
        <w:tc>
          <w:tcPr>
            <w:tcW w:w="16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9"/>
              </w:rPr>
              <w:t>Target</w:t>
            </w:r>
          </w:p>
        </w:tc>
        <w:tc>
          <w:tcPr>
            <w:tcW w:w="190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9"/>
              </w:rPr>
              <w:t>Actual</w:t>
            </w:r>
          </w:p>
        </w:tc>
        <w:tc>
          <w:tcPr>
            <w:tcW w:w="0" w:type="dxa"/>
            <w:vAlign w:val="bottom"/>
          </w:tcPr>
          <w:p>
            <w:pPr>
              <w:spacing w:after="0"/>
              <w:rPr>
                <w:sz w:val="1"/>
                <w:szCs w:val="1"/>
                <w:color w:val="auto"/>
              </w:rPr>
            </w:pPr>
          </w:p>
        </w:tc>
      </w:tr>
      <w:tr>
        <w:trPr>
          <w:trHeight w:val="121"/>
        </w:trPr>
        <w:tc>
          <w:tcPr>
            <w:tcW w:w="2620" w:type="dxa"/>
            <w:vAlign w:val="bottom"/>
            <w:tcBorders>
              <w:left w:val="single" w:sz="8" w:color="auto"/>
              <w:right w:val="single" w:sz="8" w:color="auto"/>
            </w:tcBorders>
            <w:shd w:val="clear" w:color="auto" w:fill="29650B"/>
          </w:tcPr>
          <w:p>
            <w:pPr>
              <w:spacing w:after="0"/>
              <w:rPr>
                <w:sz w:val="10"/>
                <w:szCs w:val="10"/>
                <w:color w:val="auto"/>
              </w:rPr>
            </w:pPr>
          </w:p>
        </w:tc>
        <w:tc>
          <w:tcPr>
            <w:tcW w:w="15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3"/>
              </w:rPr>
              <w:t>Bonus as a</w:t>
            </w:r>
          </w:p>
        </w:tc>
        <w:tc>
          <w:tcPr>
            <w:tcW w:w="16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3"/>
              </w:rPr>
              <w:t>Bonus as a</w:t>
            </w:r>
          </w:p>
        </w:tc>
        <w:tc>
          <w:tcPr>
            <w:tcW w:w="1780" w:type="dxa"/>
            <w:vAlign w:val="bottom"/>
            <w:tcBorders>
              <w:right w:val="single" w:sz="8" w:color="auto"/>
            </w:tcBorders>
            <w:vMerge w:val="continue"/>
            <w:shd w:val="clear" w:color="auto" w:fill="29650B"/>
          </w:tcPr>
          <w:p>
            <w:pPr>
              <w:spacing w:after="0"/>
              <w:rPr>
                <w:sz w:val="10"/>
                <w:szCs w:val="10"/>
                <w:color w:val="auto"/>
              </w:rPr>
            </w:pP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190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shd w:val="clear" w:color="auto" w:fill="29650B"/>
          </w:tcPr>
          <w:p>
            <w:pPr>
              <w:spacing w:after="0"/>
              <w:rPr>
                <w:sz w:val="10"/>
                <w:szCs w:val="10"/>
                <w:color w:val="auto"/>
              </w:rPr>
            </w:pPr>
          </w:p>
        </w:tc>
        <w:tc>
          <w:tcPr>
            <w:tcW w:w="1580" w:type="dxa"/>
            <w:vAlign w:val="bottom"/>
            <w:tcBorders>
              <w:right w:val="single" w:sz="8" w:color="auto"/>
            </w:tcBorders>
            <w:vMerge w:val="continue"/>
            <w:shd w:val="clear" w:color="auto" w:fill="29650B"/>
          </w:tcPr>
          <w:p>
            <w:pPr>
              <w:spacing w:after="0"/>
              <w:rPr>
                <w:sz w:val="10"/>
                <w:szCs w:val="10"/>
                <w:color w:val="auto"/>
              </w:rPr>
            </w:pP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17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6"/>
              </w:rPr>
              <w:t>a Percentage of</w:t>
            </w:r>
          </w:p>
        </w:tc>
        <w:tc>
          <w:tcPr>
            <w:tcW w:w="16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4"/>
              </w:rPr>
              <w:t>Bonus</w:t>
            </w:r>
          </w:p>
        </w:tc>
        <w:tc>
          <w:tcPr>
            <w:tcW w:w="190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1"/>
              </w:rPr>
              <w:t>Bonus</w:t>
            </w:r>
          </w:p>
        </w:tc>
        <w:tc>
          <w:tcPr>
            <w:tcW w:w="0" w:type="dxa"/>
            <w:vAlign w:val="bottom"/>
          </w:tcPr>
          <w:p>
            <w:pPr>
              <w:spacing w:after="0"/>
              <w:rPr>
                <w:sz w:val="1"/>
                <w:szCs w:val="1"/>
                <w:color w:val="auto"/>
              </w:rPr>
            </w:pPr>
          </w:p>
        </w:tc>
      </w:tr>
      <w:tr>
        <w:trPr>
          <w:trHeight w:val="121"/>
        </w:trPr>
        <w:tc>
          <w:tcPr>
            <w:tcW w:w="2620" w:type="dxa"/>
            <w:vAlign w:val="bottom"/>
            <w:tcBorders>
              <w:left w:val="single" w:sz="8" w:color="auto"/>
              <w:right w:val="single" w:sz="8" w:color="auto"/>
            </w:tcBorders>
            <w:vMerge w:val="restart"/>
            <w:shd w:val="clear" w:color="auto" w:fill="29650B"/>
          </w:tcPr>
          <w:p>
            <w:pPr>
              <w:ind w:left="1040"/>
              <w:spacing w:after="0" w:line="243" w:lineRule="exact"/>
              <w:rPr>
                <w:sz w:val="20"/>
                <w:szCs w:val="20"/>
                <w:color w:val="auto"/>
              </w:rPr>
            </w:pPr>
            <w:r>
              <w:rPr>
                <w:rFonts w:ascii="Arial" w:cs="Arial" w:eastAsia="Arial" w:hAnsi="Arial"/>
                <w:sz w:val="22"/>
                <w:szCs w:val="22"/>
                <w:b w:val="1"/>
                <w:bCs w:val="1"/>
                <w:color w:val="FFFFFF"/>
              </w:rPr>
              <w:t>Name</w:t>
            </w:r>
          </w:p>
        </w:tc>
        <w:tc>
          <w:tcPr>
            <w:tcW w:w="15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5"/>
              </w:rPr>
              <w:t>Percentage of</w:t>
            </w:r>
          </w:p>
        </w:tc>
        <w:tc>
          <w:tcPr>
            <w:tcW w:w="168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6"/>
              </w:rPr>
              <w:t>Percentage of</w:t>
            </w:r>
          </w:p>
        </w:tc>
        <w:tc>
          <w:tcPr>
            <w:tcW w:w="1780" w:type="dxa"/>
            <w:vAlign w:val="bottom"/>
            <w:tcBorders>
              <w:right w:val="single" w:sz="8" w:color="auto"/>
            </w:tcBorders>
            <w:vMerge w:val="continue"/>
            <w:shd w:val="clear" w:color="auto" w:fill="29650B"/>
          </w:tcPr>
          <w:p>
            <w:pPr>
              <w:spacing w:after="0"/>
              <w:rPr>
                <w:sz w:val="10"/>
                <w:szCs w:val="10"/>
                <w:color w:val="auto"/>
              </w:rPr>
            </w:pP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190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1580" w:type="dxa"/>
            <w:vAlign w:val="bottom"/>
            <w:tcBorders>
              <w:right w:val="single" w:sz="8" w:color="auto"/>
            </w:tcBorders>
            <w:vMerge w:val="continue"/>
            <w:shd w:val="clear" w:color="auto" w:fill="29650B"/>
          </w:tcPr>
          <w:p>
            <w:pPr>
              <w:spacing w:after="0"/>
              <w:rPr>
                <w:sz w:val="10"/>
                <w:szCs w:val="10"/>
                <w:color w:val="auto"/>
              </w:rPr>
            </w:pP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17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Base 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1"/>
              </w:rPr>
              <w:t>Amount</w:t>
            </w:r>
          </w:p>
        </w:tc>
        <w:tc>
          <w:tcPr>
            <w:tcW w:w="190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1"/>
              </w:rPr>
              <w:t>Amount</w:t>
            </w:r>
          </w:p>
        </w:tc>
        <w:tc>
          <w:tcPr>
            <w:tcW w:w="0" w:type="dxa"/>
            <w:vAlign w:val="bottom"/>
          </w:tcPr>
          <w:p>
            <w:pPr>
              <w:spacing w:after="0"/>
              <w:rPr>
                <w:sz w:val="1"/>
                <w:szCs w:val="1"/>
                <w:color w:val="auto"/>
              </w:rPr>
            </w:pPr>
          </w:p>
        </w:tc>
      </w:tr>
      <w:tr>
        <w:trPr>
          <w:trHeight w:val="159"/>
        </w:trPr>
        <w:tc>
          <w:tcPr>
            <w:tcW w:w="2620" w:type="dxa"/>
            <w:vAlign w:val="bottom"/>
            <w:tcBorders>
              <w:left w:val="single" w:sz="8" w:color="auto"/>
              <w:right w:val="single" w:sz="8" w:color="auto"/>
            </w:tcBorders>
            <w:shd w:val="clear" w:color="auto" w:fill="29650B"/>
          </w:tcPr>
          <w:p>
            <w:pPr>
              <w:spacing w:after="0"/>
              <w:rPr>
                <w:sz w:val="13"/>
                <w:szCs w:val="13"/>
                <w:color w:val="auto"/>
              </w:rPr>
            </w:pPr>
          </w:p>
        </w:tc>
        <w:tc>
          <w:tcPr>
            <w:tcW w:w="15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6"/>
              </w:rPr>
              <w:t>Base 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8"/>
              </w:rPr>
              <w:t>Base Salary</w:t>
            </w:r>
          </w:p>
        </w:tc>
        <w:tc>
          <w:tcPr>
            <w:tcW w:w="1780" w:type="dxa"/>
            <w:vAlign w:val="bottom"/>
            <w:tcBorders>
              <w:right w:val="single" w:sz="8" w:color="auto"/>
            </w:tcBorders>
            <w:vMerge w:val="continue"/>
            <w:shd w:val="clear" w:color="auto" w:fill="29650B"/>
          </w:tcPr>
          <w:p>
            <w:pPr>
              <w:spacing w:after="0"/>
              <w:rPr>
                <w:sz w:val="13"/>
                <w:szCs w:val="13"/>
                <w:color w:val="auto"/>
              </w:rPr>
            </w:pPr>
          </w:p>
        </w:tc>
        <w:tc>
          <w:tcPr>
            <w:tcW w:w="1680" w:type="dxa"/>
            <w:vAlign w:val="bottom"/>
            <w:tcBorders>
              <w:right w:val="single" w:sz="8" w:color="auto"/>
            </w:tcBorders>
            <w:vMerge w:val="continue"/>
            <w:shd w:val="clear" w:color="auto" w:fill="29650B"/>
          </w:tcPr>
          <w:p>
            <w:pPr>
              <w:spacing w:after="0"/>
              <w:rPr>
                <w:sz w:val="13"/>
                <w:szCs w:val="13"/>
                <w:color w:val="auto"/>
              </w:rPr>
            </w:pPr>
          </w:p>
        </w:tc>
        <w:tc>
          <w:tcPr>
            <w:tcW w:w="1900" w:type="dxa"/>
            <w:vAlign w:val="bottom"/>
            <w:tcBorders>
              <w:right w:val="single" w:sz="8" w:color="auto"/>
            </w:tcBorders>
            <w:vMerge w:val="continue"/>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62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5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6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780" w:type="dxa"/>
            <w:vAlign w:val="bottom"/>
            <w:tcBorders>
              <w:bottom w:val="single" w:sz="8" w:color="auto"/>
              <w:right w:val="single" w:sz="8" w:color="auto"/>
            </w:tcBorders>
            <w:shd w:val="clear" w:color="auto" w:fill="29650B"/>
          </w:tcPr>
          <w:p>
            <w:pPr>
              <w:spacing w:after="0"/>
              <w:rPr>
                <w:sz w:val="9"/>
                <w:szCs w:val="9"/>
                <w:color w:val="auto"/>
              </w:rPr>
            </w:pPr>
          </w:p>
        </w:tc>
        <w:tc>
          <w:tcPr>
            <w:tcW w:w="1680" w:type="dxa"/>
            <w:vAlign w:val="bottom"/>
            <w:tcBorders>
              <w:bottom w:val="single" w:sz="8" w:color="auto"/>
              <w:right w:val="single" w:sz="8" w:color="auto"/>
            </w:tcBorders>
            <w:shd w:val="clear" w:color="auto" w:fill="29650B"/>
          </w:tcPr>
          <w:p>
            <w:pPr>
              <w:spacing w:after="0"/>
              <w:rPr>
                <w:sz w:val="9"/>
                <w:szCs w:val="9"/>
                <w:color w:val="auto"/>
              </w:rPr>
            </w:pPr>
          </w:p>
        </w:tc>
        <w:tc>
          <w:tcPr>
            <w:tcW w:w="19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240%</w:t>
            </w:r>
          </w:p>
        </w:tc>
        <w:tc>
          <w:tcPr>
            <w:tcW w:w="1780" w:type="dxa"/>
            <w:vAlign w:val="bottom"/>
            <w:tcBorders>
              <w:right w:val="single" w:sz="8" w:color="auto"/>
            </w:tcBorders>
          </w:tcPr>
          <w:p>
            <w:pPr>
              <w:jc w:val="right"/>
              <w:ind w:right="672"/>
              <w:spacing w:after="0"/>
              <w:rPr>
                <w:sz w:val="20"/>
                <w:szCs w:val="20"/>
                <w:color w:val="auto"/>
              </w:rPr>
            </w:pPr>
            <w:r>
              <w:rPr>
                <w:rFonts w:ascii="Arial" w:cs="Arial" w:eastAsia="Arial" w:hAnsi="Arial"/>
                <w:sz w:val="22"/>
                <w:szCs w:val="22"/>
                <w:color w:val="auto"/>
              </w:rPr>
              <w:t>120%</w:t>
            </w:r>
          </w:p>
        </w:tc>
        <w:tc>
          <w:tcPr>
            <w:tcW w:w="168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$1,440,000</w:t>
            </w:r>
          </w:p>
        </w:tc>
        <w:tc>
          <w:tcPr>
            <w:tcW w:w="190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$2,880,000</w:t>
            </w:r>
          </w:p>
        </w:tc>
        <w:tc>
          <w:tcPr>
            <w:tcW w:w="0" w:type="dxa"/>
            <w:vAlign w:val="bottom"/>
          </w:tcPr>
          <w:p>
            <w:pPr>
              <w:spacing w:after="0"/>
              <w:rPr>
                <w:sz w:val="1"/>
                <w:szCs w:val="1"/>
                <w:color w:val="auto"/>
              </w:rPr>
            </w:pPr>
          </w:p>
        </w:tc>
      </w:tr>
      <w:tr>
        <w:trPr>
          <w:trHeight w:val="44"/>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62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15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8"/>
              </w:rPr>
              <w:t>160%</w:t>
            </w:r>
          </w:p>
        </w:tc>
        <w:tc>
          <w:tcPr>
            <w:tcW w:w="1780" w:type="dxa"/>
            <w:vAlign w:val="bottom"/>
            <w:tcBorders>
              <w:bottom w:val="single" w:sz="8" w:color="D9D9D9"/>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80%</w:t>
            </w:r>
          </w:p>
        </w:tc>
        <w:tc>
          <w:tcPr>
            <w:tcW w:w="1680" w:type="dxa"/>
            <w:vAlign w:val="bottom"/>
            <w:tcBorders>
              <w:bottom w:val="single" w:sz="8" w:color="D9D9D9"/>
              <w:right w:val="single" w:sz="8" w:color="auto"/>
            </w:tcBorders>
            <w:shd w:val="clear" w:color="auto" w:fill="D9D9D9"/>
          </w:tcPr>
          <w:p>
            <w:pPr>
              <w:jc w:val="right"/>
              <w:ind w:right="132"/>
              <w:spacing w:after="0"/>
              <w:rPr>
                <w:sz w:val="20"/>
                <w:szCs w:val="20"/>
                <w:color w:val="auto"/>
              </w:rPr>
            </w:pPr>
            <w:r>
              <w:rPr>
                <w:rFonts w:ascii="Arial" w:cs="Arial" w:eastAsia="Arial" w:hAnsi="Arial"/>
                <w:sz w:val="22"/>
                <w:szCs w:val="22"/>
                <w:color w:val="auto"/>
              </w:rPr>
              <w:t>568,000</w:t>
            </w:r>
          </w:p>
        </w:tc>
        <w:tc>
          <w:tcPr>
            <w:tcW w:w="1900" w:type="dxa"/>
            <w:vAlign w:val="bottom"/>
            <w:tcBorders>
              <w:bottom w:val="single" w:sz="8" w:color="D9D9D9"/>
              <w:right w:val="single" w:sz="8" w:color="auto"/>
            </w:tcBorders>
            <w:shd w:val="clear" w:color="auto" w:fill="D9D9D9"/>
          </w:tcPr>
          <w:p>
            <w:pPr>
              <w:jc w:val="right"/>
              <w:ind w:right="132"/>
              <w:spacing w:after="0"/>
              <w:rPr>
                <w:sz w:val="20"/>
                <w:szCs w:val="20"/>
                <w:color w:val="auto"/>
              </w:rPr>
            </w:pPr>
            <w:r>
              <w:rPr>
                <w:rFonts w:ascii="Arial" w:cs="Arial" w:eastAsia="Arial" w:hAnsi="Arial"/>
                <w:sz w:val="22"/>
                <w:szCs w:val="22"/>
                <w:color w:val="auto"/>
              </w:rPr>
              <w:t>1,136,000</w:t>
            </w:r>
          </w:p>
        </w:tc>
        <w:tc>
          <w:tcPr>
            <w:tcW w:w="0" w:type="dxa"/>
            <w:vAlign w:val="bottom"/>
          </w:tcPr>
          <w:p>
            <w:pPr>
              <w:spacing w:after="0"/>
              <w:rPr>
                <w:sz w:val="1"/>
                <w:szCs w:val="1"/>
                <w:color w:val="auto"/>
              </w:rPr>
            </w:pPr>
          </w:p>
        </w:tc>
      </w:tr>
      <w:tr>
        <w:trPr>
          <w:trHeight w:val="300"/>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190%</w:t>
            </w:r>
          </w:p>
        </w:tc>
        <w:tc>
          <w:tcPr>
            <w:tcW w:w="1780" w:type="dxa"/>
            <w:vAlign w:val="bottom"/>
            <w:tcBorders>
              <w:top w:val="single" w:sz="8" w:color="auto"/>
              <w:right w:val="single" w:sz="8" w:color="auto"/>
            </w:tcBorders>
          </w:tcPr>
          <w:p>
            <w:pPr>
              <w:jc w:val="right"/>
              <w:ind w:right="732"/>
              <w:spacing w:after="0"/>
              <w:rPr>
                <w:sz w:val="20"/>
                <w:szCs w:val="20"/>
                <w:color w:val="auto"/>
              </w:rPr>
            </w:pPr>
            <w:r>
              <w:rPr>
                <w:rFonts w:ascii="Arial" w:cs="Arial" w:eastAsia="Arial" w:hAnsi="Arial"/>
                <w:sz w:val="22"/>
                <w:szCs w:val="22"/>
                <w:color w:val="auto"/>
              </w:rPr>
              <w:t>95%</w:t>
            </w:r>
          </w:p>
        </w:tc>
        <w:tc>
          <w:tcPr>
            <w:tcW w:w="168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707,750</w:t>
            </w:r>
          </w:p>
        </w:tc>
        <w:tc>
          <w:tcPr>
            <w:tcW w:w="190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1,415,500</w:t>
            </w:r>
          </w:p>
        </w:tc>
        <w:tc>
          <w:tcPr>
            <w:tcW w:w="0" w:type="dxa"/>
            <w:vAlign w:val="bottom"/>
          </w:tcPr>
          <w:p>
            <w:pPr>
              <w:spacing w:after="0"/>
              <w:rPr>
                <w:sz w:val="1"/>
                <w:szCs w:val="1"/>
                <w:color w:val="auto"/>
              </w:rPr>
            </w:pPr>
          </w:p>
        </w:tc>
      </w:tr>
      <w:tr>
        <w:trPr>
          <w:trHeight w:val="44"/>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62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Didier Sourisseau</w:t>
            </w:r>
          </w:p>
        </w:tc>
        <w:tc>
          <w:tcPr>
            <w:tcW w:w="15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0%</w:t>
            </w:r>
          </w:p>
        </w:tc>
        <w:tc>
          <w:tcPr>
            <w:tcW w:w="1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8"/>
              </w:rPr>
              <w:t>160%</w:t>
            </w:r>
          </w:p>
        </w:tc>
        <w:tc>
          <w:tcPr>
            <w:tcW w:w="1780" w:type="dxa"/>
            <w:vAlign w:val="bottom"/>
            <w:tcBorders>
              <w:bottom w:val="single" w:sz="8" w:color="D9D9D9"/>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80%</w:t>
            </w:r>
          </w:p>
        </w:tc>
        <w:tc>
          <w:tcPr>
            <w:tcW w:w="1680" w:type="dxa"/>
            <w:vAlign w:val="bottom"/>
            <w:tcBorders>
              <w:bottom w:val="single" w:sz="8" w:color="D9D9D9"/>
              <w:right w:val="single" w:sz="8" w:color="auto"/>
            </w:tcBorders>
            <w:shd w:val="clear" w:color="auto" w:fill="D9D9D9"/>
          </w:tcPr>
          <w:p>
            <w:pPr>
              <w:jc w:val="right"/>
              <w:ind w:right="132"/>
              <w:spacing w:after="0"/>
              <w:rPr>
                <w:sz w:val="20"/>
                <w:szCs w:val="20"/>
                <w:color w:val="auto"/>
              </w:rPr>
            </w:pPr>
            <w:r>
              <w:rPr>
                <w:rFonts w:ascii="Arial" w:cs="Arial" w:eastAsia="Arial" w:hAnsi="Arial"/>
                <w:sz w:val="22"/>
                <w:szCs w:val="22"/>
                <w:color w:val="auto"/>
              </w:rPr>
              <w:t>511,712</w:t>
            </w:r>
          </w:p>
        </w:tc>
        <w:tc>
          <w:tcPr>
            <w:tcW w:w="1900" w:type="dxa"/>
            <w:vAlign w:val="bottom"/>
            <w:tcBorders>
              <w:bottom w:val="single" w:sz="8" w:color="D9D9D9"/>
              <w:right w:val="single" w:sz="8" w:color="auto"/>
            </w:tcBorders>
            <w:shd w:val="clear" w:color="auto" w:fill="D9D9D9"/>
          </w:tcPr>
          <w:p>
            <w:pPr>
              <w:jc w:val="right"/>
              <w:ind w:right="132"/>
              <w:spacing w:after="0"/>
              <w:rPr>
                <w:sz w:val="20"/>
                <w:szCs w:val="20"/>
                <w:color w:val="auto"/>
              </w:rPr>
            </w:pPr>
            <w:r>
              <w:rPr>
                <w:rFonts w:ascii="Arial" w:cs="Arial" w:eastAsia="Arial" w:hAnsi="Arial"/>
                <w:sz w:val="22"/>
                <w:szCs w:val="22"/>
                <w:color w:val="auto"/>
              </w:rPr>
              <w:t>1,023,424</w:t>
            </w:r>
          </w:p>
        </w:tc>
        <w:tc>
          <w:tcPr>
            <w:tcW w:w="0" w:type="dxa"/>
            <w:vAlign w:val="bottom"/>
          </w:tcPr>
          <w:p>
            <w:pPr>
              <w:spacing w:after="0"/>
              <w:rPr>
                <w:sz w:val="1"/>
                <w:szCs w:val="1"/>
                <w:color w:val="auto"/>
              </w:rPr>
            </w:pPr>
          </w:p>
        </w:tc>
      </w:tr>
      <w:tr>
        <w:trPr>
          <w:trHeight w:val="301"/>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Djalma Novaes</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w:t>
            </w:r>
          </w:p>
        </w:tc>
        <w:tc>
          <w:tcPr>
            <w:tcW w:w="1780" w:type="dxa"/>
            <w:vAlign w:val="bottom"/>
            <w:tcBorders>
              <w:top w:val="single" w:sz="8" w:color="auto"/>
              <w:right w:val="single" w:sz="8" w:color="auto"/>
            </w:tcBorders>
          </w:tcPr>
          <w:p>
            <w:pPr>
              <w:jc w:val="right"/>
              <w:ind w:right="732"/>
              <w:spacing w:after="0"/>
              <w:rPr>
                <w:sz w:val="20"/>
                <w:szCs w:val="20"/>
                <w:color w:val="auto"/>
              </w:rPr>
            </w:pPr>
            <w:r>
              <w:rPr>
                <w:rFonts w:ascii="Arial" w:cs="Arial" w:eastAsia="Arial" w:hAnsi="Arial"/>
                <w:sz w:val="22"/>
                <w:szCs w:val="22"/>
                <w:color w:val="auto"/>
              </w:rPr>
              <w:t>80%</w:t>
            </w:r>
          </w:p>
        </w:tc>
        <w:tc>
          <w:tcPr>
            <w:tcW w:w="168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480,000</w:t>
            </w:r>
          </w:p>
        </w:tc>
        <w:tc>
          <w:tcPr>
            <w:tcW w:w="1900" w:type="dxa"/>
            <w:vAlign w:val="bottom"/>
            <w:tcBorders>
              <w:top w:val="single" w:sz="8" w:color="auto"/>
              <w:right w:val="single" w:sz="8" w:color="auto"/>
            </w:tcBorders>
          </w:tcPr>
          <w:p>
            <w:pPr>
              <w:jc w:val="right"/>
              <w:ind w:right="132"/>
              <w:spacing w:after="0"/>
              <w:rPr>
                <w:sz w:val="20"/>
                <w:szCs w:val="20"/>
                <w:color w:val="auto"/>
              </w:rPr>
            </w:pPr>
            <w:r>
              <w:rPr>
                <w:rFonts w:ascii="Arial" w:cs="Arial" w:eastAsia="Arial" w:hAnsi="Arial"/>
                <w:sz w:val="22"/>
                <w:szCs w:val="22"/>
                <w:color w:val="auto"/>
              </w:rPr>
              <w:t>960,000</w:t>
            </w:r>
          </w:p>
        </w:tc>
        <w:tc>
          <w:tcPr>
            <w:tcW w:w="0" w:type="dxa"/>
            <w:vAlign w:val="bottom"/>
          </w:tcPr>
          <w:p>
            <w:pPr>
              <w:spacing w:after="0"/>
              <w:rPr>
                <w:sz w:val="1"/>
                <w:szCs w:val="1"/>
                <w:color w:val="auto"/>
              </w:rPr>
            </w:pPr>
          </w:p>
        </w:tc>
      </w:tr>
      <w:tr>
        <w:trPr>
          <w:trHeight w:val="44"/>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9"/>
        </w:trPr>
        <w:tc>
          <w:tcPr>
            <w:tcW w:w="2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Arial" w:cs="Arial" w:eastAsia="Arial" w:hAnsi="Arial"/>
                <w:sz w:val="22"/>
                <w:szCs w:val="22"/>
                <w:color w:val="auto"/>
              </w:rPr>
              <w:t>38</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21"/>
          <w:szCs w:val="21"/>
          <w:i w:val="1"/>
          <w:iCs w:val="1"/>
          <w:color w:val="auto"/>
        </w:rPr>
        <w:t>Performance Measures</w:t>
      </w:r>
      <w:r>
        <w:rPr>
          <w:rFonts w:ascii="Arial" w:cs="Arial" w:eastAsia="Arial" w:hAnsi="Arial"/>
          <w:sz w:val="21"/>
          <w:szCs w:val="21"/>
          <w:color w:val="auto"/>
        </w:rPr>
        <w:t>. Bonus amounts under the EP Plan were based on the following performance measures:</w:t>
      </w:r>
    </w:p>
    <w:p>
      <w:pPr>
        <w:spacing w:after="0" w:line="245" w:lineRule="exact"/>
        <w:rPr>
          <w:sz w:val="20"/>
          <w:szCs w:val="20"/>
          <w:color w:val="auto"/>
        </w:rPr>
      </w:pPr>
    </w:p>
    <w:p>
      <w:pPr>
        <w:ind w:left="1060" w:hanging="404"/>
        <w:spacing w:after="0" w:line="250" w:lineRule="auto"/>
        <w:tabs>
          <w:tab w:leader="none" w:pos="1060"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 xml:space="preserve">economic profit </w:t>
      </w:r>
      <w:r>
        <w:rPr>
          <w:rFonts w:ascii="Arial" w:cs="Arial" w:eastAsia="Arial" w:hAnsi="Arial"/>
          <w:sz w:val="22"/>
          <w:szCs w:val="22"/>
          <w:color w:val="auto"/>
        </w:rPr>
        <w:t>– defined generally as net operating profit after tax less cost of capital employed as adjusted for</w:t>
      </w:r>
      <w:r>
        <w:rPr>
          <w:rFonts w:ascii="Arial" w:cs="Arial" w:eastAsia="Arial" w:hAnsi="Arial"/>
          <w:sz w:val="22"/>
          <w:szCs w:val="22"/>
          <w:i w:val="1"/>
          <w:iCs w:val="1"/>
          <w:color w:val="auto"/>
        </w:rPr>
        <w:t xml:space="preserve"> </w:t>
      </w:r>
      <w:r>
        <w:rPr>
          <w:rFonts w:ascii="Arial" w:cs="Arial" w:eastAsia="Arial" w:hAnsi="Arial"/>
          <w:sz w:val="22"/>
          <w:szCs w:val="22"/>
          <w:color w:val="auto"/>
        </w:rPr>
        <w:t>certain items, including currency exchange rates and acquisitions/divestitures</w:t>
      </w:r>
    </w:p>
    <w:p>
      <w:pPr>
        <w:spacing w:after="0" w:line="66" w:lineRule="exact"/>
        <w:rPr>
          <w:rFonts w:ascii="Arial" w:cs="Arial" w:eastAsia="Arial" w:hAnsi="Arial"/>
          <w:sz w:val="22"/>
          <w:szCs w:val="22"/>
          <w:color w:val="auto"/>
        </w:rPr>
      </w:pPr>
    </w:p>
    <w:p>
      <w:pPr>
        <w:ind w:left="1060" w:hanging="404"/>
        <w:spacing w:after="0" w:line="328"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modified operating cash flow </w:t>
      </w:r>
      <w:r>
        <w:rPr>
          <w:rFonts w:ascii="Arial" w:cs="Arial" w:eastAsia="Arial" w:hAnsi="Arial"/>
          <w:sz w:val="19"/>
          <w:szCs w:val="19"/>
          <w:color w:val="auto"/>
        </w:rPr>
        <w:t>– defined generally as earnings before interest, taxes, depreciation and amortization</w:t>
      </w:r>
      <w:r>
        <w:rPr>
          <w:rFonts w:ascii="Arial" w:cs="Arial" w:eastAsia="Arial" w:hAnsi="Arial"/>
          <w:sz w:val="19"/>
          <w:szCs w:val="19"/>
          <w:i w:val="1"/>
          <w:iCs w:val="1"/>
          <w:color w:val="auto"/>
        </w:rPr>
        <w:t xml:space="preserve"> </w:t>
      </w:r>
      <w:r>
        <w:rPr>
          <w:rFonts w:ascii="Arial" w:cs="Arial" w:eastAsia="Arial" w:hAnsi="Arial"/>
          <w:sz w:val="19"/>
          <w:szCs w:val="19"/>
          <w:color w:val="auto"/>
        </w:rPr>
        <w:t>reduced by capital spending and adjusted for certain items, including changes in year-end trade working capital</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Cost of Capital</w:t>
      </w:r>
      <w:r>
        <w:rPr>
          <w:rFonts w:ascii="Arial" w:cs="Arial" w:eastAsia="Arial" w:hAnsi="Arial"/>
          <w:sz w:val="21"/>
          <w:szCs w:val="21"/>
          <w:color w:val="auto"/>
        </w:rPr>
        <w:t>. For purposes of calculating economic profit under the EP Plan, cost of capital employed was defined as</w:t>
      </w:r>
      <w:r>
        <w:rPr>
          <w:rFonts w:ascii="Arial" w:cs="Arial" w:eastAsia="Arial" w:hAnsi="Arial"/>
          <w:sz w:val="21"/>
          <w:szCs w:val="21"/>
          <w:i w:val="1"/>
          <w:iCs w:val="1"/>
          <w:color w:val="auto"/>
        </w:rPr>
        <w:t xml:space="preserve"> </w:t>
      </w:r>
      <w:r>
        <w:rPr>
          <w:rFonts w:ascii="Arial" w:cs="Arial" w:eastAsia="Arial" w:hAnsi="Arial"/>
          <w:sz w:val="21"/>
          <w:szCs w:val="21"/>
          <w:color w:val="auto"/>
        </w:rPr>
        <w:t>the average capital employed multiplied by the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2020, the EP Plan used a cost of capital of 9.0%, which is higher than the Company’s actual cost of capital.</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Weighting of Performance Measures</w:t>
      </w:r>
      <w:r>
        <w:rPr>
          <w:rFonts w:ascii="Arial" w:cs="Arial" w:eastAsia="Arial" w:hAnsi="Arial"/>
          <w:sz w:val="19"/>
          <w:szCs w:val="19"/>
          <w:color w:val="auto"/>
        </w:rPr>
        <w:t>. The Committee established target levels of performance for each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measure. In determining the weighting of performance targets for 2020, the Committee considered the potential impact of the COVID-19 pandemic but ultimately determined that there should be no change in the weighting of such targets. The Committee must approve all awards, and all awards are subject to review and downward discretionary adjustment by the Committee.</w:t>
      </w:r>
    </w:p>
    <w:p>
      <w:pPr>
        <w:spacing w:after="0" w:line="17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below the threshold of 80% of the applicable performance target. The modified operating cash flow component of the EP Plan was determined based upon actual performance compared to a budgeted modified operating cash flow amount.</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economic profit component of the EP Plan was determined by relating current-year economic profit to prior years economic profit, adjusted for currency fluctuations.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below the threshold of 80% of the applicable performance target. No portion of the target bonus amount will be paid for economic profit arising from accounting changes or similar non-cash items.</w:t>
      </w:r>
    </w:p>
    <w:p>
      <w:pPr>
        <w:jc w:val="center"/>
        <w:ind w:right="6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469" w:right="339" w:bottom="1440" w:gutter="0" w:footer="0" w:header="0"/>
        </w:sectPr>
      </w:pPr>
    </w:p>
    <w:bookmarkStart w:id="43" w:name="page44"/>
    <w:bookmarkEnd w:id="43"/>
    <w:p>
      <w:pPr>
        <w:jc w:val="both"/>
        <w:ind w:firstLine="648"/>
        <w:spacing w:after="0"/>
        <w:rPr>
          <w:sz w:val="20"/>
          <w:szCs w:val="20"/>
          <w:color w:val="auto"/>
        </w:rPr>
      </w:pPr>
      <w:r>
        <w:rPr>
          <w:rFonts w:ascii="Arial" w:cs="Arial" w:eastAsia="Arial" w:hAnsi="Arial"/>
          <w:sz w:val="22"/>
          <w:szCs w:val="22"/>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Setting of Target Performance Levels</w:t>
      </w:r>
      <w:r>
        <w:rPr>
          <w:rFonts w:ascii="Arial" w:cs="Arial" w:eastAsia="Arial" w:hAnsi="Arial"/>
          <w:sz w:val="19"/>
          <w:szCs w:val="19"/>
          <w:color w:val="auto"/>
        </w:rPr>
        <w:t>. Generally, the Committee attempts to set the target performance levels so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relative difficulty of 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Establishing targets for 2020 was particularly challenging because of the onset of the COVID-19 pandemic. However, the Committee ultimately determined that the targets for the NEOs would be set consistent with historical practice. For 2020, the Committee recognized that increasing global product demand would require significant capital spending, with the 2020 budget for capital spending being approximately $200 million greater than the actual capital spending for 2019. Accordingly, the Committee believed that it was appropriate to establish modified operating cash flow targets which reflected this additional investment in the long-term success of the Company, and that would continue to incentivize investment for growth. The Committee also determined that the modified operating cash flow targets for one of its operating divisions should be adjusted slightly from the budget that was established before the COVID-19 pandemic, but the targets and bonuses earned with respect to 2020 for all NEOs were unaffected by that adjustment. In addition, the Committee determined that the economic profit performance measure should be set in the normal manner without any adjustment.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economic profit and modified operating cash flow thresholds and targets for 2020 were set at the Company level for the CEO, Chief Operating Officer and Chief Financial Officer. For division-level NEOs (Messrs. Sourisseau and Novaes), economic profit and modified operating cash flow thresholds and targets include both division-level and Company-level metrics. The applicable thresholds, targets and actual achievement levels for 2020 are set forth for each NEO in the following table.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shd w:val="clear" w:color="auto" w:fill="29650B"/>
          </w:tcPr>
          <w:p>
            <w:pPr>
              <w:spacing w:after="0"/>
              <w:rPr>
                <w:sz w:val="23"/>
                <w:szCs w:val="23"/>
                <w:color w:val="auto"/>
              </w:rPr>
            </w:pPr>
          </w:p>
        </w:tc>
        <w:tc>
          <w:tcPr>
            <w:tcW w:w="4620" w:type="dxa"/>
            <w:vAlign w:val="bottom"/>
            <w:tcBorders>
              <w:top w:val="single" w:sz="8" w:color="auto"/>
              <w:right w:val="single" w:sz="8" w:color="auto"/>
            </w:tcBorders>
            <w:gridSpan w:val="3"/>
            <w:vMerge w:val="restart"/>
            <w:shd w:val="clear" w:color="auto" w:fill="29650B"/>
          </w:tcPr>
          <w:p>
            <w:pPr>
              <w:ind w:left="960"/>
              <w:spacing w:after="0"/>
              <w:rPr>
                <w:sz w:val="20"/>
                <w:szCs w:val="20"/>
                <w:color w:val="auto"/>
              </w:rPr>
            </w:pPr>
            <w:r>
              <w:rPr>
                <w:rFonts w:ascii="Arial" w:cs="Arial" w:eastAsia="Arial" w:hAnsi="Arial"/>
                <w:sz w:val="22"/>
                <w:szCs w:val="22"/>
                <w:b w:val="1"/>
                <w:bCs w:val="1"/>
                <w:color w:val="FFFFFF"/>
              </w:rPr>
              <w:t>Economic Profit (in millions)</w:t>
            </w:r>
          </w:p>
        </w:tc>
        <w:tc>
          <w:tcPr>
            <w:tcW w:w="4460" w:type="dxa"/>
            <w:vAlign w:val="bottom"/>
            <w:tcBorders>
              <w:top w:val="single" w:sz="8" w:color="auto"/>
              <w:right w:val="single" w:sz="8" w:color="auto"/>
            </w:tcBorders>
            <w:gridSpan w:val="3"/>
            <w:shd w:val="clear" w:color="auto" w:fill="29650B"/>
          </w:tcPr>
          <w:p>
            <w:pPr>
              <w:jc w:val="center"/>
              <w:spacing w:after="0"/>
              <w:rPr>
                <w:sz w:val="20"/>
                <w:szCs w:val="20"/>
                <w:color w:val="auto"/>
              </w:rPr>
            </w:pPr>
            <w:r>
              <w:rPr>
                <w:rFonts w:ascii="Arial" w:cs="Arial" w:eastAsia="Arial" w:hAnsi="Arial"/>
                <w:sz w:val="22"/>
                <w:szCs w:val="22"/>
                <w:b w:val="1"/>
                <w:bCs w:val="1"/>
                <w:color w:val="FFFFFF"/>
                <w:w w:val="90"/>
              </w:rPr>
              <w:t>Modified Operating Cash Flow</w:t>
            </w:r>
          </w:p>
        </w:tc>
        <w:tc>
          <w:tcPr>
            <w:tcW w:w="0" w:type="dxa"/>
            <w:vAlign w:val="bottom"/>
          </w:tcPr>
          <w:p>
            <w:pPr>
              <w:spacing w:after="0"/>
              <w:rPr>
                <w:sz w:val="1"/>
                <w:szCs w:val="1"/>
                <w:color w:val="auto"/>
              </w:rPr>
            </w:pPr>
          </w:p>
        </w:tc>
      </w:tr>
      <w:tr>
        <w:trPr>
          <w:trHeight w:val="159"/>
        </w:trPr>
        <w:tc>
          <w:tcPr>
            <w:tcW w:w="2160" w:type="dxa"/>
            <w:vAlign w:val="bottom"/>
            <w:tcBorders>
              <w:left w:val="single" w:sz="8" w:color="auto"/>
              <w:right w:val="single" w:sz="8" w:color="auto"/>
            </w:tcBorders>
            <w:shd w:val="clear" w:color="auto" w:fill="29650B"/>
          </w:tcPr>
          <w:p>
            <w:pPr>
              <w:spacing w:after="0"/>
              <w:rPr>
                <w:sz w:val="13"/>
                <w:szCs w:val="13"/>
                <w:color w:val="auto"/>
              </w:rPr>
            </w:pPr>
          </w:p>
        </w:tc>
        <w:tc>
          <w:tcPr>
            <w:tcW w:w="4620" w:type="dxa"/>
            <w:vAlign w:val="bottom"/>
            <w:tcBorders>
              <w:right w:val="single" w:sz="8" w:color="auto"/>
            </w:tcBorders>
            <w:gridSpan w:val="3"/>
            <w:vMerge w:val="continue"/>
            <w:shd w:val="clear" w:color="auto" w:fill="29650B"/>
          </w:tcPr>
          <w:p>
            <w:pPr>
              <w:spacing w:after="0"/>
              <w:rPr>
                <w:sz w:val="13"/>
                <w:szCs w:val="13"/>
                <w:color w:val="auto"/>
              </w:rPr>
            </w:pPr>
          </w:p>
        </w:tc>
        <w:tc>
          <w:tcPr>
            <w:tcW w:w="1340" w:type="dxa"/>
            <w:vAlign w:val="bottom"/>
            <w:tcBorders>
              <w:right w:val="single" w:sz="8" w:color="29650B"/>
            </w:tcBorders>
            <w:shd w:val="clear" w:color="auto" w:fill="29650B"/>
          </w:tcPr>
          <w:p>
            <w:pPr>
              <w:spacing w:after="0"/>
              <w:rPr>
                <w:sz w:val="13"/>
                <w:szCs w:val="13"/>
                <w:color w:val="auto"/>
              </w:rPr>
            </w:pPr>
          </w:p>
        </w:tc>
        <w:tc>
          <w:tcPr>
            <w:tcW w:w="1560" w:type="dxa"/>
            <w:vAlign w:val="bottom"/>
            <w:tcBorders>
              <w:right w:val="single" w:sz="8" w:color="29650B"/>
            </w:tcBorders>
            <w:vMerge w:val="restart"/>
            <w:shd w:val="clear" w:color="auto" w:fill="29650B"/>
          </w:tcPr>
          <w:p>
            <w:pPr>
              <w:jc w:val="center"/>
              <w:ind w:left="92"/>
              <w:spacing w:after="0"/>
              <w:rPr>
                <w:sz w:val="20"/>
                <w:szCs w:val="20"/>
                <w:color w:val="auto"/>
              </w:rPr>
            </w:pPr>
            <w:r>
              <w:rPr>
                <w:rFonts w:ascii="Arial" w:cs="Arial" w:eastAsia="Arial" w:hAnsi="Arial"/>
                <w:sz w:val="22"/>
                <w:szCs w:val="22"/>
                <w:b w:val="1"/>
                <w:bCs w:val="1"/>
                <w:color w:val="FFFFFF"/>
                <w:w w:val="90"/>
              </w:rPr>
              <w:t>(in millions)</w:t>
            </w:r>
          </w:p>
        </w:tc>
        <w:tc>
          <w:tcPr>
            <w:tcW w:w="1560" w:type="dxa"/>
            <w:vAlign w:val="bottom"/>
            <w:tcBorders>
              <w:right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29650B"/>
              <w:right w:val="single" w:sz="8" w:color="auto"/>
            </w:tcBorders>
            <w:shd w:val="clear" w:color="auto" w:fill="29650B"/>
          </w:tcPr>
          <w:p>
            <w:pPr>
              <w:spacing w:after="0"/>
              <w:rPr>
                <w:sz w:val="13"/>
                <w:szCs w:val="13"/>
                <w:color w:val="auto"/>
              </w:rPr>
            </w:pPr>
          </w:p>
        </w:tc>
        <w:tc>
          <w:tcPr>
            <w:tcW w:w="1580" w:type="dxa"/>
            <w:vAlign w:val="bottom"/>
            <w:tcBorders>
              <w:bottom w:val="single" w:sz="8" w:color="29650B"/>
              <w:right w:val="single" w:sz="8" w:color="29650B"/>
            </w:tcBorders>
            <w:shd w:val="clear" w:color="auto" w:fill="29650B"/>
          </w:tcPr>
          <w:p>
            <w:pPr>
              <w:spacing w:after="0"/>
              <w:rPr>
                <w:sz w:val="13"/>
                <w:szCs w:val="13"/>
                <w:color w:val="auto"/>
              </w:rPr>
            </w:pPr>
          </w:p>
        </w:tc>
        <w:tc>
          <w:tcPr>
            <w:tcW w:w="1580" w:type="dxa"/>
            <w:vAlign w:val="bottom"/>
            <w:tcBorders>
              <w:bottom w:val="single" w:sz="8" w:color="29650B"/>
              <w:right w:val="single" w:sz="8" w:color="29650B"/>
            </w:tcBorders>
            <w:shd w:val="clear" w:color="auto" w:fill="29650B"/>
          </w:tcPr>
          <w:p>
            <w:pPr>
              <w:spacing w:after="0"/>
              <w:rPr>
                <w:sz w:val="13"/>
                <w:szCs w:val="13"/>
                <w:color w:val="auto"/>
              </w:rPr>
            </w:pPr>
          </w:p>
        </w:tc>
        <w:tc>
          <w:tcPr>
            <w:tcW w:w="1460" w:type="dxa"/>
            <w:vAlign w:val="bottom"/>
            <w:tcBorders>
              <w:bottom w:val="single" w:sz="8" w:color="29650B"/>
              <w:right w:val="single" w:sz="8" w:color="auto"/>
            </w:tcBorders>
            <w:shd w:val="clear" w:color="auto" w:fill="29650B"/>
          </w:tcPr>
          <w:p>
            <w:pPr>
              <w:spacing w:after="0"/>
              <w:rPr>
                <w:sz w:val="13"/>
                <w:szCs w:val="13"/>
                <w:color w:val="auto"/>
              </w:rPr>
            </w:pPr>
          </w:p>
        </w:tc>
        <w:tc>
          <w:tcPr>
            <w:tcW w:w="1340" w:type="dxa"/>
            <w:vAlign w:val="bottom"/>
            <w:tcBorders>
              <w:bottom w:val="single" w:sz="8" w:color="29650B"/>
              <w:right w:val="single" w:sz="8" w:color="29650B"/>
            </w:tcBorders>
            <w:shd w:val="clear" w:color="auto" w:fill="29650B"/>
          </w:tcPr>
          <w:p>
            <w:pPr>
              <w:spacing w:after="0"/>
              <w:rPr>
                <w:sz w:val="13"/>
                <w:szCs w:val="13"/>
                <w:color w:val="auto"/>
              </w:rPr>
            </w:pPr>
          </w:p>
        </w:tc>
        <w:tc>
          <w:tcPr>
            <w:tcW w:w="1560" w:type="dxa"/>
            <w:vAlign w:val="bottom"/>
            <w:tcBorders>
              <w:bottom w:val="single" w:sz="8" w:color="29650B"/>
              <w:right w:val="single" w:sz="8" w:color="29650B"/>
            </w:tcBorders>
            <w:vMerge w:val="continue"/>
            <w:shd w:val="clear" w:color="auto" w:fill="29650B"/>
          </w:tcPr>
          <w:p>
            <w:pPr>
              <w:spacing w:after="0"/>
              <w:rPr>
                <w:sz w:val="13"/>
                <w:szCs w:val="13"/>
                <w:color w:val="auto"/>
              </w:rPr>
            </w:pPr>
          </w:p>
        </w:tc>
        <w:tc>
          <w:tcPr>
            <w:tcW w:w="1560" w:type="dxa"/>
            <w:vAlign w:val="bottom"/>
            <w:tcBorders>
              <w:bottom w:val="single" w:sz="8" w:color="29650B"/>
              <w:right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408"/>
        </w:trPr>
        <w:tc>
          <w:tcPr>
            <w:tcW w:w="2160" w:type="dxa"/>
            <w:vAlign w:val="bottom"/>
            <w:tcBorders>
              <w:top w:val="single" w:sz="8" w:color="29650B"/>
              <w:left w:val="single" w:sz="8" w:color="auto"/>
              <w:right w:val="single" w:sz="8" w:color="auto"/>
            </w:tcBorders>
            <w:shd w:val="clear" w:color="auto" w:fill="29650B"/>
          </w:tcPr>
          <w:p>
            <w:pPr>
              <w:ind w:left="120"/>
              <w:spacing w:after="0"/>
              <w:rPr>
                <w:sz w:val="20"/>
                <w:szCs w:val="20"/>
                <w:color w:val="auto"/>
              </w:rPr>
            </w:pPr>
            <w:r>
              <w:rPr>
                <w:rFonts w:ascii="Arial" w:cs="Arial" w:eastAsia="Arial" w:hAnsi="Arial"/>
                <w:sz w:val="22"/>
                <w:szCs w:val="22"/>
                <w:b w:val="1"/>
                <w:bCs w:val="1"/>
                <w:color w:val="FFFFFF"/>
              </w:rPr>
              <w:t>Name</w:t>
            </w:r>
          </w:p>
        </w:tc>
        <w:tc>
          <w:tcPr>
            <w:tcW w:w="1580" w:type="dxa"/>
            <w:vAlign w:val="bottom"/>
            <w:tcBorders>
              <w:top w:val="single" w:sz="8" w:color="auto"/>
              <w:right w:val="single" w:sz="8" w:color="auto"/>
            </w:tcBorders>
            <w:shd w:val="clear" w:color="auto" w:fill="29650B"/>
          </w:tcPr>
          <w:p>
            <w:pPr>
              <w:ind w:left="300"/>
              <w:spacing w:after="0"/>
              <w:rPr>
                <w:sz w:val="20"/>
                <w:szCs w:val="20"/>
                <w:color w:val="auto"/>
              </w:rPr>
            </w:pPr>
            <w:r>
              <w:rPr>
                <w:rFonts w:ascii="Arial" w:cs="Arial" w:eastAsia="Arial" w:hAnsi="Arial"/>
                <w:sz w:val="22"/>
                <w:szCs w:val="22"/>
                <w:b w:val="1"/>
                <w:bCs w:val="1"/>
                <w:color w:val="FFFFFF"/>
              </w:rPr>
              <w:t>Threshold</w:t>
            </w:r>
          </w:p>
        </w:tc>
        <w:tc>
          <w:tcPr>
            <w:tcW w:w="1580" w:type="dxa"/>
            <w:vAlign w:val="bottom"/>
            <w:tcBorders>
              <w:top w:val="single" w:sz="8" w:color="auto"/>
              <w:right w:val="single" w:sz="8" w:color="auto"/>
            </w:tcBorders>
            <w:shd w:val="clear" w:color="auto" w:fill="29650B"/>
          </w:tcPr>
          <w:p>
            <w:pPr>
              <w:ind w:left="480"/>
              <w:spacing w:after="0"/>
              <w:rPr>
                <w:sz w:val="20"/>
                <w:szCs w:val="20"/>
                <w:color w:val="auto"/>
              </w:rPr>
            </w:pPr>
            <w:r>
              <w:rPr>
                <w:rFonts w:ascii="Arial" w:cs="Arial" w:eastAsia="Arial" w:hAnsi="Arial"/>
                <w:sz w:val="22"/>
                <w:szCs w:val="22"/>
                <w:b w:val="1"/>
                <w:bCs w:val="1"/>
                <w:color w:val="FFFFFF"/>
              </w:rPr>
              <w:t>Target</w:t>
            </w:r>
          </w:p>
        </w:tc>
        <w:tc>
          <w:tcPr>
            <w:tcW w:w="1460" w:type="dxa"/>
            <w:vAlign w:val="bottom"/>
            <w:tcBorders>
              <w:top w:val="single" w:sz="8" w:color="auto"/>
              <w:right w:val="single" w:sz="8" w:color="auto"/>
            </w:tcBorders>
            <w:shd w:val="clear" w:color="auto" w:fill="29650B"/>
          </w:tcPr>
          <w:p>
            <w:pPr>
              <w:ind w:left="400"/>
              <w:spacing w:after="0"/>
              <w:rPr>
                <w:sz w:val="20"/>
                <w:szCs w:val="20"/>
                <w:color w:val="auto"/>
              </w:rPr>
            </w:pPr>
            <w:r>
              <w:rPr>
                <w:rFonts w:ascii="Arial" w:cs="Arial" w:eastAsia="Arial" w:hAnsi="Arial"/>
                <w:sz w:val="22"/>
                <w:szCs w:val="22"/>
                <w:b w:val="1"/>
                <w:bCs w:val="1"/>
                <w:color w:val="FFFFFF"/>
              </w:rPr>
              <w:t>Actual</w:t>
            </w:r>
          </w:p>
        </w:tc>
        <w:tc>
          <w:tcPr>
            <w:tcW w:w="1340" w:type="dxa"/>
            <w:vAlign w:val="bottom"/>
            <w:tcBorders>
              <w:top w:val="single" w:sz="8" w:color="auto"/>
              <w:right w:val="single" w:sz="8" w:color="auto"/>
            </w:tcBorders>
            <w:shd w:val="clear" w:color="auto" w:fill="29650B"/>
          </w:tcPr>
          <w:p>
            <w:pPr>
              <w:ind w:left="180"/>
              <w:spacing w:after="0"/>
              <w:rPr>
                <w:sz w:val="20"/>
                <w:szCs w:val="20"/>
                <w:color w:val="auto"/>
              </w:rPr>
            </w:pPr>
            <w:r>
              <w:rPr>
                <w:rFonts w:ascii="Arial" w:cs="Arial" w:eastAsia="Arial" w:hAnsi="Arial"/>
                <w:sz w:val="22"/>
                <w:szCs w:val="22"/>
                <w:b w:val="1"/>
                <w:bCs w:val="1"/>
                <w:color w:val="FFFFFF"/>
              </w:rPr>
              <w:t>Threshold</w:t>
            </w:r>
          </w:p>
        </w:tc>
        <w:tc>
          <w:tcPr>
            <w:tcW w:w="1560" w:type="dxa"/>
            <w:vAlign w:val="bottom"/>
            <w:tcBorders>
              <w:top w:val="single" w:sz="8" w:color="auto"/>
              <w:right w:val="single" w:sz="8" w:color="auto"/>
            </w:tcBorders>
            <w:shd w:val="clear" w:color="auto" w:fill="29650B"/>
          </w:tcPr>
          <w:p>
            <w:pPr>
              <w:ind w:left="460"/>
              <w:spacing w:after="0"/>
              <w:rPr>
                <w:sz w:val="20"/>
                <w:szCs w:val="20"/>
                <w:color w:val="auto"/>
              </w:rPr>
            </w:pPr>
            <w:r>
              <w:rPr>
                <w:rFonts w:ascii="Arial" w:cs="Arial" w:eastAsia="Arial" w:hAnsi="Arial"/>
                <w:sz w:val="22"/>
                <w:szCs w:val="22"/>
                <w:b w:val="1"/>
                <w:bCs w:val="1"/>
                <w:color w:val="FFFFFF"/>
              </w:rPr>
              <w:t>Target</w:t>
            </w:r>
          </w:p>
        </w:tc>
        <w:tc>
          <w:tcPr>
            <w:tcW w:w="1560" w:type="dxa"/>
            <w:vAlign w:val="bottom"/>
            <w:tcBorders>
              <w:top w:val="single" w:sz="8" w:color="auto"/>
              <w:right w:val="single" w:sz="8" w:color="auto"/>
            </w:tcBorders>
            <w:shd w:val="clear" w:color="auto" w:fill="29650B"/>
          </w:tcPr>
          <w:p>
            <w:pPr>
              <w:ind w:left="460"/>
              <w:spacing w:after="0"/>
              <w:rPr>
                <w:sz w:val="20"/>
                <w:szCs w:val="20"/>
                <w:color w:val="auto"/>
              </w:rPr>
            </w:pPr>
            <w:r>
              <w:rPr>
                <w:rFonts w:ascii="Arial" w:cs="Arial" w:eastAsia="Arial" w:hAnsi="Arial"/>
                <w:sz w:val="22"/>
                <w:szCs w:val="22"/>
                <w:b w:val="1"/>
                <w:bCs w:val="1"/>
                <w:color w:val="FFFFFF"/>
              </w:rPr>
              <w:t>Actual</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shd w:val="clear" w:color="auto" w:fill="29650B"/>
          </w:tcPr>
          <w:p>
            <w:pPr>
              <w:spacing w:after="0"/>
              <w:rPr>
                <w:sz w:val="13"/>
                <w:szCs w:val="13"/>
                <w:color w:val="auto"/>
              </w:rPr>
            </w:pPr>
          </w:p>
        </w:tc>
        <w:tc>
          <w:tcPr>
            <w:tcW w:w="1580" w:type="dxa"/>
            <w:vAlign w:val="bottom"/>
            <w:tcBorders>
              <w:bottom w:val="single" w:sz="8" w:color="auto"/>
              <w:right w:val="single" w:sz="8" w:color="auto"/>
            </w:tcBorders>
            <w:shd w:val="clear" w:color="auto" w:fill="29650B"/>
          </w:tcPr>
          <w:p>
            <w:pPr>
              <w:spacing w:after="0"/>
              <w:rPr>
                <w:sz w:val="13"/>
                <w:szCs w:val="13"/>
                <w:color w:val="auto"/>
              </w:rPr>
            </w:pPr>
          </w:p>
        </w:tc>
        <w:tc>
          <w:tcPr>
            <w:tcW w:w="1580" w:type="dxa"/>
            <w:vAlign w:val="bottom"/>
            <w:tcBorders>
              <w:bottom w:val="single" w:sz="8" w:color="auto"/>
              <w:right w:val="single" w:sz="8" w:color="auto"/>
            </w:tcBorders>
            <w:shd w:val="clear" w:color="auto" w:fill="29650B"/>
          </w:tcPr>
          <w:p>
            <w:pPr>
              <w:spacing w:after="0"/>
              <w:rPr>
                <w:sz w:val="13"/>
                <w:szCs w:val="13"/>
                <w:color w:val="auto"/>
              </w:rPr>
            </w:pPr>
          </w:p>
        </w:tc>
        <w:tc>
          <w:tcPr>
            <w:tcW w:w="1460" w:type="dxa"/>
            <w:vAlign w:val="bottom"/>
            <w:tcBorders>
              <w:bottom w:val="single" w:sz="8" w:color="auto"/>
              <w:right w:val="single" w:sz="8" w:color="auto"/>
            </w:tcBorders>
            <w:shd w:val="clear" w:color="auto" w:fill="29650B"/>
          </w:tcPr>
          <w:p>
            <w:pPr>
              <w:spacing w:after="0"/>
              <w:rPr>
                <w:sz w:val="13"/>
                <w:szCs w:val="13"/>
                <w:color w:val="auto"/>
              </w:rPr>
            </w:pPr>
          </w:p>
        </w:tc>
        <w:tc>
          <w:tcPr>
            <w:tcW w:w="1340" w:type="dxa"/>
            <w:vAlign w:val="bottom"/>
            <w:tcBorders>
              <w:bottom w:val="single" w:sz="8" w:color="auto"/>
              <w:right w:val="single" w:sz="8" w:color="auto"/>
            </w:tcBorders>
            <w:shd w:val="clear" w:color="auto" w:fill="29650B"/>
          </w:tcPr>
          <w:p>
            <w:pPr>
              <w:spacing w:after="0"/>
              <w:rPr>
                <w:sz w:val="13"/>
                <w:szCs w:val="13"/>
                <w:color w:val="auto"/>
              </w:rPr>
            </w:pPr>
          </w:p>
        </w:tc>
        <w:tc>
          <w:tcPr>
            <w:tcW w:w="1560" w:type="dxa"/>
            <w:vAlign w:val="bottom"/>
            <w:tcBorders>
              <w:bottom w:val="single" w:sz="8" w:color="auto"/>
              <w:right w:val="single" w:sz="8" w:color="auto"/>
            </w:tcBorders>
            <w:shd w:val="clear" w:color="auto" w:fill="29650B"/>
          </w:tcPr>
          <w:p>
            <w:pPr>
              <w:spacing w:after="0"/>
              <w:rPr>
                <w:sz w:val="13"/>
                <w:szCs w:val="13"/>
                <w:color w:val="auto"/>
              </w:rPr>
            </w:pPr>
          </w:p>
        </w:tc>
        <w:tc>
          <w:tcPr>
            <w:tcW w:w="1560" w:type="dxa"/>
            <w:vAlign w:val="bottom"/>
            <w:tcBorders>
              <w:bottom w:val="single" w:sz="8" w:color="auto"/>
              <w:right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$478.1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$597.6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$668.0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$743.0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$928.8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$1,113.0</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21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478.1</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597.6</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668.0</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743.0</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928.8</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1,113.0</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580" w:type="dxa"/>
            <w:vAlign w:val="bottom"/>
            <w:tcBorders>
              <w:bottom w:val="single" w:sz="8" w:color="auto"/>
              <w:right w:val="single" w:sz="8" w:color="auto"/>
            </w:tcBorders>
            <w:shd w:val="clear" w:color="auto" w:fill="D9D9D9"/>
          </w:tcPr>
          <w:p>
            <w:pPr>
              <w:spacing w:after="0"/>
              <w:rPr>
                <w:sz w:val="13"/>
                <w:szCs w:val="13"/>
                <w:color w:val="auto"/>
              </w:rPr>
            </w:pPr>
          </w:p>
        </w:tc>
        <w:tc>
          <w:tcPr>
            <w:tcW w:w="158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340" w:type="dxa"/>
            <w:vAlign w:val="bottom"/>
            <w:tcBorders>
              <w:bottom w:val="single" w:sz="8" w:color="auto"/>
              <w:right w:val="single" w:sz="8" w:color="auto"/>
            </w:tcBorders>
            <w:shd w:val="clear" w:color="auto" w:fill="D9D9D9"/>
          </w:tcPr>
          <w:p>
            <w:pPr>
              <w:spacing w:after="0"/>
              <w:rPr>
                <w:sz w:val="13"/>
                <w:szCs w:val="13"/>
                <w:color w:val="auto"/>
              </w:rPr>
            </w:pPr>
          </w:p>
        </w:tc>
        <w:tc>
          <w:tcPr>
            <w:tcW w:w="1560" w:type="dxa"/>
            <w:vAlign w:val="bottom"/>
            <w:tcBorders>
              <w:bottom w:val="single" w:sz="8" w:color="auto"/>
              <w:right w:val="single" w:sz="8" w:color="auto"/>
            </w:tcBorders>
            <w:shd w:val="clear" w:color="auto" w:fill="D9D9D9"/>
          </w:tcPr>
          <w:p>
            <w:pPr>
              <w:spacing w:after="0"/>
              <w:rPr>
                <w:sz w:val="13"/>
                <w:szCs w:val="13"/>
                <w:color w:val="auto"/>
              </w:rPr>
            </w:pPr>
          </w:p>
        </w:tc>
        <w:tc>
          <w:tcPr>
            <w:tcW w:w="156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478.1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597.6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668.0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743.0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928.8</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1,113.0</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21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w w:val="96"/>
              </w:rPr>
              <w:t>Didier Sourisseau (1)</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124.9</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156.1</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162.4</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236.2</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295.3</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0"/>
              </w:rPr>
              <w:t>393.4</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580" w:type="dxa"/>
            <w:vAlign w:val="bottom"/>
            <w:tcBorders>
              <w:bottom w:val="single" w:sz="8" w:color="auto"/>
              <w:right w:val="single" w:sz="8" w:color="auto"/>
            </w:tcBorders>
            <w:shd w:val="clear" w:color="auto" w:fill="D9D9D9"/>
          </w:tcPr>
          <w:p>
            <w:pPr>
              <w:spacing w:after="0"/>
              <w:rPr>
                <w:sz w:val="13"/>
                <w:szCs w:val="13"/>
                <w:color w:val="auto"/>
              </w:rPr>
            </w:pPr>
          </w:p>
        </w:tc>
        <w:tc>
          <w:tcPr>
            <w:tcW w:w="1580" w:type="dxa"/>
            <w:vAlign w:val="bottom"/>
            <w:tcBorders>
              <w:bottom w:val="single" w:sz="8" w:color="auto"/>
              <w:right w:val="single" w:sz="8" w:color="auto"/>
            </w:tcBorders>
            <w:shd w:val="clear" w:color="auto" w:fill="D9D9D9"/>
          </w:tcPr>
          <w:p>
            <w:pPr>
              <w:spacing w:after="0"/>
              <w:rPr>
                <w:sz w:val="13"/>
                <w:szCs w:val="13"/>
                <w:color w:val="auto"/>
              </w:rPr>
            </w:pPr>
          </w:p>
        </w:tc>
        <w:tc>
          <w:tcPr>
            <w:tcW w:w="1460" w:type="dxa"/>
            <w:vAlign w:val="bottom"/>
            <w:tcBorders>
              <w:bottom w:val="single" w:sz="8" w:color="auto"/>
              <w:right w:val="single" w:sz="8" w:color="auto"/>
            </w:tcBorders>
            <w:shd w:val="clear" w:color="auto" w:fill="D9D9D9"/>
          </w:tcPr>
          <w:p>
            <w:pPr>
              <w:spacing w:after="0"/>
              <w:rPr>
                <w:sz w:val="13"/>
                <w:szCs w:val="13"/>
                <w:color w:val="auto"/>
              </w:rPr>
            </w:pPr>
          </w:p>
        </w:tc>
        <w:tc>
          <w:tcPr>
            <w:tcW w:w="1340" w:type="dxa"/>
            <w:vAlign w:val="bottom"/>
            <w:tcBorders>
              <w:bottom w:val="single" w:sz="8" w:color="auto"/>
              <w:right w:val="single" w:sz="8" w:color="auto"/>
            </w:tcBorders>
            <w:shd w:val="clear" w:color="auto" w:fill="D9D9D9"/>
          </w:tcPr>
          <w:p>
            <w:pPr>
              <w:spacing w:after="0"/>
              <w:rPr>
                <w:sz w:val="13"/>
                <w:szCs w:val="13"/>
                <w:color w:val="auto"/>
              </w:rPr>
            </w:pPr>
          </w:p>
        </w:tc>
        <w:tc>
          <w:tcPr>
            <w:tcW w:w="1560" w:type="dxa"/>
            <w:vAlign w:val="bottom"/>
            <w:tcBorders>
              <w:bottom w:val="single" w:sz="8" w:color="auto"/>
              <w:right w:val="single" w:sz="8" w:color="auto"/>
            </w:tcBorders>
            <w:shd w:val="clear" w:color="auto" w:fill="D9D9D9"/>
          </w:tcPr>
          <w:p>
            <w:pPr>
              <w:spacing w:after="0"/>
              <w:rPr>
                <w:sz w:val="13"/>
                <w:szCs w:val="13"/>
                <w:color w:val="auto"/>
              </w:rPr>
            </w:pPr>
          </w:p>
        </w:tc>
        <w:tc>
          <w:tcPr>
            <w:tcW w:w="156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 xml:space="preserve">Djalma Novaes </w:t>
            </w:r>
            <w:r>
              <w:rPr>
                <w:rFonts w:ascii="Arial" w:cs="Arial" w:eastAsia="Arial" w:hAnsi="Arial"/>
                <w:sz w:val="19"/>
                <w:szCs w:val="19"/>
                <w:color w:val="auto"/>
              </w:rPr>
              <w:t>(1)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164.1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205.1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296.4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261.4</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326.7</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363.1</w:t>
            </w:r>
          </w:p>
        </w:tc>
        <w:tc>
          <w:tcPr>
            <w:tcW w:w="0" w:type="dxa"/>
            <w:vAlign w:val="bottom"/>
          </w:tcPr>
          <w:p>
            <w:pPr>
              <w:spacing w:after="0"/>
              <w:rPr>
                <w:sz w:val="1"/>
                <w:szCs w:val="1"/>
                <w:color w:val="auto"/>
              </w:rPr>
            </w:pPr>
          </w:p>
        </w:tc>
      </w:tr>
      <w:tr>
        <w:trPr>
          <w:trHeight w:val="152"/>
        </w:trPr>
        <w:tc>
          <w:tcPr>
            <w:tcW w:w="216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38" w:lineRule="exact"/>
        <w:rPr>
          <w:sz w:val="20"/>
          <w:szCs w:val="20"/>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threshold and target numbers for Messrs. Sourisseau and Novaes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Kelly and Gifford.</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469" w:right="339" w:bottom="1440" w:gutter="0" w:footer="0" w:header="0"/>
        </w:sectPr>
      </w:pPr>
    </w:p>
    <w:bookmarkStart w:id="44" w:name="page45"/>
    <w:bookmarkEnd w:id="44"/>
    <w:p>
      <w:pPr>
        <w:jc w:val="both"/>
        <w:ind w:firstLine="648"/>
        <w:spacing w:after="0" w:line="270" w:lineRule="auto"/>
        <w:rPr>
          <w:sz w:val="20"/>
          <w:szCs w:val="20"/>
          <w:color w:val="auto"/>
        </w:rPr>
      </w:pPr>
      <w:r>
        <w:rPr>
          <w:rFonts w:ascii="Arial" w:cs="Arial" w:eastAsia="Arial" w:hAnsi="Arial"/>
          <w:sz w:val="19"/>
          <w:szCs w:val="19"/>
          <w:i w:val="1"/>
          <w:iCs w:val="1"/>
          <w:color w:val="auto"/>
        </w:rPr>
        <w:t>2020 Bonus Calculations</w:t>
      </w:r>
      <w:r>
        <w:rPr>
          <w:rFonts w:ascii="Arial" w:cs="Arial" w:eastAsia="Arial" w:hAnsi="Arial"/>
          <w:sz w:val="19"/>
          <w:szCs w:val="19"/>
          <w:color w:val="auto"/>
        </w:rPr>
        <w:t>. Many of the Company’s products are essential for the delivery and protection of food and</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beverages as well as cleaning and sanitizing products. Therefore, despite the COVID-19 pandemic, the Company maintained its focus on increasing global production. We maintained our existing workforce with only minimal pandemic-related furloughs and ended 2020 with substantially the same number of employees with which we began the year. In addition, we did not institute wage or salary cuts with respect to our employees and with a few localized exceptions we provided wage and salary increases during 2020 in the normal course without postponement. As the COVID-19 pandemic spread, our management team took decisive actions to ensure the safety of our employees and the products they produce, including increased sanitizing efforts, modification of workspaces and distribution of personal protective equipment in our manufacturing facilities and offices, implementation of travel and visitor restrictions and remote working and rotational arrangements whenever possible. Therefore, notwithstanding the unprecedented challenges presented by the pandemic, the Company produced strong financial results. Consequently, Messrs. Donahue, Gifford and Kelly received bonuses under the EP Plan equal to 200% of their respective target bonus amounts. For Messrs. Donahue, Gifford and Kelly, 125% was attributable to modified operating cash flow and 125% to economic profit, reduced to the maximum of 200%, with no excess carried forward into subsequent years. Mr. Sourisseau received a bonus under the EP Plan equal to 200% of his target bonus amount, 125% attributable to modified operating cash flow and 89.2% to economic profit, reduced to the maximum of 200%, with no excess carried forward into subsequent years. Mr. Novaes received a bonus under the EP Plan equal to 200% of his target bonus amount, 82.3% attributable to modified operating cash flow and 125% to economic profit, reduced to the maximum of 200%, with no excess carried forward into subsequent years.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Long-Term Equity Incentives. </w:t>
      </w:r>
      <w:r>
        <w:rPr>
          <w:rFonts w:ascii="Arial" w:cs="Arial" w:eastAsia="Arial" w:hAnsi="Arial"/>
          <w:sz w:val="19"/>
          <w:szCs w:val="19"/>
          <w:color w:val="auto"/>
        </w:rPr>
        <w:t>The Committee believes that equity-based incentives, delivered through annual grants of</w:t>
      </w:r>
      <w:r>
        <w:rPr>
          <w:rFonts w:ascii="Arial" w:cs="Arial" w:eastAsia="Arial" w:hAnsi="Arial"/>
          <w:sz w:val="19"/>
          <w:szCs w:val="19"/>
          <w:b w:val="1"/>
          <w:bCs w:val="1"/>
          <w:color w:val="auto"/>
        </w:rPr>
        <w:t xml:space="preserve"> </w:t>
      </w:r>
      <w:r>
        <w:rPr>
          <w:rFonts w:ascii="Arial" w:cs="Arial" w:eastAsia="Arial" w:hAnsi="Arial"/>
          <w:sz w:val="19"/>
          <w:szCs w:val="19"/>
          <w:color w:val="auto"/>
        </w:rPr>
        <w:t>time-based restricted 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2020 grants, the Company used total shareholder return (“TSR”) and return on invested capital (“ROIC”) as the two performance metrics for purposes of vesting performance-based shares. The Committee believes that the use of TSR and ROIC aligns the Company’s long-term incentive plan with its peers and with current market practice.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newly-hired executives or in recognition of an executive’s promotion or expansion of responsibilities.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Committee approved the following award structure for 2020:</w:t>
      </w:r>
    </w:p>
    <w:p>
      <w:pPr>
        <w:spacing w:after="0" w:line="98" w:lineRule="exact"/>
        <w:rPr>
          <w:sz w:val="20"/>
          <w:szCs w:val="20"/>
          <w:color w:val="auto"/>
        </w:rPr>
      </w:pPr>
    </w:p>
    <w:p>
      <w:pPr>
        <w:jc w:val="both"/>
        <w:ind w:left="1040" w:hanging="384"/>
        <w:spacing w:after="0"/>
        <w:tabs>
          <w:tab w:leader="none" w:pos="10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Target Award Levels</w:t>
      </w:r>
      <w:r>
        <w:rPr>
          <w:rFonts w:ascii="Arial" w:cs="Arial" w:eastAsia="Arial" w:hAnsi="Arial"/>
          <w:sz w:val="22"/>
          <w:szCs w:val="22"/>
          <w:color w:val="auto"/>
        </w:rPr>
        <w:t>. Award levels were generally set to deliver target total direct compensation (sum of base salary,</w:t>
      </w:r>
      <w:r>
        <w:rPr>
          <w:rFonts w:ascii="Arial" w:cs="Arial" w:eastAsia="Arial" w:hAnsi="Arial"/>
          <w:sz w:val="22"/>
          <w:szCs w:val="22"/>
          <w:i w:val="1"/>
          <w:iCs w:val="1"/>
          <w:color w:val="auto"/>
        </w:rPr>
        <w:t xml:space="preserve"> </w:t>
      </w:r>
      <w:r>
        <w:rPr>
          <w:rFonts w:ascii="Arial" w:cs="Arial" w:eastAsia="Arial" w:hAnsi="Arial"/>
          <w:sz w:val="22"/>
          <w:szCs w:val="22"/>
          <w:color w:val="auto"/>
        </w:rPr>
        <w:t>annual and long-term equity incentives) in the middle range of the Peer Group after taking into account the competitive positioning of the executives’ target total cash compensation.</w:t>
      </w:r>
    </w:p>
    <w:p>
      <w:pPr>
        <w:spacing w:after="0" w:line="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469" w:right="339" w:bottom="1440" w:gutter="0" w:footer="0" w:header="0"/>
        </w:sectPr>
      </w:pPr>
    </w:p>
    <w:bookmarkStart w:id="45" w:name="page46"/>
    <w:bookmarkEnd w:id="45"/>
    <w:p>
      <w:pPr>
        <w:jc w:val="both"/>
        <w:ind w:left="1040" w:hanging="384"/>
        <w:spacing w:after="0" w:line="244" w:lineRule="auto"/>
        <w:tabs>
          <w:tab w:leader="none" w:pos="1040" w:val="left"/>
        </w:tabs>
        <w:numPr>
          <w:ilvl w:val="0"/>
          <w:numId w:val="34"/>
        </w:numPr>
        <w:rPr>
          <w:rFonts w:ascii="Arial" w:cs="Arial" w:eastAsia="Arial" w:hAnsi="Arial"/>
          <w:sz w:val="21"/>
          <w:szCs w:val="21"/>
          <w:color w:val="auto"/>
        </w:rPr>
      </w:pPr>
      <w:r>
        <w:rPr>
          <w:rFonts w:ascii="Arial" w:cs="Arial" w:eastAsia="Arial" w:hAnsi="Arial"/>
          <w:sz w:val="21"/>
          <w:szCs w:val="21"/>
          <w:i w:val="1"/>
          <w:iCs w:val="1"/>
          <w:color w:val="auto"/>
        </w:rPr>
        <w:t>Performance-Based Restricted Stock</w:t>
      </w:r>
      <w:r>
        <w:rPr>
          <w:rFonts w:ascii="Arial" w:cs="Arial" w:eastAsia="Arial" w:hAnsi="Arial"/>
          <w:sz w:val="21"/>
          <w:szCs w:val="21"/>
          <w:color w:val="auto"/>
        </w:rPr>
        <w:t>. Approximately two-thirds of an NEO’s targeted long-term equity incentive was</w:t>
      </w:r>
      <w:r>
        <w:rPr>
          <w:rFonts w:ascii="Arial" w:cs="Arial" w:eastAsia="Arial" w:hAnsi="Arial"/>
          <w:sz w:val="21"/>
          <w:szCs w:val="21"/>
          <w:i w:val="1"/>
          <w:iCs w:val="1"/>
          <w:color w:val="auto"/>
        </w:rPr>
        <w:t xml:space="preserve"> </w:t>
      </w:r>
      <w:r>
        <w:rPr>
          <w:rFonts w:ascii="Arial" w:cs="Arial" w:eastAsia="Arial" w:hAnsi="Arial"/>
          <w:sz w:val="21"/>
          <w:szCs w:val="21"/>
          <w:color w:val="auto"/>
        </w:rPr>
        <w:t>delivered in performance-based restricted stock, approximately half of which may be earned based on the Company’s TSR relative to a group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2020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our NEOs’ compensation to the long-term performance of the Company, the three-year vesting structure provides a strong retention element because an NEO terminating employment (other than for retirement with Committee approval, disability or death) will leave behind unvested awards.</w:t>
      </w:r>
    </w:p>
    <w:p>
      <w:pPr>
        <w:spacing w:after="0" w:line="80" w:lineRule="exact"/>
        <w:rPr>
          <w:rFonts w:ascii="Arial" w:cs="Arial" w:eastAsia="Arial" w:hAnsi="Arial"/>
          <w:sz w:val="21"/>
          <w:szCs w:val="21"/>
          <w:color w:val="auto"/>
        </w:rPr>
      </w:pPr>
    </w:p>
    <w:p>
      <w:pPr>
        <w:jc w:val="both"/>
        <w:ind w:left="1040" w:hanging="384"/>
        <w:spacing w:after="0" w:line="297" w:lineRule="auto"/>
        <w:tabs>
          <w:tab w:leader="none" w:pos="104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Time-Based Restricted Stock</w:t>
      </w:r>
      <w:r>
        <w:rPr>
          <w:rFonts w:ascii="Arial" w:cs="Arial" w:eastAsia="Arial" w:hAnsi="Arial"/>
          <w:sz w:val="19"/>
          <w:szCs w:val="19"/>
          <w:color w:val="auto"/>
        </w:rPr>
        <w:t>. Approximately one-third of an NEO’s targeted long-term equity incentive was delivered</w:t>
      </w:r>
      <w:r>
        <w:rPr>
          <w:rFonts w:ascii="Arial" w:cs="Arial" w:eastAsia="Arial" w:hAnsi="Arial"/>
          <w:sz w:val="19"/>
          <w:szCs w:val="19"/>
          <w:i w:val="1"/>
          <w:iCs w:val="1"/>
          <w:color w:val="auto"/>
        </w:rPr>
        <w:t xml:space="preserve"> </w:t>
      </w:r>
      <w:r>
        <w:rPr>
          <w:rFonts w:ascii="Arial" w:cs="Arial" w:eastAsia="Arial" w:hAnsi="Arial"/>
          <w:sz w:val="19"/>
          <w:szCs w:val="19"/>
          <w:color w:val="auto"/>
        </w:rPr>
        <w:t>in time-based restricted stock that vests in equal annual installments over three years from the date of the award in the amounts set forth in the “Grants of Plan-Based Awards” table in the Executive Compensation section below.</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Industry Peer Group Composition</w:t>
      </w:r>
      <w:r>
        <w:rPr>
          <w:rFonts w:ascii="Arial" w:cs="Arial" w:eastAsia="Arial" w:hAnsi="Arial"/>
          <w:sz w:val="21"/>
          <w:szCs w:val="21"/>
          <w:color w:val="auto"/>
        </w:rPr>
        <w:t>. The Committee believes that for purposes of comparing TSR it is appropriate to utilize</w:t>
      </w:r>
      <w:r>
        <w:rPr>
          <w:rFonts w:ascii="Arial" w:cs="Arial" w:eastAsia="Arial" w:hAnsi="Arial"/>
          <w:sz w:val="21"/>
          <w:szCs w:val="21"/>
          <w:i w:val="1"/>
          <w:iCs w:val="1"/>
          <w:color w:val="auto"/>
        </w:rPr>
        <w:t xml:space="preserve"> </w:t>
      </w:r>
      <w:r>
        <w:rPr>
          <w:rFonts w:ascii="Arial" w:cs="Arial" w:eastAsia="Arial" w:hAnsi="Arial"/>
          <w:sz w:val="21"/>
          <w:szCs w:val="21"/>
          <w:color w:val="auto"/>
        </w:rPr>
        <w:t>a recognized publicly available index of container and packaging industry companies as the peer group. As a result, with respect to determining shareholder return for 2020 grants, the Committee will use the Dow Jones U.S. Containers &amp; Packaging Index, currently comprising the Company and the following other companies:</w:t>
      </w:r>
    </w:p>
    <w:p>
      <w:pPr>
        <w:spacing w:after="0" w:line="56"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rPr>
                <w:sz w:val="20"/>
                <w:szCs w:val="20"/>
                <w:color w:val="auto"/>
              </w:rPr>
            </w:pPr>
            <w:r>
              <w:rPr>
                <w:rFonts w:ascii="Arial" w:cs="Arial" w:eastAsia="Arial" w:hAnsi="Arial"/>
                <w:sz w:val="22"/>
                <w:szCs w:val="22"/>
                <w:color w:val="auto"/>
              </w:rPr>
              <w:t>Amcor</w:t>
            </w:r>
          </w:p>
        </w:tc>
        <w:tc>
          <w:tcPr>
            <w:tcW w:w="14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3480" w:type="dxa"/>
            <w:vAlign w:val="bottom"/>
          </w:tcPr>
          <w:p>
            <w:pPr>
              <w:ind w:left="460"/>
              <w:spacing w:after="0"/>
              <w:rPr>
                <w:sz w:val="20"/>
                <w:szCs w:val="20"/>
                <w:color w:val="auto"/>
              </w:rPr>
            </w:pPr>
            <w:r>
              <w:rPr>
                <w:rFonts w:ascii="Arial" w:cs="Arial" w:eastAsia="Arial" w:hAnsi="Arial"/>
                <w:sz w:val="22"/>
                <w:szCs w:val="22"/>
                <w:color w:val="auto"/>
              </w:rPr>
              <w:t>O-I Glass</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line="243" w:lineRule="exact"/>
              <w:rPr>
                <w:sz w:val="20"/>
                <w:szCs w:val="20"/>
                <w:color w:val="auto"/>
              </w:rPr>
            </w:pPr>
            <w:r>
              <w:rPr>
                <w:rFonts w:ascii="Arial" w:cs="Arial" w:eastAsia="Arial" w:hAnsi="Arial"/>
                <w:sz w:val="22"/>
                <w:szCs w:val="22"/>
                <w:color w:val="auto"/>
              </w:rPr>
              <w:t>AptarGroup</w:t>
            </w:r>
          </w:p>
        </w:tc>
        <w:tc>
          <w:tcPr>
            <w:tcW w:w="142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480" w:type="dxa"/>
            <w:vAlign w:val="bottom"/>
          </w:tcPr>
          <w:p>
            <w:pPr>
              <w:ind w:left="460"/>
              <w:spacing w:after="0" w:line="243" w:lineRule="exact"/>
              <w:rPr>
                <w:sz w:val="20"/>
                <w:szCs w:val="20"/>
                <w:color w:val="auto"/>
              </w:rPr>
            </w:pPr>
            <w:r>
              <w:rPr>
                <w:rFonts w:ascii="Arial" w:cs="Arial" w:eastAsia="Arial" w:hAnsi="Arial"/>
                <w:sz w:val="22"/>
                <w:szCs w:val="22"/>
                <w:color w:val="auto"/>
                <w:w w:val="89"/>
              </w:rPr>
              <w:t>Packaging Corporation of America</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line="243" w:lineRule="exact"/>
              <w:rPr>
                <w:sz w:val="20"/>
                <w:szCs w:val="20"/>
                <w:color w:val="auto"/>
              </w:rPr>
            </w:pPr>
            <w:r>
              <w:rPr>
                <w:rFonts w:ascii="Arial" w:cs="Arial" w:eastAsia="Arial" w:hAnsi="Arial"/>
                <w:sz w:val="22"/>
                <w:szCs w:val="22"/>
                <w:color w:val="auto"/>
              </w:rPr>
              <w:t>Avery Dennison Corporation</w:t>
            </w:r>
          </w:p>
        </w:tc>
        <w:tc>
          <w:tcPr>
            <w:tcW w:w="142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480" w:type="dxa"/>
            <w:vAlign w:val="bottom"/>
          </w:tcPr>
          <w:p>
            <w:pPr>
              <w:ind w:left="460"/>
              <w:spacing w:after="0" w:line="243" w:lineRule="exact"/>
              <w:rPr>
                <w:sz w:val="20"/>
                <w:szCs w:val="20"/>
                <w:color w:val="auto"/>
              </w:rPr>
            </w:pPr>
            <w:r>
              <w:rPr>
                <w:rFonts w:ascii="Arial" w:cs="Arial" w:eastAsia="Arial" w:hAnsi="Arial"/>
                <w:sz w:val="22"/>
                <w:szCs w:val="22"/>
                <w:color w:val="auto"/>
              </w:rPr>
              <w:t>Sealed Air Corporation</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line="243" w:lineRule="exact"/>
              <w:rPr>
                <w:sz w:val="20"/>
                <w:szCs w:val="20"/>
                <w:color w:val="auto"/>
              </w:rPr>
            </w:pPr>
            <w:r>
              <w:rPr>
                <w:rFonts w:ascii="Arial" w:cs="Arial" w:eastAsia="Arial" w:hAnsi="Arial"/>
                <w:sz w:val="22"/>
                <w:szCs w:val="22"/>
                <w:color w:val="auto"/>
              </w:rPr>
              <w:t>Ball Corporation</w:t>
            </w:r>
          </w:p>
        </w:tc>
        <w:tc>
          <w:tcPr>
            <w:tcW w:w="142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480" w:type="dxa"/>
            <w:vAlign w:val="bottom"/>
          </w:tcPr>
          <w:p>
            <w:pPr>
              <w:ind w:left="460"/>
              <w:spacing w:after="0" w:line="243" w:lineRule="exact"/>
              <w:rPr>
                <w:sz w:val="20"/>
                <w:szCs w:val="20"/>
                <w:color w:val="auto"/>
              </w:rPr>
            </w:pPr>
            <w:r>
              <w:rPr>
                <w:rFonts w:ascii="Arial" w:cs="Arial" w:eastAsia="Arial" w:hAnsi="Arial"/>
                <w:sz w:val="22"/>
                <w:szCs w:val="22"/>
                <w:color w:val="auto"/>
              </w:rPr>
              <w:t>Silgan Holdings</w:t>
            </w:r>
          </w:p>
        </w:tc>
      </w:tr>
      <w:tr>
        <w:trPr>
          <w:trHeight w:val="243"/>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line="243" w:lineRule="exact"/>
              <w:rPr>
                <w:sz w:val="20"/>
                <w:szCs w:val="20"/>
                <w:color w:val="auto"/>
              </w:rPr>
            </w:pPr>
            <w:r>
              <w:rPr>
                <w:rFonts w:ascii="Arial" w:cs="Arial" w:eastAsia="Arial" w:hAnsi="Arial"/>
                <w:sz w:val="22"/>
                <w:szCs w:val="22"/>
                <w:color w:val="auto"/>
              </w:rPr>
              <w:t>Berry Global Group</w:t>
            </w:r>
          </w:p>
        </w:tc>
        <w:tc>
          <w:tcPr>
            <w:tcW w:w="142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3480" w:type="dxa"/>
            <w:vAlign w:val="bottom"/>
          </w:tcPr>
          <w:p>
            <w:pPr>
              <w:ind w:left="460"/>
              <w:spacing w:after="0" w:line="243" w:lineRule="exact"/>
              <w:rPr>
                <w:sz w:val="20"/>
                <w:szCs w:val="20"/>
                <w:color w:val="auto"/>
              </w:rPr>
            </w:pPr>
            <w:r>
              <w:rPr>
                <w:rFonts w:ascii="Arial" w:cs="Arial" w:eastAsia="Arial" w:hAnsi="Arial"/>
                <w:sz w:val="22"/>
                <w:szCs w:val="22"/>
                <w:color w:val="auto"/>
              </w:rPr>
              <w:t>Sonoco Products Company</w:t>
            </w:r>
          </w:p>
        </w:tc>
      </w:tr>
      <w:tr>
        <w:trPr>
          <w:trHeight w:val="261"/>
        </w:trPr>
        <w:tc>
          <w:tcPr>
            <w:tcW w:w="520" w:type="dxa"/>
            <w:vAlign w:val="bottom"/>
          </w:tcPr>
          <w:p>
            <w:pPr>
              <w:jc w:val="right"/>
              <w:ind w:right="379"/>
              <w:spacing w:after="0"/>
              <w:rPr>
                <w:sz w:val="20"/>
                <w:szCs w:val="20"/>
                <w:color w:val="auto"/>
              </w:rPr>
            </w:pPr>
            <w:r>
              <w:rPr>
                <w:rFonts w:ascii="Arial" w:cs="Arial" w:eastAsia="Arial" w:hAnsi="Arial"/>
                <w:sz w:val="16"/>
                <w:szCs w:val="16"/>
                <w:color w:val="auto"/>
                <w:w w:val="74"/>
              </w:rPr>
              <w:t>·</w:t>
            </w:r>
          </w:p>
        </w:tc>
        <w:tc>
          <w:tcPr>
            <w:tcW w:w="3860" w:type="dxa"/>
            <w:vAlign w:val="bottom"/>
          </w:tcPr>
          <w:p>
            <w:pPr>
              <w:ind w:left="460"/>
              <w:spacing w:after="0"/>
              <w:rPr>
                <w:sz w:val="20"/>
                <w:szCs w:val="20"/>
                <w:color w:val="auto"/>
              </w:rPr>
            </w:pPr>
            <w:r>
              <w:rPr>
                <w:rFonts w:ascii="Arial" w:cs="Arial" w:eastAsia="Arial" w:hAnsi="Arial"/>
                <w:sz w:val="22"/>
                <w:szCs w:val="22"/>
                <w:color w:val="auto"/>
              </w:rPr>
              <w:t>Graphic Packaging</w:t>
            </w:r>
          </w:p>
        </w:tc>
        <w:tc>
          <w:tcPr>
            <w:tcW w:w="142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3480" w:type="dxa"/>
            <w:vAlign w:val="bottom"/>
          </w:tcPr>
          <w:p>
            <w:pPr>
              <w:ind w:left="460"/>
              <w:spacing w:after="0"/>
              <w:rPr>
                <w:sz w:val="20"/>
                <w:szCs w:val="20"/>
                <w:color w:val="auto"/>
              </w:rPr>
            </w:pPr>
            <w:r>
              <w:rPr>
                <w:rFonts w:ascii="Arial" w:cs="Arial" w:eastAsia="Arial" w:hAnsi="Arial"/>
                <w:sz w:val="22"/>
                <w:szCs w:val="22"/>
                <w:color w:val="auto"/>
              </w:rPr>
              <w:t>WestRock</w:t>
            </w:r>
          </w:p>
        </w:tc>
      </w:tr>
    </w:tbl>
    <w:p>
      <w:pPr>
        <w:ind w:left="2000" w:hanging="980"/>
        <w:spacing w:after="0"/>
        <w:tabs>
          <w:tab w:leader="none" w:pos="20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International Paper</w:t>
      </w:r>
    </w:p>
    <w:p>
      <w:pPr>
        <w:spacing w:after="0" w:line="188"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i w:val="1"/>
          <w:iCs w:val="1"/>
          <w:color w:val="auto"/>
        </w:rPr>
        <w:t>Performance Vesting Schedule for TSR-Based Awards</w:t>
      </w:r>
      <w:r>
        <w:rPr>
          <w:rFonts w:ascii="Arial" w:cs="Arial" w:eastAsia="Arial" w:hAnsi="Arial"/>
          <w:sz w:val="21"/>
          <w:szCs w:val="21"/>
          <w:color w:val="auto"/>
        </w:rPr>
        <w:t>. The Committee determined that, for the portion of performance-based shares vesting on the basis of TSR, such shares would vest based on the following schedule.</w:t>
      </w:r>
    </w:p>
    <w:p>
      <w:pPr>
        <w:spacing w:after="0" w:line="260" w:lineRule="exact"/>
        <w:rPr>
          <w:sz w:val="20"/>
          <w:szCs w:val="20"/>
          <w:color w:val="auto"/>
        </w:rPr>
      </w:pPr>
    </w:p>
    <w:tbl>
      <w:tblPr>
        <w:tblLayout w:type="fixed"/>
        <w:tblInd w:w="1710" w:type="dxa"/>
        <w:tblCellMar>
          <w:top w:w="0" w:type="dxa"/>
          <w:left w:w="0" w:type="dxa"/>
          <w:bottom w:w="0" w:type="dxa"/>
          <w:right w:w="0" w:type="dxa"/>
        </w:tblCellMar>
      </w:tblPr>
      <w:tr>
        <w:trPr>
          <w:trHeight w:val="229"/>
        </w:trPr>
        <w:tc>
          <w:tcPr>
            <w:tcW w:w="3320" w:type="dxa"/>
            <w:vAlign w:val="bottom"/>
            <w:tcBorders>
              <w:top w:val="single" w:sz="8" w:color="auto"/>
              <w:left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90"/>
              </w:rPr>
              <w:t>TSR Percentile Ranking</w:t>
            </w:r>
          </w:p>
        </w:tc>
        <w:tc>
          <w:tcPr>
            <w:tcW w:w="4540" w:type="dxa"/>
            <w:vAlign w:val="bottom"/>
            <w:tcBorders>
              <w:top w:val="single" w:sz="8" w:color="auto"/>
              <w:right w:val="single" w:sz="8" w:color="auto"/>
            </w:tcBorders>
            <w:vMerge w:val="restart"/>
            <w:shd w:val="clear" w:color="auto" w:fill="29650B"/>
          </w:tcPr>
          <w:p>
            <w:pPr>
              <w:jc w:val="right"/>
              <w:ind w:right="852"/>
              <w:spacing w:after="0"/>
              <w:rPr>
                <w:sz w:val="20"/>
                <w:szCs w:val="20"/>
                <w:color w:val="auto"/>
              </w:rPr>
            </w:pPr>
            <w:r>
              <w:rPr>
                <w:rFonts w:ascii="Arial" w:cs="Arial" w:eastAsia="Arial" w:hAnsi="Arial"/>
                <w:sz w:val="22"/>
                <w:szCs w:val="22"/>
                <w:b w:val="1"/>
                <w:bCs w:val="1"/>
                <w:color w:val="FFFFFF"/>
              </w:rPr>
              <w:t>Percentage of Shares Vesting</w:t>
            </w:r>
          </w:p>
        </w:tc>
        <w:tc>
          <w:tcPr>
            <w:tcW w:w="0" w:type="dxa"/>
            <w:vAlign w:val="bottom"/>
          </w:tcPr>
          <w:p>
            <w:pPr>
              <w:spacing w:after="0"/>
              <w:rPr>
                <w:sz w:val="1"/>
                <w:szCs w:val="1"/>
                <w:color w:val="auto"/>
              </w:rPr>
            </w:pPr>
          </w:p>
        </w:tc>
      </w:tr>
      <w:tr>
        <w:trPr>
          <w:trHeight w:val="159"/>
        </w:trPr>
        <w:tc>
          <w:tcPr>
            <w:tcW w:w="332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Versus Peers</w:t>
            </w:r>
          </w:p>
        </w:tc>
        <w:tc>
          <w:tcPr>
            <w:tcW w:w="4540" w:type="dxa"/>
            <w:vAlign w:val="bottom"/>
            <w:tcBorders>
              <w:right w:val="single" w:sz="8" w:color="auto"/>
            </w:tcBorders>
            <w:vMerge w:val="continue"/>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2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454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90</w:t>
            </w:r>
            <w:r>
              <w:rPr>
                <w:rFonts w:ascii="Arial" w:cs="Arial" w:eastAsia="Arial" w:hAnsi="Arial"/>
                <w:sz w:val="35"/>
                <w:szCs w:val="35"/>
                <w:color w:val="auto"/>
                <w:w w:val="88"/>
                <w:vertAlign w:val="superscript"/>
              </w:rPr>
              <w:t>th</w:t>
            </w:r>
            <w:r>
              <w:rPr>
                <w:rFonts w:ascii="Arial" w:cs="Arial" w:eastAsia="Arial" w:hAnsi="Arial"/>
                <w:sz w:val="22"/>
                <w:szCs w:val="22"/>
                <w:color w:val="auto"/>
                <w:w w:val="88"/>
              </w:rPr>
              <w:t xml:space="preserve"> or Above</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75</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89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150-199%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50</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74</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100-149%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40</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49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50-99%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25</w:t>
            </w:r>
            <w:r>
              <w:rPr>
                <w:rFonts w:ascii="Arial" w:cs="Arial" w:eastAsia="Arial" w:hAnsi="Arial"/>
                <w:sz w:val="35"/>
                <w:szCs w:val="35"/>
                <w:color w:val="auto"/>
                <w:w w:val="81"/>
                <w:vertAlign w:val="superscript"/>
              </w:rPr>
              <w:t>th</w:t>
            </w:r>
            <w:r>
              <w:rPr>
                <w:rFonts w:ascii="Arial" w:cs="Arial" w:eastAsia="Arial" w:hAnsi="Arial"/>
                <w:sz w:val="22"/>
                <w:szCs w:val="22"/>
                <w:color w:val="auto"/>
                <w:w w:val="81"/>
              </w:rPr>
              <w:t xml:space="preserve"> – 39</w:t>
            </w:r>
            <w:r>
              <w:rPr>
                <w:rFonts w:ascii="Arial" w:cs="Arial" w:eastAsia="Arial" w:hAnsi="Arial"/>
                <w:sz w:val="35"/>
                <w:szCs w:val="35"/>
                <w:color w:val="auto"/>
                <w:w w:val="81"/>
                <w:vertAlign w:val="superscript"/>
              </w:rPr>
              <w:t>th</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25-49%</w:t>
            </w:r>
          </w:p>
        </w:tc>
        <w:tc>
          <w:tcPr>
            <w:tcW w:w="0" w:type="dxa"/>
            <w:vAlign w:val="bottom"/>
          </w:tcPr>
          <w:p>
            <w:pPr>
              <w:spacing w:after="0"/>
              <w:rPr>
                <w:sz w:val="1"/>
                <w:szCs w:val="1"/>
                <w:color w:val="auto"/>
              </w:rPr>
            </w:pPr>
          </w:p>
        </w:tc>
      </w:tr>
      <w:tr>
        <w:trPr>
          <w:trHeight w:val="412"/>
        </w:trPr>
        <w:tc>
          <w:tcPr>
            <w:tcW w:w="3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9"/>
              </w:rPr>
              <w:t>Below 25</w:t>
            </w:r>
            <w:r>
              <w:rPr>
                <w:rFonts w:ascii="Arial" w:cs="Arial" w:eastAsia="Arial" w:hAnsi="Arial"/>
                <w:sz w:val="35"/>
                <w:szCs w:val="35"/>
                <w:color w:val="auto"/>
                <w:w w:val="89"/>
                <w:vertAlign w:val="superscript"/>
              </w:rPr>
              <w:t>th</w:t>
            </w:r>
          </w:p>
        </w:tc>
        <w:tc>
          <w:tcPr>
            <w:tcW w:w="4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0%</w:t>
            </w:r>
          </w:p>
        </w:tc>
        <w:tc>
          <w:tcPr>
            <w:tcW w:w="0" w:type="dxa"/>
            <w:vAlign w:val="bottom"/>
          </w:tcPr>
          <w:p>
            <w:pPr>
              <w:spacing w:after="0"/>
              <w:rPr>
                <w:sz w:val="1"/>
                <w:szCs w:val="1"/>
                <w:color w:val="auto"/>
              </w:rPr>
            </w:pPr>
          </w:p>
        </w:tc>
      </w:tr>
      <w:tr>
        <w:trPr>
          <w:trHeight w:val="705"/>
        </w:trPr>
        <w:tc>
          <w:tcPr>
            <w:tcW w:w="3320" w:type="dxa"/>
            <w:vAlign w:val="bottom"/>
          </w:tcPr>
          <w:p>
            <w:pPr>
              <w:spacing w:after="0"/>
              <w:rPr>
                <w:sz w:val="24"/>
                <w:szCs w:val="24"/>
                <w:color w:val="auto"/>
              </w:rPr>
            </w:pPr>
          </w:p>
        </w:tc>
        <w:tc>
          <w:tcPr>
            <w:tcW w:w="4540" w:type="dxa"/>
            <w:vAlign w:val="bottom"/>
          </w:tcPr>
          <w:p>
            <w:pPr>
              <w:jc w:val="right"/>
              <w:ind w:right="3752"/>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bl>
    <w:p>
      <w:pPr>
        <w:sectPr>
          <w:pgSz w:w="11900" w:h="16838" w:orient="portrait"/>
          <w:cols w:equalWidth="0" w:num="1">
            <w:col w:w="11240"/>
          </w:cols>
          <w:pgMar w:left="320" w:top="469" w:right="339" w:bottom="1440" w:gutter="0" w:footer="0" w:header="0"/>
        </w:sectPr>
      </w:pPr>
    </w:p>
    <w:bookmarkStart w:id="46" w:name="page47"/>
    <w:bookmarkEnd w:id="46"/>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Calculation of TSR. </w:t>
      </w:r>
      <w:r>
        <w:rPr>
          <w:rFonts w:ascii="Arial" w:cs="Arial" w:eastAsia="Arial" w:hAnsi="Arial"/>
          <w:sz w:val="19"/>
          <w:szCs w:val="19"/>
          <w:color w:val="auto"/>
        </w:rPr>
        <w:t>TSR is calculated by dividing the closing share price of a company’s common stock on the ending</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the 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i w:val="1"/>
          <w:iCs w:val="1"/>
          <w:color w:val="auto"/>
        </w:rPr>
        <w:t>Performance Vesting Schedule for ROIC-Based Awards</w:t>
      </w:r>
      <w:r>
        <w:rPr>
          <w:rFonts w:ascii="Arial" w:cs="Arial" w:eastAsia="Arial" w:hAnsi="Arial"/>
          <w:sz w:val="22"/>
          <w:szCs w:val="22"/>
          <w:color w:val="auto"/>
        </w:rPr>
        <w:t>. The Committee determined that, for the portion of performance-based shares vesting on the basis of ROIC, such shares would vest on the following schedule.</w:t>
      </w:r>
    </w:p>
    <w:p>
      <w:pPr>
        <w:spacing w:after="0" w:line="176" w:lineRule="exact"/>
        <w:rPr>
          <w:sz w:val="20"/>
          <w:szCs w:val="20"/>
          <w:color w:val="auto"/>
        </w:rPr>
      </w:pPr>
    </w:p>
    <w:tbl>
      <w:tblPr>
        <w:tblLayout w:type="fixed"/>
        <w:tblInd w:w="1710" w:type="dxa"/>
        <w:tblCellMar>
          <w:top w:w="0" w:type="dxa"/>
          <w:left w:w="0" w:type="dxa"/>
          <w:bottom w:w="0" w:type="dxa"/>
          <w:right w:w="0" w:type="dxa"/>
        </w:tblCellMar>
      </w:tblPr>
      <w:tr>
        <w:trPr>
          <w:trHeight w:val="348"/>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rPr>
              <w:t>ROIC</w:t>
            </w:r>
          </w:p>
        </w:tc>
        <w:tc>
          <w:tcPr>
            <w:tcW w:w="4080" w:type="dxa"/>
            <w:vAlign w:val="bottom"/>
            <w:tcBorders>
              <w:top w:val="single" w:sz="8" w:color="auto"/>
              <w:right w:val="single" w:sz="8" w:color="auto"/>
            </w:tcBorders>
            <w:shd w:val="clear" w:color="auto" w:fill="29650B"/>
          </w:tcPr>
          <w:p>
            <w:pPr>
              <w:ind w:left="700"/>
              <w:spacing w:after="0"/>
              <w:rPr>
                <w:sz w:val="20"/>
                <w:szCs w:val="20"/>
                <w:color w:val="auto"/>
              </w:rPr>
            </w:pPr>
            <w:r>
              <w:rPr>
                <w:rFonts w:ascii="Arial" w:cs="Arial" w:eastAsia="Arial" w:hAnsi="Arial"/>
                <w:sz w:val="22"/>
                <w:szCs w:val="22"/>
                <w:b w:val="1"/>
                <w:bCs w:val="1"/>
                <w:color w:val="FFFFFF"/>
              </w:rPr>
              <w:t>Percentage of Shares Vesting</w:t>
            </w:r>
          </w:p>
        </w:tc>
      </w:tr>
      <w:tr>
        <w:trPr>
          <w:trHeight w:val="84"/>
        </w:trPr>
        <w:tc>
          <w:tcPr>
            <w:tcW w:w="378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4080" w:type="dxa"/>
            <w:vAlign w:val="bottom"/>
            <w:tcBorders>
              <w:bottom w:val="single" w:sz="8" w:color="auto"/>
              <w:right w:val="single" w:sz="8" w:color="auto"/>
            </w:tcBorders>
            <w:shd w:val="clear" w:color="auto" w:fill="29650B"/>
          </w:tcPr>
          <w:p>
            <w:pPr>
              <w:spacing w:after="0"/>
              <w:rPr>
                <w:sz w:val="7"/>
                <w:szCs w:val="7"/>
                <w:color w:val="auto"/>
              </w:rPr>
            </w:pPr>
          </w:p>
        </w:tc>
      </w:tr>
      <w:tr>
        <w:trPr>
          <w:trHeight w:val="328"/>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11.7% or Above</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84"/>
        </w:trPr>
        <w:tc>
          <w:tcPr>
            <w:tcW w:w="37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r>
        <w:trPr>
          <w:trHeight w:val="328"/>
        </w:trPr>
        <w:tc>
          <w:tcPr>
            <w:tcW w:w="3780" w:type="dxa"/>
            <w:vAlign w:val="bottom"/>
            <w:tcBorders>
              <w:left w:val="single" w:sz="8" w:color="auto"/>
              <w:right w:val="single" w:sz="8" w:color="auto"/>
            </w:tcBorders>
            <w:shd w:val="clear" w:color="auto" w:fill="D9D9D9"/>
          </w:tcPr>
          <w:p>
            <w:pPr>
              <w:jc w:val="right"/>
              <w:ind w:right="1512"/>
              <w:spacing w:after="0"/>
              <w:rPr>
                <w:sz w:val="20"/>
                <w:szCs w:val="20"/>
                <w:color w:val="auto"/>
              </w:rPr>
            </w:pPr>
            <w:r>
              <w:rPr>
                <w:rFonts w:ascii="Arial" w:cs="Arial" w:eastAsia="Arial" w:hAnsi="Arial"/>
                <w:sz w:val="22"/>
                <w:szCs w:val="22"/>
                <w:color w:val="auto"/>
              </w:rPr>
              <w:t>10.7%</w:t>
            </w:r>
          </w:p>
        </w:tc>
        <w:tc>
          <w:tcPr>
            <w:tcW w:w="4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8"/>
              </w:rPr>
              <w:t>100%</w:t>
            </w:r>
          </w:p>
        </w:tc>
      </w:tr>
      <w:tr>
        <w:trPr>
          <w:trHeight w:val="84"/>
        </w:trPr>
        <w:tc>
          <w:tcPr>
            <w:tcW w:w="37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4080" w:type="dxa"/>
            <w:vAlign w:val="bottom"/>
            <w:tcBorders>
              <w:bottom w:val="single" w:sz="8" w:color="auto"/>
              <w:right w:val="single" w:sz="8" w:color="auto"/>
            </w:tcBorders>
            <w:shd w:val="clear" w:color="auto" w:fill="D9D9D9"/>
          </w:tcPr>
          <w:p>
            <w:pPr>
              <w:spacing w:after="0"/>
              <w:rPr>
                <w:sz w:val="7"/>
                <w:szCs w:val="7"/>
                <w:color w:val="auto"/>
              </w:rPr>
            </w:pPr>
          </w:p>
        </w:tc>
      </w:tr>
      <w:tr>
        <w:trPr>
          <w:trHeight w:val="328"/>
        </w:trPr>
        <w:tc>
          <w:tcPr>
            <w:tcW w:w="3780" w:type="dxa"/>
            <w:vAlign w:val="bottom"/>
            <w:tcBorders>
              <w:left w:val="single" w:sz="8" w:color="auto"/>
              <w:right w:val="single" w:sz="8" w:color="auto"/>
            </w:tcBorders>
          </w:tcPr>
          <w:p>
            <w:pPr>
              <w:jc w:val="right"/>
              <w:ind w:right="1552"/>
              <w:spacing w:after="0"/>
              <w:rPr>
                <w:sz w:val="20"/>
                <w:szCs w:val="20"/>
                <w:color w:val="auto"/>
              </w:rPr>
            </w:pPr>
            <w:r>
              <w:rPr>
                <w:rFonts w:ascii="Arial" w:cs="Arial" w:eastAsia="Arial" w:hAnsi="Arial"/>
                <w:sz w:val="22"/>
                <w:szCs w:val="22"/>
                <w:color w:val="auto"/>
              </w:rPr>
              <w:t>9.7%</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25%</w:t>
            </w:r>
          </w:p>
        </w:tc>
      </w:tr>
      <w:tr>
        <w:trPr>
          <w:trHeight w:val="84"/>
        </w:trPr>
        <w:tc>
          <w:tcPr>
            <w:tcW w:w="3780" w:type="dxa"/>
            <w:vAlign w:val="bottom"/>
            <w:tcBorders>
              <w:left w:val="single" w:sz="8" w:color="auto"/>
              <w:bottom w:val="single" w:sz="8" w:color="auto"/>
              <w:right w:val="single" w:sz="8" w:color="auto"/>
            </w:tcBorders>
          </w:tcPr>
          <w:p>
            <w:pPr>
              <w:spacing w:after="0"/>
              <w:rPr>
                <w:sz w:val="7"/>
                <w:szCs w:val="7"/>
                <w:color w:val="auto"/>
              </w:rPr>
            </w:pPr>
          </w:p>
        </w:tc>
        <w:tc>
          <w:tcPr>
            <w:tcW w:w="4080" w:type="dxa"/>
            <w:vAlign w:val="bottom"/>
            <w:tcBorders>
              <w:bottom w:val="single" w:sz="8" w:color="auto"/>
              <w:right w:val="single" w:sz="8" w:color="auto"/>
            </w:tcBorders>
          </w:tcPr>
          <w:p>
            <w:pPr>
              <w:spacing w:after="0"/>
              <w:rPr>
                <w:sz w:val="7"/>
                <w:szCs w:val="7"/>
                <w:color w:val="auto"/>
              </w:rPr>
            </w:pPr>
          </w:p>
        </w:tc>
      </w:tr>
      <w:tr>
        <w:trPr>
          <w:trHeight w:val="325"/>
        </w:trPr>
        <w:tc>
          <w:tcPr>
            <w:tcW w:w="37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1"/>
              </w:rPr>
              <w:t>Below 9.7%</w:t>
            </w:r>
          </w:p>
        </w:tc>
        <w:tc>
          <w:tcPr>
            <w:tcW w:w="40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4"/>
              </w:rPr>
              <w:t>0%</w:t>
            </w:r>
          </w:p>
        </w:tc>
      </w:tr>
      <w:tr>
        <w:trPr>
          <w:trHeight w:val="20"/>
        </w:trPr>
        <w:tc>
          <w:tcPr>
            <w:tcW w:w="3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80" w:type="dxa"/>
            <w:vAlign w:val="bottom"/>
            <w:tcBorders>
              <w:right w:val="single" w:sz="8" w:color="auto"/>
            </w:tcBorders>
            <w:shd w:val="clear" w:color="auto" w:fill="000000"/>
          </w:tcPr>
          <w:p>
            <w:pPr>
              <w:spacing w:after="0" w:line="20" w:lineRule="exact"/>
              <w:rPr>
                <w:sz w:val="1"/>
                <w:szCs w:val="1"/>
                <w:color w:val="auto"/>
              </w:rPr>
            </w:pPr>
          </w:p>
        </w:tc>
      </w:tr>
    </w:tbl>
    <w:p>
      <w:pPr>
        <w:spacing w:after="0" w:line="2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Calculation of ROIC. </w:t>
      </w:r>
      <w:r>
        <w:rPr>
          <w:rFonts w:ascii="Arial" w:cs="Arial" w:eastAsia="Arial" w:hAnsi="Arial"/>
          <w:sz w:val="21"/>
          <w:szCs w:val="21"/>
          <w:color w:val="auto"/>
        </w:rPr>
        <w:t>ROIC is calculated by dividing the Company’s after-tax segment income from continuing</w:t>
      </w:r>
      <w:r>
        <w:rPr>
          <w:rFonts w:ascii="Arial" w:cs="Arial" w:eastAsia="Arial" w:hAnsi="Arial"/>
          <w:sz w:val="21"/>
          <w:szCs w:val="21"/>
          <w:i w:val="1"/>
          <w:iCs w:val="1"/>
          <w:color w:val="auto"/>
        </w:rPr>
        <w:t xml:space="preserve"> </w:t>
      </w:r>
      <w:r>
        <w:rPr>
          <w:rFonts w:ascii="Arial" w:cs="Arial" w:eastAsia="Arial" w:hAnsi="Arial"/>
          <w:sz w:val="21"/>
          <w:szCs w:val="21"/>
          <w:color w:val="auto"/>
        </w:rPr>
        <w:t>operations, adjusted for pension 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10.7%. In the event that the Company’s ROIC is between the specified percentiles, the vesting percentage is pro-rated on a straight-line basis.</w:t>
      </w:r>
    </w:p>
    <w:p>
      <w:pPr>
        <w:spacing w:after="0" w:line="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2020 Long-Term Equity Incentive Awards</w:t>
      </w:r>
      <w:r>
        <w:rPr>
          <w:rFonts w:ascii="Arial" w:cs="Arial" w:eastAsia="Arial" w:hAnsi="Arial"/>
          <w:sz w:val="21"/>
          <w:szCs w:val="21"/>
          <w:color w:val="auto"/>
        </w:rPr>
        <w:t>. The first table below sets forth the number of time-based restricted shares</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to the NEOs for 2020. The second table below sets forth the target number of performance-based restricted shares granted to the NEOs for 2020 as well as the minimum and maximum number of performance-based shares that may vest. Vesting of performance-based share awards is based on two criteria: the Company’s TSR relative to the industry peer group over the applicable performance period and the Company’s ROIC over the same three-year performance period relative to the Company’s projected three-year average of ROIC. The tables also set forth the fair value of the shares on the date of grant. With respect to the annual 2020 grants awarded to the NEOs, fair value was based on a share price of $70.31 on the date immediately preceding the date of grant for time-based restricted stock and the portion of the performance-based restricted stock that vests on the basis of ROIC and $75.68 for the portion of the performance-based restricted stock that vests on the basis of TSR (based on a Monte Carlo valuation model).</w:t>
      </w:r>
    </w:p>
    <w:p>
      <w:pPr>
        <w:spacing w:after="0" w:line="236" w:lineRule="exact"/>
        <w:rPr>
          <w:sz w:val="20"/>
          <w:szCs w:val="20"/>
          <w:color w:val="auto"/>
        </w:rPr>
      </w:pPr>
    </w:p>
    <w:tbl>
      <w:tblPr>
        <w:tblLayout w:type="fixed"/>
        <w:tblInd w:w="1150" w:type="dxa"/>
        <w:tblCellMar>
          <w:top w:w="0" w:type="dxa"/>
          <w:left w:w="0" w:type="dxa"/>
          <w:bottom w:w="0" w:type="dxa"/>
          <w:right w:w="0" w:type="dxa"/>
        </w:tblCellMar>
      </w:tblPr>
      <w:tr>
        <w:trPr>
          <w:trHeight w:val="348"/>
        </w:trPr>
        <w:tc>
          <w:tcPr>
            <w:tcW w:w="3080" w:type="dxa"/>
            <w:vAlign w:val="bottom"/>
            <w:tcBorders>
              <w:top w:val="single" w:sz="8" w:color="auto"/>
              <w:left w:val="single" w:sz="8" w:color="auto"/>
              <w:right w:val="single" w:sz="8" w:color="auto"/>
            </w:tcBorders>
            <w:vMerge w:val="restart"/>
            <w:shd w:val="clear" w:color="auto" w:fill="29650B"/>
          </w:tcPr>
          <w:p>
            <w:pPr>
              <w:ind w:left="1260"/>
              <w:spacing w:after="0"/>
              <w:rPr>
                <w:sz w:val="20"/>
                <w:szCs w:val="20"/>
                <w:color w:val="auto"/>
              </w:rPr>
            </w:pPr>
            <w:r>
              <w:rPr>
                <w:rFonts w:ascii="Arial" w:cs="Arial" w:eastAsia="Arial" w:hAnsi="Arial"/>
                <w:sz w:val="22"/>
                <w:szCs w:val="22"/>
                <w:b w:val="1"/>
                <w:bCs w:val="1"/>
                <w:color w:val="FFFFFF"/>
              </w:rPr>
              <w:t>Name</w:t>
            </w:r>
          </w:p>
        </w:tc>
        <w:tc>
          <w:tcPr>
            <w:tcW w:w="5900" w:type="dxa"/>
            <w:vAlign w:val="bottom"/>
            <w:tcBorders>
              <w:top w:val="single" w:sz="8" w:color="auto"/>
              <w:right w:val="single" w:sz="8" w:color="auto"/>
            </w:tcBorders>
            <w:gridSpan w:val="2"/>
            <w:shd w:val="clear" w:color="auto" w:fill="29650B"/>
          </w:tcPr>
          <w:p>
            <w:pPr>
              <w:jc w:val="right"/>
              <w:ind w:right="1532"/>
              <w:spacing w:after="0"/>
              <w:rPr>
                <w:sz w:val="20"/>
                <w:szCs w:val="20"/>
                <w:color w:val="auto"/>
              </w:rPr>
            </w:pPr>
            <w:r>
              <w:rPr>
                <w:rFonts w:ascii="Arial" w:cs="Arial" w:eastAsia="Arial" w:hAnsi="Arial"/>
                <w:sz w:val="22"/>
                <w:szCs w:val="22"/>
                <w:b w:val="1"/>
                <w:bCs w:val="1"/>
                <w:color w:val="FFFFFF"/>
              </w:rPr>
              <w:t>Time-Based Restricted Stock</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vMerge w:val="continue"/>
            <w:shd w:val="clear" w:color="auto" w:fill="29650B"/>
          </w:tcPr>
          <w:p>
            <w:pPr>
              <w:spacing w:after="0"/>
              <w:rPr>
                <w:sz w:val="7"/>
                <w:szCs w:val="7"/>
                <w:color w:val="auto"/>
              </w:rPr>
            </w:pPr>
          </w:p>
        </w:tc>
        <w:tc>
          <w:tcPr>
            <w:tcW w:w="2680" w:type="dxa"/>
            <w:vAlign w:val="bottom"/>
            <w:tcBorders>
              <w:bottom w:val="single" w:sz="8" w:color="auto"/>
              <w:right w:val="single" w:sz="8" w:color="29650B"/>
            </w:tcBorders>
            <w:shd w:val="clear" w:color="auto" w:fill="29650B"/>
          </w:tcPr>
          <w:p>
            <w:pPr>
              <w:spacing w:after="0"/>
              <w:rPr>
                <w:sz w:val="7"/>
                <w:szCs w:val="7"/>
                <w:color w:val="auto"/>
              </w:rPr>
            </w:pPr>
          </w:p>
        </w:tc>
        <w:tc>
          <w:tcPr>
            <w:tcW w:w="322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0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680" w:type="dxa"/>
            <w:vAlign w:val="bottom"/>
            <w:tcBorders>
              <w:right w:val="single" w:sz="8" w:color="auto"/>
            </w:tcBorders>
            <w:vMerge w:val="restart"/>
            <w:shd w:val="clear" w:color="auto" w:fill="29650B"/>
          </w:tcPr>
          <w:p>
            <w:pPr>
              <w:jc w:val="right"/>
              <w:ind w:right="952"/>
              <w:spacing w:after="0"/>
              <w:rPr>
                <w:sz w:val="20"/>
                <w:szCs w:val="20"/>
                <w:color w:val="auto"/>
              </w:rPr>
            </w:pPr>
            <w:r>
              <w:rPr>
                <w:rFonts w:ascii="Arial" w:cs="Arial" w:eastAsia="Arial" w:hAnsi="Arial"/>
                <w:sz w:val="22"/>
                <w:szCs w:val="22"/>
                <w:b w:val="1"/>
                <w:bCs w:val="1"/>
                <w:color w:val="FFFFFF"/>
              </w:rPr>
              <w:t>Shares</w:t>
            </w:r>
          </w:p>
        </w:tc>
        <w:tc>
          <w:tcPr>
            <w:tcW w:w="3220" w:type="dxa"/>
            <w:vAlign w:val="bottom"/>
            <w:tcBorders>
              <w:right w:val="single" w:sz="8" w:color="auto"/>
            </w:tcBorders>
            <w:vMerge w:val="restart"/>
            <w:shd w:val="clear" w:color="auto" w:fill="29650B"/>
          </w:tcPr>
          <w:p>
            <w:pPr>
              <w:jc w:val="right"/>
              <w:ind w:right="932"/>
              <w:spacing w:after="0"/>
              <w:rPr>
                <w:sz w:val="20"/>
                <w:szCs w:val="20"/>
                <w:color w:val="auto"/>
              </w:rPr>
            </w:pPr>
            <w:r>
              <w:rPr>
                <w:rFonts w:ascii="Arial" w:cs="Arial" w:eastAsia="Arial" w:hAnsi="Arial"/>
                <w:sz w:val="22"/>
                <w:szCs w:val="22"/>
                <w:b w:val="1"/>
                <w:bCs w:val="1"/>
                <w:color w:val="FFFFFF"/>
              </w:rPr>
              <w:t>Award Value</w:t>
            </w:r>
          </w:p>
        </w:tc>
        <w:tc>
          <w:tcPr>
            <w:tcW w:w="0" w:type="dxa"/>
            <w:vAlign w:val="bottom"/>
          </w:tcPr>
          <w:p>
            <w:pPr>
              <w:spacing w:after="0"/>
              <w:rPr>
                <w:sz w:val="1"/>
                <w:szCs w:val="1"/>
                <w:color w:val="auto"/>
              </w:rPr>
            </w:pPr>
          </w:p>
        </w:tc>
      </w:tr>
      <w:tr>
        <w:trPr>
          <w:trHeight w:val="216"/>
        </w:trPr>
        <w:tc>
          <w:tcPr>
            <w:tcW w:w="3080" w:type="dxa"/>
            <w:vAlign w:val="bottom"/>
            <w:tcBorders>
              <w:left w:val="single" w:sz="8" w:color="auto"/>
              <w:right w:val="single" w:sz="8" w:color="auto"/>
            </w:tcBorders>
            <w:shd w:val="clear" w:color="auto" w:fill="29650B"/>
          </w:tcPr>
          <w:p>
            <w:pPr>
              <w:spacing w:after="0"/>
              <w:rPr>
                <w:sz w:val="18"/>
                <w:szCs w:val="18"/>
                <w:color w:val="auto"/>
              </w:rPr>
            </w:pPr>
          </w:p>
        </w:tc>
        <w:tc>
          <w:tcPr>
            <w:tcW w:w="2680" w:type="dxa"/>
            <w:vAlign w:val="bottom"/>
            <w:tcBorders>
              <w:right w:val="single" w:sz="8" w:color="auto"/>
            </w:tcBorders>
            <w:vMerge w:val="continue"/>
            <w:shd w:val="clear" w:color="auto" w:fill="29650B"/>
          </w:tcPr>
          <w:p>
            <w:pPr>
              <w:spacing w:after="0"/>
              <w:rPr>
                <w:sz w:val="18"/>
                <w:szCs w:val="18"/>
                <w:color w:val="auto"/>
              </w:rPr>
            </w:pPr>
          </w:p>
        </w:tc>
        <w:tc>
          <w:tcPr>
            <w:tcW w:w="3220" w:type="dxa"/>
            <w:vAlign w:val="bottom"/>
            <w:tcBorders>
              <w:right w:val="single" w:sz="8" w:color="auto"/>
            </w:tcBorders>
            <w:vMerge w:val="continue"/>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308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2680" w:type="dxa"/>
            <w:vAlign w:val="bottom"/>
            <w:tcBorders>
              <w:bottom w:val="single" w:sz="8" w:color="auto"/>
              <w:right w:val="single" w:sz="8" w:color="auto"/>
            </w:tcBorders>
            <w:shd w:val="clear" w:color="auto" w:fill="29650B"/>
          </w:tcPr>
          <w:p>
            <w:pPr>
              <w:spacing w:after="0"/>
              <w:rPr>
                <w:sz w:val="7"/>
                <w:szCs w:val="7"/>
                <w:color w:val="auto"/>
              </w:rPr>
            </w:pPr>
          </w:p>
        </w:tc>
        <w:tc>
          <w:tcPr>
            <w:tcW w:w="322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Timothy Donahue</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29,583</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$2,079,981</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Thomas Kelly</w:t>
            </w:r>
          </w:p>
        </w:tc>
        <w:tc>
          <w:tcPr>
            <w:tcW w:w="2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6,059</w:t>
            </w:r>
          </w:p>
        </w:tc>
        <w:tc>
          <w:tcPr>
            <w:tcW w:w="3220" w:type="dxa"/>
            <w:vAlign w:val="bottom"/>
            <w:tcBorders>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426,008</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680" w:type="dxa"/>
            <w:vAlign w:val="bottom"/>
            <w:tcBorders>
              <w:bottom w:val="single" w:sz="8" w:color="auto"/>
              <w:right w:val="single" w:sz="8" w:color="auto"/>
            </w:tcBorders>
            <w:shd w:val="clear" w:color="auto" w:fill="D9D9D9"/>
          </w:tcPr>
          <w:p>
            <w:pPr>
              <w:spacing w:after="0"/>
              <w:rPr>
                <w:sz w:val="7"/>
                <w:szCs w:val="7"/>
                <w:color w:val="auto"/>
              </w:rPr>
            </w:pPr>
          </w:p>
        </w:tc>
        <w:tc>
          <w:tcPr>
            <w:tcW w:w="32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Gerard Gifford</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8,655</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608,533</w:t>
            </w:r>
          </w:p>
        </w:tc>
        <w:tc>
          <w:tcPr>
            <w:tcW w:w="0" w:type="dxa"/>
            <w:vAlign w:val="bottom"/>
          </w:tcPr>
          <w:p>
            <w:pPr>
              <w:spacing w:after="0"/>
              <w:rPr>
                <w:sz w:val="1"/>
                <w:szCs w:val="1"/>
                <w:color w:val="auto"/>
              </w:rPr>
            </w:pPr>
          </w:p>
        </w:tc>
      </w:tr>
      <w:tr>
        <w:trPr>
          <w:trHeight w:val="85"/>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Didier Sourisseau</w:t>
            </w:r>
          </w:p>
        </w:tc>
        <w:tc>
          <w:tcPr>
            <w:tcW w:w="26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7"/>
              </w:rPr>
              <w:t>5,028</w:t>
            </w:r>
          </w:p>
        </w:tc>
        <w:tc>
          <w:tcPr>
            <w:tcW w:w="3220" w:type="dxa"/>
            <w:vAlign w:val="bottom"/>
            <w:tcBorders>
              <w:right w:val="single" w:sz="8" w:color="auto"/>
            </w:tcBorders>
            <w:shd w:val="clear" w:color="auto" w:fill="D9D9D9"/>
          </w:tcPr>
          <w:p>
            <w:pPr>
              <w:jc w:val="right"/>
              <w:ind w:right="732"/>
              <w:spacing w:after="0"/>
              <w:rPr>
                <w:sz w:val="20"/>
                <w:szCs w:val="20"/>
                <w:color w:val="auto"/>
              </w:rPr>
            </w:pPr>
            <w:r>
              <w:rPr>
                <w:rFonts w:ascii="Arial" w:cs="Arial" w:eastAsia="Arial" w:hAnsi="Arial"/>
                <w:sz w:val="22"/>
                <w:szCs w:val="22"/>
                <w:color w:val="auto"/>
              </w:rPr>
              <w:t>353,519</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680" w:type="dxa"/>
            <w:vAlign w:val="bottom"/>
            <w:tcBorders>
              <w:bottom w:val="single" w:sz="8" w:color="auto"/>
              <w:right w:val="single" w:sz="8" w:color="auto"/>
            </w:tcBorders>
            <w:shd w:val="clear" w:color="auto" w:fill="D9D9D9"/>
          </w:tcPr>
          <w:p>
            <w:pPr>
              <w:spacing w:after="0"/>
              <w:rPr>
                <w:sz w:val="7"/>
                <w:szCs w:val="7"/>
                <w:color w:val="auto"/>
              </w:rPr>
            </w:pPr>
          </w:p>
        </w:tc>
        <w:tc>
          <w:tcPr>
            <w:tcW w:w="32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3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Djalma Novaes</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4,978</w:t>
            </w:r>
          </w:p>
        </w:tc>
        <w:tc>
          <w:tcPr>
            <w:tcW w:w="3220" w:type="dxa"/>
            <w:vAlign w:val="bottom"/>
            <w:tcBorders>
              <w:right w:val="single" w:sz="8" w:color="auto"/>
            </w:tcBorders>
          </w:tcPr>
          <w:p>
            <w:pPr>
              <w:jc w:val="right"/>
              <w:ind w:right="732"/>
              <w:spacing w:after="0"/>
              <w:rPr>
                <w:sz w:val="20"/>
                <w:szCs w:val="20"/>
                <w:color w:val="auto"/>
              </w:rPr>
            </w:pPr>
            <w:r>
              <w:rPr>
                <w:rFonts w:ascii="Arial" w:cs="Arial" w:eastAsia="Arial" w:hAnsi="Arial"/>
                <w:sz w:val="22"/>
                <w:szCs w:val="22"/>
                <w:color w:val="auto"/>
              </w:rPr>
              <w:t>350,003</w:t>
            </w:r>
          </w:p>
        </w:tc>
        <w:tc>
          <w:tcPr>
            <w:tcW w:w="0" w:type="dxa"/>
            <w:vAlign w:val="bottom"/>
          </w:tcPr>
          <w:p>
            <w:pPr>
              <w:spacing w:after="0"/>
              <w:rPr>
                <w:sz w:val="1"/>
                <w:szCs w:val="1"/>
                <w:color w:val="auto"/>
              </w:rPr>
            </w:pPr>
          </w:p>
        </w:tc>
      </w:tr>
      <w:tr>
        <w:trPr>
          <w:trHeight w:val="84"/>
        </w:trPr>
        <w:tc>
          <w:tcPr>
            <w:tcW w:w="3080" w:type="dxa"/>
            <w:vAlign w:val="bottom"/>
            <w:tcBorders>
              <w:left w:val="single" w:sz="8" w:color="auto"/>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98"/>
        </w:trPr>
        <w:tc>
          <w:tcPr>
            <w:tcW w:w="3080" w:type="dxa"/>
            <w:vAlign w:val="bottom"/>
          </w:tcPr>
          <w:p>
            <w:pPr>
              <w:spacing w:after="0"/>
              <w:rPr>
                <w:sz w:val="24"/>
                <w:szCs w:val="24"/>
                <w:color w:val="auto"/>
              </w:rPr>
            </w:pPr>
          </w:p>
        </w:tc>
        <w:tc>
          <w:tcPr>
            <w:tcW w:w="2680" w:type="dxa"/>
            <w:vAlign w:val="bottom"/>
          </w:tcPr>
          <w:p>
            <w:pPr>
              <w:jc w:val="right"/>
              <w:ind w:right="1092"/>
              <w:spacing w:after="0"/>
              <w:rPr>
                <w:sz w:val="20"/>
                <w:szCs w:val="20"/>
                <w:color w:val="auto"/>
              </w:rPr>
            </w:pPr>
            <w:r>
              <w:rPr>
                <w:rFonts w:ascii="Arial" w:cs="Arial" w:eastAsia="Arial" w:hAnsi="Arial"/>
                <w:sz w:val="22"/>
                <w:szCs w:val="22"/>
                <w:color w:val="auto"/>
              </w:rPr>
              <w:t>43</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9" w:right="3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bottom w:val="single" w:sz="8" w:color="29650B"/>
              <w:right w:val="single" w:sz="8" w:color="auto"/>
            </w:tcBorders>
            <w:shd w:val="clear" w:color="auto" w:fill="29650B"/>
          </w:tcPr>
          <w:p>
            <w:pPr>
              <w:spacing w:after="0"/>
              <w:rPr>
                <w:sz w:val="22"/>
                <w:szCs w:val="22"/>
                <w:color w:val="auto"/>
              </w:rPr>
            </w:pPr>
          </w:p>
        </w:tc>
        <w:tc>
          <w:tcPr>
            <w:tcW w:w="900" w:type="dxa"/>
            <w:vAlign w:val="bottom"/>
            <w:tcBorders>
              <w:top w:val="single" w:sz="8" w:color="auto"/>
              <w:bottom w:val="single" w:sz="8" w:color="auto"/>
              <w:right w:val="single" w:sz="8" w:color="29650B"/>
            </w:tcBorders>
            <w:shd w:val="clear" w:color="auto" w:fill="29650B"/>
          </w:tcPr>
          <w:p>
            <w:pPr>
              <w:spacing w:after="0"/>
              <w:rPr>
                <w:sz w:val="22"/>
                <w:szCs w:val="22"/>
                <w:color w:val="auto"/>
              </w:rPr>
            </w:pPr>
          </w:p>
        </w:tc>
        <w:tc>
          <w:tcPr>
            <w:tcW w:w="1240" w:type="dxa"/>
            <w:vAlign w:val="bottom"/>
            <w:tcBorders>
              <w:top w:val="single" w:sz="8" w:color="auto"/>
              <w:bottom w:val="single" w:sz="8" w:color="auto"/>
              <w:right w:val="single" w:sz="8" w:color="29650B"/>
            </w:tcBorders>
            <w:shd w:val="clear" w:color="auto" w:fill="29650B"/>
          </w:tcPr>
          <w:p>
            <w:pPr>
              <w:spacing w:after="0"/>
              <w:rPr>
                <w:sz w:val="22"/>
                <w:szCs w:val="22"/>
                <w:color w:val="auto"/>
              </w:rPr>
            </w:pPr>
          </w:p>
        </w:tc>
        <w:tc>
          <w:tcPr>
            <w:tcW w:w="4480" w:type="dxa"/>
            <w:vAlign w:val="bottom"/>
            <w:tcBorders>
              <w:top w:val="single" w:sz="8" w:color="auto"/>
              <w:bottom w:val="single" w:sz="8" w:color="auto"/>
              <w:right w:val="single" w:sz="8" w:color="29650B"/>
            </w:tcBorders>
            <w:gridSpan w:val="4"/>
            <w:shd w:val="clear" w:color="auto" w:fill="29650B"/>
          </w:tcPr>
          <w:p>
            <w:pPr>
              <w:jc w:val="right"/>
              <w:ind w:right="292"/>
              <w:spacing w:after="0"/>
              <w:rPr>
                <w:sz w:val="20"/>
                <w:szCs w:val="20"/>
                <w:color w:val="auto"/>
              </w:rPr>
            </w:pPr>
            <w:r>
              <w:rPr>
                <w:rFonts w:ascii="Arial" w:cs="Arial" w:eastAsia="Arial" w:hAnsi="Arial"/>
                <w:sz w:val="22"/>
                <w:szCs w:val="22"/>
                <w:b w:val="1"/>
                <w:bCs w:val="1"/>
                <w:color w:val="FFFFFF"/>
              </w:rPr>
              <w:t>Performance-Based Restricted Stock</w:t>
            </w:r>
          </w:p>
        </w:tc>
        <w:tc>
          <w:tcPr>
            <w:tcW w:w="1240" w:type="dxa"/>
            <w:vAlign w:val="bottom"/>
            <w:tcBorders>
              <w:top w:val="single" w:sz="8" w:color="auto"/>
              <w:bottom w:val="single" w:sz="8" w:color="auto"/>
              <w:right w:val="single" w:sz="8" w:color="29650B"/>
            </w:tcBorders>
            <w:shd w:val="clear" w:color="auto" w:fill="29650B"/>
          </w:tcPr>
          <w:p>
            <w:pPr>
              <w:spacing w:after="0"/>
              <w:rPr>
                <w:sz w:val="22"/>
                <w:szCs w:val="22"/>
                <w:color w:val="auto"/>
              </w:rPr>
            </w:pPr>
          </w:p>
        </w:tc>
        <w:tc>
          <w:tcPr>
            <w:tcW w:w="1220" w:type="dxa"/>
            <w:vAlign w:val="bottom"/>
            <w:tcBorders>
              <w:top w:val="single" w:sz="8" w:color="auto"/>
              <w:bottom w:val="single" w:sz="8" w:color="auto"/>
              <w:right w:val="single" w:sz="8" w:color="auto"/>
            </w:tcBorders>
            <w:shd w:val="clear" w:color="auto" w:fill="29650B"/>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160" w:type="dxa"/>
            <w:vAlign w:val="bottom"/>
            <w:tcBorders>
              <w:left w:val="single" w:sz="8" w:color="auto"/>
              <w:bottom w:val="single" w:sz="8" w:color="29650B"/>
              <w:right w:val="single" w:sz="8" w:color="auto"/>
            </w:tcBorders>
            <w:vMerge w:val="restart"/>
            <w:shd w:val="clear" w:color="auto" w:fill="29650B"/>
          </w:tcPr>
          <w:p>
            <w:pPr>
              <w:ind w:left="860"/>
              <w:spacing w:after="0"/>
              <w:rPr>
                <w:sz w:val="20"/>
                <w:szCs w:val="20"/>
                <w:color w:val="auto"/>
              </w:rPr>
            </w:pPr>
            <w:r>
              <w:rPr>
                <w:rFonts w:ascii="Arial" w:cs="Arial" w:eastAsia="Arial" w:hAnsi="Arial"/>
                <w:sz w:val="18"/>
                <w:szCs w:val="18"/>
                <w:b w:val="1"/>
                <w:bCs w:val="1"/>
                <w:color w:val="FFFFFF"/>
              </w:rPr>
              <w:t>Name</w:t>
            </w:r>
          </w:p>
        </w:tc>
        <w:tc>
          <w:tcPr>
            <w:tcW w:w="900" w:type="dxa"/>
            <w:vAlign w:val="bottom"/>
            <w:tcBorders>
              <w:bottom w:val="single" w:sz="8" w:color="auto"/>
              <w:right w:val="single" w:sz="8" w:color="29650B"/>
            </w:tcBorders>
            <w:shd w:val="clear" w:color="auto" w:fill="29650B"/>
          </w:tcPr>
          <w:p>
            <w:pPr>
              <w:spacing w:after="0"/>
              <w:rPr>
                <w:sz w:val="20"/>
                <w:szCs w:val="20"/>
                <w:color w:val="auto"/>
              </w:rPr>
            </w:pPr>
          </w:p>
        </w:tc>
        <w:tc>
          <w:tcPr>
            <w:tcW w:w="2380" w:type="dxa"/>
            <w:vAlign w:val="bottom"/>
            <w:tcBorders>
              <w:bottom w:val="single" w:sz="8" w:color="auto"/>
              <w:right w:val="single" w:sz="8" w:color="29650B"/>
            </w:tcBorders>
            <w:gridSpan w:val="2"/>
            <w:shd w:val="clear" w:color="auto" w:fill="29650B"/>
          </w:tcPr>
          <w:p>
            <w:pPr>
              <w:ind w:left="480"/>
              <w:spacing w:after="0" w:line="237" w:lineRule="exact"/>
              <w:rPr>
                <w:sz w:val="20"/>
                <w:szCs w:val="20"/>
                <w:color w:val="auto"/>
              </w:rPr>
            </w:pPr>
            <w:r>
              <w:rPr>
                <w:rFonts w:ascii="Arial" w:cs="Arial" w:eastAsia="Arial" w:hAnsi="Arial"/>
                <w:sz w:val="22"/>
                <w:szCs w:val="22"/>
                <w:b w:val="1"/>
                <w:bCs w:val="1"/>
                <w:color w:val="FFFFFF"/>
                <w:w w:val="97"/>
              </w:rPr>
              <w:t>TSR-Based Award</w:t>
            </w:r>
          </w:p>
        </w:tc>
        <w:tc>
          <w:tcPr>
            <w:tcW w:w="1220" w:type="dxa"/>
            <w:vAlign w:val="bottom"/>
            <w:tcBorders>
              <w:bottom w:val="single" w:sz="8" w:color="auto"/>
              <w:right w:val="single" w:sz="8" w:color="auto"/>
            </w:tcBorders>
            <w:shd w:val="clear" w:color="auto" w:fill="29650B"/>
          </w:tcPr>
          <w:p>
            <w:pPr>
              <w:spacing w:after="0"/>
              <w:rPr>
                <w:sz w:val="20"/>
                <w:szCs w:val="20"/>
                <w:color w:val="auto"/>
              </w:rPr>
            </w:pPr>
          </w:p>
        </w:tc>
        <w:tc>
          <w:tcPr>
            <w:tcW w:w="900" w:type="dxa"/>
            <w:vAlign w:val="bottom"/>
            <w:tcBorders>
              <w:bottom w:val="single" w:sz="8" w:color="auto"/>
              <w:right w:val="single" w:sz="8" w:color="29650B"/>
            </w:tcBorders>
            <w:shd w:val="clear" w:color="auto" w:fill="29650B"/>
          </w:tcPr>
          <w:p>
            <w:pPr>
              <w:spacing w:after="0"/>
              <w:rPr>
                <w:sz w:val="20"/>
                <w:szCs w:val="20"/>
                <w:color w:val="auto"/>
              </w:rPr>
            </w:pPr>
          </w:p>
        </w:tc>
        <w:tc>
          <w:tcPr>
            <w:tcW w:w="2460" w:type="dxa"/>
            <w:vAlign w:val="bottom"/>
            <w:tcBorders>
              <w:bottom w:val="single" w:sz="8" w:color="auto"/>
              <w:right w:val="single" w:sz="8" w:color="29650B"/>
            </w:tcBorders>
            <w:gridSpan w:val="2"/>
            <w:shd w:val="clear" w:color="auto" w:fill="29650B"/>
          </w:tcPr>
          <w:p>
            <w:pPr>
              <w:ind w:left="460"/>
              <w:spacing w:after="0" w:line="237" w:lineRule="exact"/>
              <w:rPr>
                <w:sz w:val="20"/>
                <w:szCs w:val="20"/>
                <w:color w:val="auto"/>
              </w:rPr>
            </w:pPr>
            <w:r>
              <w:rPr>
                <w:rFonts w:ascii="Arial" w:cs="Arial" w:eastAsia="Arial" w:hAnsi="Arial"/>
                <w:sz w:val="22"/>
                <w:szCs w:val="22"/>
                <w:b w:val="1"/>
                <w:bCs w:val="1"/>
                <w:color w:val="FFFFFF"/>
                <w:w w:val="97"/>
              </w:rPr>
              <w:t>ROIC-Based Award</w:t>
            </w:r>
          </w:p>
        </w:tc>
        <w:tc>
          <w:tcPr>
            <w:tcW w:w="1220" w:type="dxa"/>
            <w:vAlign w:val="bottom"/>
            <w:tcBorders>
              <w:bottom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auto"/>
              <w:right w:val="single" w:sz="8" w:color="auto"/>
            </w:tcBorders>
            <w:vMerge w:val="continue"/>
            <w:shd w:val="clear" w:color="auto" w:fill="29650B"/>
          </w:tcPr>
          <w:p>
            <w:pPr>
              <w:spacing w:after="0"/>
              <w:rPr>
                <w:sz w:val="7"/>
                <w:szCs w:val="7"/>
                <w:color w:val="auto"/>
              </w:rPr>
            </w:pPr>
          </w:p>
        </w:tc>
        <w:tc>
          <w:tcPr>
            <w:tcW w:w="900" w:type="dxa"/>
            <w:vAlign w:val="bottom"/>
            <w:tcBorders>
              <w:right w:val="single" w:sz="8" w:color="auto"/>
            </w:tcBorders>
            <w:vMerge w:val="restart"/>
            <w:shd w:val="clear" w:color="auto" w:fill="29650B"/>
          </w:tcPr>
          <w:p>
            <w:pPr>
              <w:jc w:val="right"/>
              <w:ind w:right="52"/>
              <w:spacing w:after="0" w:line="209" w:lineRule="exact"/>
              <w:rPr>
                <w:sz w:val="20"/>
                <w:szCs w:val="20"/>
                <w:color w:val="auto"/>
              </w:rPr>
            </w:pPr>
            <w:r>
              <w:rPr>
                <w:rFonts w:ascii="Arial" w:cs="Arial" w:eastAsia="Arial" w:hAnsi="Arial"/>
                <w:sz w:val="22"/>
                <w:szCs w:val="22"/>
                <w:b w:val="1"/>
                <w:bCs w:val="1"/>
                <w:color w:val="FFFFFF"/>
              </w:rPr>
              <w:t>Target</w:t>
            </w:r>
          </w:p>
        </w:tc>
        <w:tc>
          <w:tcPr>
            <w:tcW w:w="1240" w:type="dxa"/>
            <w:vAlign w:val="bottom"/>
            <w:tcBorders>
              <w:right w:val="single" w:sz="8" w:color="auto"/>
            </w:tcBorders>
            <w:vMerge w:val="restart"/>
            <w:shd w:val="clear" w:color="auto" w:fill="29650B"/>
          </w:tcPr>
          <w:p>
            <w:pPr>
              <w:jc w:val="right"/>
              <w:ind w:right="212"/>
              <w:spacing w:after="0" w:line="209" w:lineRule="exact"/>
              <w:rPr>
                <w:sz w:val="20"/>
                <w:szCs w:val="20"/>
                <w:color w:val="auto"/>
              </w:rPr>
            </w:pPr>
            <w:r>
              <w:rPr>
                <w:rFonts w:ascii="Arial" w:cs="Arial" w:eastAsia="Arial" w:hAnsi="Arial"/>
                <w:sz w:val="22"/>
                <w:szCs w:val="22"/>
                <w:b w:val="1"/>
                <w:bCs w:val="1"/>
                <w:color w:val="FFFFFF"/>
              </w:rPr>
              <w:t>Award</w:t>
            </w:r>
          </w:p>
        </w:tc>
        <w:tc>
          <w:tcPr>
            <w:tcW w:w="1140" w:type="dxa"/>
            <w:vAlign w:val="bottom"/>
            <w:tcBorders>
              <w:right w:val="single" w:sz="8" w:color="auto"/>
            </w:tcBorders>
            <w:vMerge w:val="restart"/>
            <w:shd w:val="clear" w:color="auto" w:fill="29650B"/>
          </w:tcPr>
          <w:p>
            <w:pPr>
              <w:jc w:val="center"/>
              <w:spacing w:after="0" w:line="209" w:lineRule="exact"/>
              <w:rPr>
                <w:sz w:val="20"/>
                <w:szCs w:val="20"/>
                <w:color w:val="auto"/>
              </w:rPr>
            </w:pPr>
            <w:r>
              <w:rPr>
                <w:rFonts w:ascii="Arial" w:cs="Arial" w:eastAsia="Arial" w:hAnsi="Arial"/>
                <w:sz w:val="22"/>
                <w:szCs w:val="22"/>
                <w:b w:val="1"/>
                <w:bCs w:val="1"/>
                <w:color w:val="FFFFFF"/>
                <w:w w:val="95"/>
              </w:rPr>
              <w:t>Minimum</w:t>
            </w:r>
          </w:p>
        </w:tc>
        <w:tc>
          <w:tcPr>
            <w:tcW w:w="1220" w:type="dxa"/>
            <w:vAlign w:val="bottom"/>
            <w:tcBorders>
              <w:right w:val="single" w:sz="8" w:color="auto"/>
            </w:tcBorders>
            <w:vMerge w:val="restart"/>
            <w:shd w:val="clear" w:color="auto" w:fill="29650B"/>
          </w:tcPr>
          <w:p>
            <w:pPr>
              <w:jc w:val="right"/>
              <w:ind w:right="32"/>
              <w:spacing w:after="0" w:line="209" w:lineRule="exact"/>
              <w:rPr>
                <w:sz w:val="20"/>
                <w:szCs w:val="20"/>
                <w:color w:val="auto"/>
              </w:rPr>
            </w:pPr>
            <w:r>
              <w:rPr>
                <w:rFonts w:ascii="Arial" w:cs="Arial" w:eastAsia="Arial" w:hAnsi="Arial"/>
                <w:sz w:val="22"/>
                <w:szCs w:val="22"/>
                <w:b w:val="1"/>
                <w:bCs w:val="1"/>
                <w:color w:val="FFFFFF"/>
              </w:rPr>
              <w:t>Maximum</w:t>
            </w:r>
          </w:p>
        </w:tc>
        <w:tc>
          <w:tcPr>
            <w:tcW w:w="900" w:type="dxa"/>
            <w:vAlign w:val="bottom"/>
            <w:tcBorders>
              <w:right w:val="single" w:sz="8" w:color="auto"/>
            </w:tcBorders>
            <w:vMerge w:val="restart"/>
            <w:shd w:val="clear" w:color="auto" w:fill="29650B"/>
          </w:tcPr>
          <w:p>
            <w:pPr>
              <w:jc w:val="right"/>
              <w:ind w:right="52"/>
              <w:spacing w:after="0" w:line="209" w:lineRule="exact"/>
              <w:rPr>
                <w:sz w:val="20"/>
                <w:szCs w:val="20"/>
                <w:color w:val="auto"/>
              </w:rPr>
            </w:pPr>
            <w:r>
              <w:rPr>
                <w:rFonts w:ascii="Arial" w:cs="Arial" w:eastAsia="Arial" w:hAnsi="Arial"/>
                <w:sz w:val="22"/>
                <w:szCs w:val="22"/>
                <w:b w:val="1"/>
                <w:bCs w:val="1"/>
                <w:color w:val="FFFFFF"/>
              </w:rPr>
              <w:t>Target</w:t>
            </w:r>
          </w:p>
        </w:tc>
        <w:tc>
          <w:tcPr>
            <w:tcW w:w="1220" w:type="dxa"/>
            <w:vAlign w:val="bottom"/>
            <w:tcBorders>
              <w:right w:val="single" w:sz="8" w:color="auto"/>
            </w:tcBorders>
            <w:vMerge w:val="restart"/>
            <w:shd w:val="clear" w:color="auto" w:fill="29650B"/>
          </w:tcPr>
          <w:p>
            <w:pPr>
              <w:jc w:val="right"/>
              <w:ind w:right="192"/>
              <w:spacing w:after="0" w:line="209" w:lineRule="exact"/>
              <w:rPr>
                <w:sz w:val="20"/>
                <w:szCs w:val="20"/>
                <w:color w:val="auto"/>
              </w:rPr>
            </w:pPr>
            <w:r>
              <w:rPr>
                <w:rFonts w:ascii="Arial" w:cs="Arial" w:eastAsia="Arial" w:hAnsi="Arial"/>
                <w:sz w:val="22"/>
                <w:szCs w:val="22"/>
                <w:b w:val="1"/>
                <w:bCs w:val="1"/>
                <w:color w:val="FFFFFF"/>
              </w:rPr>
              <w:t>Award</w:t>
            </w:r>
          </w:p>
        </w:tc>
        <w:tc>
          <w:tcPr>
            <w:tcW w:w="1240" w:type="dxa"/>
            <w:vAlign w:val="bottom"/>
            <w:tcBorders>
              <w:right w:val="single" w:sz="8" w:color="auto"/>
            </w:tcBorders>
            <w:vMerge w:val="restart"/>
            <w:shd w:val="clear" w:color="auto" w:fill="29650B"/>
          </w:tcPr>
          <w:p>
            <w:pPr>
              <w:jc w:val="center"/>
              <w:spacing w:after="0" w:line="209" w:lineRule="exact"/>
              <w:rPr>
                <w:sz w:val="20"/>
                <w:szCs w:val="20"/>
                <w:color w:val="auto"/>
              </w:rPr>
            </w:pPr>
            <w:r>
              <w:rPr>
                <w:rFonts w:ascii="Arial" w:cs="Arial" w:eastAsia="Arial" w:hAnsi="Arial"/>
                <w:sz w:val="22"/>
                <w:szCs w:val="22"/>
                <w:b w:val="1"/>
                <w:bCs w:val="1"/>
                <w:color w:val="FFFFFF"/>
                <w:w w:val="97"/>
              </w:rPr>
              <w:t>Minimum</w:t>
            </w:r>
          </w:p>
        </w:tc>
        <w:tc>
          <w:tcPr>
            <w:tcW w:w="1220" w:type="dxa"/>
            <w:vAlign w:val="bottom"/>
            <w:tcBorders>
              <w:right w:val="single" w:sz="8" w:color="auto"/>
            </w:tcBorders>
            <w:vMerge w:val="restart"/>
            <w:shd w:val="clear" w:color="auto" w:fill="29650B"/>
          </w:tcPr>
          <w:p>
            <w:pPr>
              <w:jc w:val="right"/>
              <w:ind w:right="32"/>
              <w:spacing w:after="0" w:line="209" w:lineRule="exact"/>
              <w:rPr>
                <w:sz w:val="20"/>
                <w:szCs w:val="20"/>
                <w:color w:val="auto"/>
              </w:rPr>
            </w:pPr>
            <w:r>
              <w:rPr>
                <w:rFonts w:ascii="Arial" w:cs="Arial" w:eastAsia="Arial" w:hAnsi="Arial"/>
                <w:sz w:val="22"/>
                <w:szCs w:val="22"/>
                <w:b w:val="1"/>
                <w:bCs w:val="1"/>
                <w:color w:val="FFFFFF"/>
              </w:rPr>
              <w:t>Maximum</w:t>
            </w:r>
          </w:p>
        </w:tc>
        <w:tc>
          <w:tcPr>
            <w:tcW w:w="0" w:type="dxa"/>
            <w:vAlign w:val="bottom"/>
          </w:tcPr>
          <w:p>
            <w:pPr>
              <w:spacing w:after="0"/>
              <w:rPr>
                <w:sz w:val="1"/>
                <w:szCs w:val="1"/>
                <w:color w:val="auto"/>
              </w:rPr>
            </w:pPr>
          </w:p>
        </w:tc>
      </w:tr>
      <w:tr>
        <w:trPr>
          <w:trHeight w:val="121"/>
        </w:trPr>
        <w:tc>
          <w:tcPr>
            <w:tcW w:w="2160" w:type="dxa"/>
            <w:vAlign w:val="bottom"/>
            <w:tcBorders>
              <w:left w:val="single" w:sz="8" w:color="auto"/>
              <w:right w:val="single" w:sz="8" w:color="auto"/>
            </w:tcBorders>
            <w:shd w:val="clear" w:color="auto" w:fill="29650B"/>
          </w:tcPr>
          <w:p>
            <w:pPr>
              <w:spacing w:after="0"/>
              <w:rPr>
                <w:sz w:val="10"/>
                <w:szCs w:val="10"/>
                <w:color w:val="auto"/>
              </w:rPr>
            </w:pPr>
          </w:p>
        </w:tc>
        <w:tc>
          <w:tcPr>
            <w:tcW w:w="900" w:type="dxa"/>
            <w:vAlign w:val="bottom"/>
            <w:tcBorders>
              <w:right w:val="single" w:sz="8" w:color="auto"/>
            </w:tcBorders>
            <w:vMerge w:val="continue"/>
            <w:shd w:val="clear" w:color="auto" w:fill="29650B"/>
          </w:tcPr>
          <w:p>
            <w:pPr>
              <w:spacing w:after="0"/>
              <w:rPr>
                <w:sz w:val="10"/>
                <w:szCs w:val="10"/>
                <w:color w:val="auto"/>
              </w:rPr>
            </w:pPr>
          </w:p>
        </w:tc>
        <w:tc>
          <w:tcPr>
            <w:tcW w:w="1240" w:type="dxa"/>
            <w:vAlign w:val="bottom"/>
            <w:tcBorders>
              <w:right w:val="single" w:sz="8" w:color="auto"/>
            </w:tcBorders>
            <w:vMerge w:val="continue"/>
            <w:shd w:val="clear" w:color="auto" w:fill="29650B"/>
          </w:tcPr>
          <w:p>
            <w:pPr>
              <w:spacing w:after="0"/>
              <w:rPr>
                <w:sz w:val="10"/>
                <w:szCs w:val="10"/>
                <w:color w:val="auto"/>
              </w:rPr>
            </w:pPr>
          </w:p>
        </w:tc>
        <w:tc>
          <w:tcPr>
            <w:tcW w:w="1140" w:type="dxa"/>
            <w:vAlign w:val="bottom"/>
            <w:tcBorders>
              <w:right w:val="single" w:sz="8" w:color="auto"/>
            </w:tcBorders>
            <w:vMerge w:val="continue"/>
            <w:shd w:val="clear" w:color="auto" w:fill="29650B"/>
          </w:tcPr>
          <w:p>
            <w:pPr>
              <w:spacing w:after="0"/>
              <w:rPr>
                <w:sz w:val="10"/>
                <w:szCs w:val="10"/>
                <w:color w:val="auto"/>
              </w:rPr>
            </w:pPr>
          </w:p>
        </w:tc>
        <w:tc>
          <w:tcPr>
            <w:tcW w:w="1220" w:type="dxa"/>
            <w:vAlign w:val="bottom"/>
            <w:tcBorders>
              <w:right w:val="single" w:sz="8" w:color="auto"/>
            </w:tcBorders>
            <w:vMerge w:val="continue"/>
            <w:shd w:val="clear" w:color="auto" w:fill="29650B"/>
          </w:tcPr>
          <w:p>
            <w:pPr>
              <w:spacing w:after="0"/>
              <w:rPr>
                <w:sz w:val="10"/>
                <w:szCs w:val="10"/>
                <w:color w:val="auto"/>
              </w:rPr>
            </w:pPr>
          </w:p>
        </w:tc>
        <w:tc>
          <w:tcPr>
            <w:tcW w:w="900" w:type="dxa"/>
            <w:vAlign w:val="bottom"/>
            <w:tcBorders>
              <w:right w:val="single" w:sz="8" w:color="auto"/>
            </w:tcBorders>
            <w:vMerge w:val="continue"/>
            <w:shd w:val="clear" w:color="auto" w:fill="29650B"/>
          </w:tcPr>
          <w:p>
            <w:pPr>
              <w:spacing w:after="0"/>
              <w:rPr>
                <w:sz w:val="10"/>
                <w:szCs w:val="10"/>
                <w:color w:val="auto"/>
              </w:rPr>
            </w:pPr>
          </w:p>
        </w:tc>
        <w:tc>
          <w:tcPr>
            <w:tcW w:w="1220" w:type="dxa"/>
            <w:vAlign w:val="bottom"/>
            <w:tcBorders>
              <w:right w:val="single" w:sz="8" w:color="auto"/>
            </w:tcBorders>
            <w:vMerge w:val="continue"/>
            <w:shd w:val="clear" w:color="auto" w:fill="29650B"/>
          </w:tcPr>
          <w:p>
            <w:pPr>
              <w:spacing w:after="0"/>
              <w:rPr>
                <w:sz w:val="10"/>
                <w:szCs w:val="10"/>
                <w:color w:val="auto"/>
              </w:rPr>
            </w:pPr>
          </w:p>
        </w:tc>
        <w:tc>
          <w:tcPr>
            <w:tcW w:w="1240" w:type="dxa"/>
            <w:vAlign w:val="bottom"/>
            <w:tcBorders>
              <w:right w:val="single" w:sz="8" w:color="auto"/>
            </w:tcBorders>
            <w:vMerge w:val="continue"/>
            <w:shd w:val="clear" w:color="auto" w:fill="29650B"/>
          </w:tcPr>
          <w:p>
            <w:pPr>
              <w:spacing w:after="0"/>
              <w:rPr>
                <w:sz w:val="10"/>
                <w:szCs w:val="10"/>
                <w:color w:val="auto"/>
              </w:rPr>
            </w:pPr>
          </w:p>
        </w:tc>
        <w:tc>
          <w:tcPr>
            <w:tcW w:w="122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900" w:type="dxa"/>
            <w:vAlign w:val="bottom"/>
            <w:tcBorders>
              <w:bottom w:val="single" w:sz="8" w:color="auto"/>
              <w:right w:val="single" w:sz="8" w:color="auto"/>
            </w:tcBorders>
            <w:shd w:val="clear" w:color="auto" w:fill="29650B"/>
          </w:tcPr>
          <w:p>
            <w:pPr>
              <w:jc w:val="right"/>
              <w:ind w:right="32"/>
              <w:spacing w:after="0"/>
              <w:rPr>
                <w:sz w:val="20"/>
                <w:szCs w:val="20"/>
                <w:color w:val="auto"/>
              </w:rPr>
            </w:pPr>
            <w:r>
              <w:rPr>
                <w:rFonts w:ascii="Arial" w:cs="Arial" w:eastAsia="Arial" w:hAnsi="Arial"/>
                <w:sz w:val="22"/>
                <w:szCs w:val="22"/>
                <w:b w:val="1"/>
                <w:bCs w:val="1"/>
                <w:color w:val="FFFFFF"/>
              </w:rPr>
              <w:t>Shares</w:t>
            </w:r>
          </w:p>
        </w:tc>
        <w:tc>
          <w:tcPr>
            <w:tcW w:w="1240" w:type="dxa"/>
            <w:vAlign w:val="bottom"/>
            <w:tcBorders>
              <w:bottom w:val="single" w:sz="8" w:color="auto"/>
              <w:right w:val="single" w:sz="8" w:color="auto"/>
            </w:tcBorders>
            <w:shd w:val="clear" w:color="auto" w:fill="29650B"/>
          </w:tcPr>
          <w:p>
            <w:pPr>
              <w:jc w:val="right"/>
              <w:ind w:right="252"/>
              <w:spacing w:after="0"/>
              <w:rPr>
                <w:sz w:val="20"/>
                <w:szCs w:val="20"/>
                <w:color w:val="auto"/>
              </w:rPr>
            </w:pPr>
            <w:r>
              <w:rPr>
                <w:rFonts w:ascii="Arial" w:cs="Arial" w:eastAsia="Arial" w:hAnsi="Arial"/>
                <w:sz w:val="22"/>
                <w:szCs w:val="22"/>
                <w:b w:val="1"/>
                <w:bCs w:val="1"/>
                <w:color w:val="FFFFFF"/>
              </w:rPr>
              <w:t>Value</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Shares</w:t>
            </w:r>
          </w:p>
        </w:tc>
        <w:tc>
          <w:tcPr>
            <w:tcW w:w="1220" w:type="dxa"/>
            <w:vAlign w:val="bottom"/>
            <w:tcBorders>
              <w:bottom w:val="single" w:sz="8" w:color="auto"/>
              <w:right w:val="single" w:sz="8" w:color="auto"/>
            </w:tcBorders>
            <w:shd w:val="clear" w:color="auto" w:fill="29650B"/>
          </w:tcPr>
          <w:p>
            <w:pPr>
              <w:jc w:val="right"/>
              <w:ind w:right="192"/>
              <w:spacing w:after="0"/>
              <w:rPr>
                <w:sz w:val="20"/>
                <w:szCs w:val="20"/>
                <w:color w:val="auto"/>
              </w:rPr>
            </w:pPr>
            <w:r>
              <w:rPr>
                <w:rFonts w:ascii="Arial" w:cs="Arial" w:eastAsia="Arial" w:hAnsi="Arial"/>
                <w:sz w:val="22"/>
                <w:szCs w:val="22"/>
                <w:b w:val="1"/>
                <w:bCs w:val="1"/>
                <w:color w:val="FFFFFF"/>
              </w:rPr>
              <w:t>Shares</w:t>
            </w:r>
          </w:p>
        </w:tc>
        <w:tc>
          <w:tcPr>
            <w:tcW w:w="900" w:type="dxa"/>
            <w:vAlign w:val="bottom"/>
            <w:tcBorders>
              <w:bottom w:val="single" w:sz="8" w:color="auto"/>
              <w:right w:val="single" w:sz="8" w:color="auto"/>
            </w:tcBorders>
            <w:shd w:val="clear" w:color="auto" w:fill="29650B"/>
          </w:tcPr>
          <w:p>
            <w:pPr>
              <w:jc w:val="right"/>
              <w:ind w:right="32"/>
              <w:spacing w:after="0"/>
              <w:rPr>
                <w:sz w:val="20"/>
                <w:szCs w:val="20"/>
                <w:color w:val="auto"/>
              </w:rPr>
            </w:pPr>
            <w:r>
              <w:rPr>
                <w:rFonts w:ascii="Arial" w:cs="Arial" w:eastAsia="Arial" w:hAnsi="Arial"/>
                <w:sz w:val="22"/>
                <w:szCs w:val="22"/>
                <w:b w:val="1"/>
                <w:bCs w:val="1"/>
                <w:color w:val="FFFFFF"/>
              </w:rPr>
              <w:t>Shares</w:t>
            </w:r>
          </w:p>
        </w:tc>
        <w:tc>
          <w:tcPr>
            <w:tcW w:w="1220" w:type="dxa"/>
            <w:vAlign w:val="bottom"/>
            <w:tcBorders>
              <w:bottom w:val="single" w:sz="8" w:color="auto"/>
              <w:right w:val="single" w:sz="8" w:color="auto"/>
            </w:tcBorders>
            <w:shd w:val="clear" w:color="auto" w:fill="29650B"/>
          </w:tcPr>
          <w:p>
            <w:pPr>
              <w:jc w:val="right"/>
              <w:ind w:right="252"/>
              <w:spacing w:after="0"/>
              <w:rPr>
                <w:sz w:val="20"/>
                <w:szCs w:val="20"/>
                <w:color w:val="auto"/>
              </w:rPr>
            </w:pPr>
            <w:r>
              <w:rPr>
                <w:rFonts w:ascii="Arial" w:cs="Arial" w:eastAsia="Arial" w:hAnsi="Arial"/>
                <w:sz w:val="22"/>
                <w:szCs w:val="22"/>
                <w:b w:val="1"/>
                <w:bCs w:val="1"/>
                <w:color w:val="FFFFFF"/>
              </w:rPr>
              <w:t>Value</w:t>
            </w:r>
          </w:p>
        </w:tc>
        <w:tc>
          <w:tcPr>
            <w:tcW w:w="1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84"/>
              </w:rPr>
              <w:t>Shares</w:t>
            </w:r>
          </w:p>
        </w:tc>
        <w:tc>
          <w:tcPr>
            <w:tcW w:w="1220" w:type="dxa"/>
            <w:vAlign w:val="bottom"/>
            <w:tcBorders>
              <w:bottom w:val="single" w:sz="8" w:color="auto"/>
              <w:right w:val="single" w:sz="8" w:color="auto"/>
            </w:tcBorders>
            <w:shd w:val="clear" w:color="auto" w:fill="29650B"/>
          </w:tcPr>
          <w:p>
            <w:pPr>
              <w:jc w:val="right"/>
              <w:ind w:right="212"/>
              <w:spacing w:after="0"/>
              <w:rPr>
                <w:sz w:val="20"/>
                <w:szCs w:val="20"/>
                <w:color w:val="auto"/>
              </w:rPr>
            </w:pPr>
            <w:r>
              <w:rPr>
                <w:rFonts w:ascii="Arial" w:cs="Arial" w:eastAsia="Arial" w:hAnsi="Arial"/>
                <w:sz w:val="22"/>
                <w:szCs w:val="22"/>
                <w:b w:val="1"/>
                <w:bCs w:val="1"/>
                <w:color w:val="FFFFFF"/>
              </w:rPr>
              <w:t>Shares</w:t>
            </w:r>
          </w:p>
        </w:tc>
        <w:tc>
          <w:tcPr>
            <w:tcW w:w="0" w:type="dxa"/>
            <w:vAlign w:val="bottom"/>
          </w:tcPr>
          <w:p>
            <w:pPr>
              <w:spacing w:after="0"/>
              <w:rPr>
                <w:sz w:val="1"/>
                <w:szCs w:val="1"/>
                <w:color w:val="auto"/>
              </w:rPr>
            </w:pPr>
          </w:p>
        </w:tc>
      </w:tr>
      <w:tr>
        <w:trPr>
          <w:trHeight w:val="301"/>
        </w:trPr>
        <w:tc>
          <w:tcPr>
            <w:tcW w:w="2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90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27,484</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$2,079,989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c>
          <w:tcPr>
            <w:tcW w:w="122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54,968</w:t>
            </w:r>
          </w:p>
        </w:tc>
        <w:tc>
          <w:tcPr>
            <w:tcW w:w="90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color w:val="auto"/>
              </w:rPr>
              <w:t>29,583</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9"/>
              </w:rPr>
              <w:t>$2,079,981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right w:val="single" w:sz="8" w:color="auto"/>
            </w:tcBorders>
          </w:tcPr>
          <w:p>
            <w:pPr>
              <w:jc w:val="right"/>
              <w:ind w:right="32"/>
              <w:spacing w:after="0"/>
              <w:rPr>
                <w:sz w:val="20"/>
                <w:szCs w:val="20"/>
                <w:color w:val="auto"/>
              </w:rPr>
            </w:pPr>
            <w:r>
              <w:rPr>
                <w:rFonts w:ascii="Arial" w:cs="Arial" w:eastAsia="Arial" w:hAnsi="Arial"/>
                <w:sz w:val="22"/>
                <w:szCs w:val="22"/>
                <w:color w:val="auto"/>
              </w:rPr>
              <w:t>59,166</w:t>
            </w:r>
          </w:p>
        </w:tc>
        <w:tc>
          <w:tcPr>
            <w:tcW w:w="0" w:type="dxa"/>
            <w:vAlign w:val="bottom"/>
          </w:tcPr>
          <w:p>
            <w:pPr>
              <w:spacing w:after="0"/>
              <w:rPr>
                <w:sz w:val="1"/>
                <w:szCs w:val="1"/>
                <w:color w:val="auto"/>
              </w:rPr>
            </w:pPr>
          </w:p>
        </w:tc>
      </w:tr>
      <w:tr>
        <w:trPr>
          <w:trHeight w:val="44"/>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16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90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5,629</w:t>
            </w:r>
          </w:p>
        </w:tc>
        <w:tc>
          <w:tcPr>
            <w:tcW w:w="124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426,003</w:t>
            </w:r>
          </w:p>
        </w:tc>
        <w:tc>
          <w:tcPr>
            <w:tcW w:w="11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7"/>
              </w:rPr>
              <w:t>0</w:t>
            </w:r>
          </w:p>
        </w:tc>
        <w:tc>
          <w:tcPr>
            <w:tcW w:w="122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11,258</w:t>
            </w:r>
          </w:p>
        </w:tc>
        <w:tc>
          <w:tcPr>
            <w:tcW w:w="90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6,059</w:t>
            </w:r>
          </w:p>
        </w:tc>
        <w:tc>
          <w:tcPr>
            <w:tcW w:w="122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426,008</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bottom w:val="single" w:sz="8" w:color="D9D9D9"/>
              <w:right w:val="single" w:sz="8" w:color="auto"/>
            </w:tcBorders>
            <w:shd w:val="clear" w:color="auto" w:fill="D9D9D9"/>
          </w:tcPr>
          <w:p>
            <w:pPr>
              <w:jc w:val="right"/>
              <w:ind w:right="32"/>
              <w:spacing w:after="0"/>
              <w:rPr>
                <w:sz w:val="20"/>
                <w:szCs w:val="20"/>
                <w:color w:val="auto"/>
              </w:rPr>
            </w:pPr>
            <w:r>
              <w:rPr>
                <w:rFonts w:ascii="Arial" w:cs="Arial" w:eastAsia="Arial" w:hAnsi="Arial"/>
                <w:sz w:val="22"/>
                <w:szCs w:val="22"/>
                <w:color w:val="auto"/>
              </w:rPr>
              <w:t>12,118</w:t>
            </w:r>
          </w:p>
        </w:tc>
        <w:tc>
          <w:tcPr>
            <w:tcW w:w="0" w:type="dxa"/>
            <w:vAlign w:val="bottom"/>
          </w:tcPr>
          <w:p>
            <w:pPr>
              <w:spacing w:after="0"/>
              <w:rPr>
                <w:sz w:val="1"/>
                <w:szCs w:val="1"/>
                <w:color w:val="auto"/>
              </w:rPr>
            </w:pPr>
          </w:p>
        </w:tc>
      </w:tr>
      <w:tr>
        <w:trPr>
          <w:trHeight w:val="301"/>
        </w:trPr>
        <w:tc>
          <w:tcPr>
            <w:tcW w:w="21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9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8,040</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608,467</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c>
          <w:tcPr>
            <w:tcW w:w="122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16,080</w:t>
            </w:r>
          </w:p>
        </w:tc>
        <w:tc>
          <w:tcPr>
            <w:tcW w:w="9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8,655</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608,533</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17,310</w:t>
            </w:r>
          </w:p>
        </w:tc>
        <w:tc>
          <w:tcPr>
            <w:tcW w:w="0" w:type="dxa"/>
            <w:vAlign w:val="bottom"/>
          </w:tcPr>
          <w:p>
            <w:pPr>
              <w:spacing w:after="0"/>
              <w:rPr>
                <w:sz w:val="1"/>
                <w:szCs w:val="1"/>
                <w:color w:val="auto"/>
              </w:rPr>
            </w:pPr>
          </w:p>
        </w:tc>
      </w:tr>
      <w:tr>
        <w:trPr>
          <w:trHeight w:val="44"/>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160" w:type="dxa"/>
            <w:vAlign w:val="bottom"/>
            <w:tcBorders>
              <w:left w:val="single" w:sz="8" w:color="auto"/>
              <w:bottom w:val="single" w:sz="8" w:color="D9D9D9"/>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w w:val="96"/>
              </w:rPr>
              <w:t>Didier Sourisseau (1)</w:t>
            </w:r>
          </w:p>
        </w:tc>
        <w:tc>
          <w:tcPr>
            <w:tcW w:w="90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4,671</w:t>
            </w:r>
          </w:p>
        </w:tc>
        <w:tc>
          <w:tcPr>
            <w:tcW w:w="124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353,501</w:t>
            </w:r>
          </w:p>
        </w:tc>
        <w:tc>
          <w:tcPr>
            <w:tcW w:w="11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97"/>
              </w:rPr>
              <w:t>0</w:t>
            </w:r>
          </w:p>
        </w:tc>
        <w:tc>
          <w:tcPr>
            <w:tcW w:w="122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9,342</w:t>
            </w:r>
          </w:p>
        </w:tc>
        <w:tc>
          <w:tcPr>
            <w:tcW w:w="900" w:type="dxa"/>
            <w:vAlign w:val="bottom"/>
            <w:tcBorders>
              <w:bottom w:val="single" w:sz="8" w:color="D9D9D9"/>
              <w:right w:val="single" w:sz="8" w:color="auto"/>
            </w:tcBorders>
            <w:shd w:val="clear" w:color="auto" w:fill="D9D9D9"/>
          </w:tcPr>
          <w:p>
            <w:pPr>
              <w:jc w:val="right"/>
              <w:ind w:right="12"/>
              <w:spacing w:after="0"/>
              <w:rPr>
                <w:sz w:val="20"/>
                <w:szCs w:val="20"/>
                <w:color w:val="auto"/>
              </w:rPr>
            </w:pPr>
            <w:r>
              <w:rPr>
                <w:rFonts w:ascii="Arial" w:cs="Arial" w:eastAsia="Arial" w:hAnsi="Arial"/>
                <w:sz w:val="22"/>
                <w:szCs w:val="22"/>
                <w:color w:val="auto"/>
              </w:rPr>
              <w:t>5,028</w:t>
            </w:r>
          </w:p>
        </w:tc>
        <w:tc>
          <w:tcPr>
            <w:tcW w:w="1220" w:type="dxa"/>
            <w:vAlign w:val="bottom"/>
            <w:tcBorders>
              <w:bottom w:val="single" w:sz="8" w:color="D9D9D9"/>
              <w:right w:val="single" w:sz="8" w:color="auto"/>
            </w:tcBorders>
            <w:shd w:val="clear" w:color="auto" w:fill="D9D9D9"/>
          </w:tcPr>
          <w:p>
            <w:pPr>
              <w:jc w:val="right"/>
              <w:spacing w:after="0"/>
              <w:rPr>
                <w:sz w:val="20"/>
                <w:szCs w:val="20"/>
                <w:color w:val="auto"/>
              </w:rPr>
            </w:pPr>
            <w:r>
              <w:rPr>
                <w:rFonts w:ascii="Arial" w:cs="Arial" w:eastAsia="Arial" w:hAnsi="Arial"/>
                <w:sz w:val="22"/>
                <w:szCs w:val="22"/>
                <w:color w:val="auto"/>
              </w:rPr>
              <w:t>353,519</w:t>
            </w:r>
          </w:p>
        </w:tc>
        <w:tc>
          <w:tcPr>
            <w:tcW w:w="1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bottom w:val="single" w:sz="8" w:color="D9D9D9"/>
              <w:right w:val="single" w:sz="8" w:color="auto"/>
            </w:tcBorders>
            <w:shd w:val="clear" w:color="auto" w:fill="D9D9D9"/>
          </w:tcPr>
          <w:p>
            <w:pPr>
              <w:jc w:val="right"/>
              <w:ind w:right="32"/>
              <w:spacing w:after="0"/>
              <w:rPr>
                <w:sz w:val="20"/>
                <w:szCs w:val="20"/>
                <w:color w:val="auto"/>
              </w:rPr>
            </w:pPr>
            <w:r>
              <w:rPr>
                <w:rFonts w:ascii="Arial" w:cs="Arial" w:eastAsia="Arial" w:hAnsi="Arial"/>
                <w:sz w:val="22"/>
                <w:szCs w:val="22"/>
                <w:color w:val="auto"/>
              </w:rPr>
              <w:t>10,056</w:t>
            </w:r>
          </w:p>
        </w:tc>
        <w:tc>
          <w:tcPr>
            <w:tcW w:w="0" w:type="dxa"/>
            <w:vAlign w:val="bottom"/>
          </w:tcPr>
          <w:p>
            <w:pPr>
              <w:spacing w:after="0"/>
              <w:rPr>
                <w:sz w:val="1"/>
                <w:szCs w:val="1"/>
                <w:color w:val="auto"/>
              </w:rPr>
            </w:pPr>
          </w:p>
        </w:tc>
      </w:tr>
      <w:tr>
        <w:trPr>
          <w:trHeight w:val="301"/>
        </w:trPr>
        <w:tc>
          <w:tcPr>
            <w:tcW w:w="21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Djalma Novaes</w:t>
            </w:r>
          </w:p>
        </w:tc>
        <w:tc>
          <w:tcPr>
            <w:tcW w:w="9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4,625</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350,020</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c>
          <w:tcPr>
            <w:tcW w:w="122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9,250</w:t>
            </w:r>
          </w:p>
        </w:tc>
        <w:tc>
          <w:tcPr>
            <w:tcW w:w="9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4,978</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350,003</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c>
          <w:tcPr>
            <w:tcW w:w="12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9,956</w:t>
            </w:r>
          </w:p>
        </w:tc>
        <w:tc>
          <w:tcPr>
            <w:tcW w:w="0" w:type="dxa"/>
            <w:vAlign w:val="bottom"/>
          </w:tcPr>
          <w:p>
            <w:pPr>
              <w:spacing w:after="0"/>
              <w:rPr>
                <w:sz w:val="1"/>
                <w:szCs w:val="1"/>
                <w:color w:val="auto"/>
              </w:rPr>
            </w:pPr>
          </w:p>
        </w:tc>
      </w:tr>
      <w:tr>
        <w:trPr>
          <w:trHeight w:val="44"/>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63" w:lineRule="exact"/>
        <w:rPr>
          <w:sz w:val="20"/>
          <w:szCs w:val="20"/>
          <w:color w:val="auto"/>
        </w:rPr>
      </w:pPr>
    </w:p>
    <w:p>
      <w:pPr>
        <w:jc w:val="both"/>
        <w:ind w:left="660" w:hanging="652"/>
        <w:spacing w:after="0" w:line="27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shares awarded to Messrs. Donahue, Kelly, Gifford and Novaes are unvested restricted shares. Mr. Sourisseau instead receives a commitment for a future award of deferred shares that are to be issued subject to the same time-based and performance-based conditions as relate to the restricted stock granted to the other NEOs and that are to be issued at the same time that restricted shares are vested for the other NEOs. For ease of reference, this document uses the term “restricted shares” for all shares, whether restricted or deferred.</w:t>
      </w:r>
    </w:p>
    <w:p>
      <w:pPr>
        <w:spacing w:after="0" w:line="16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Pay-for-Performance Alignment – Performance-Based Shares. </w:t>
      </w:r>
      <w:r>
        <w:rPr>
          <w:rFonts w:ascii="Arial" w:cs="Arial" w:eastAsia="Arial" w:hAnsi="Arial"/>
          <w:sz w:val="21"/>
          <w:szCs w:val="21"/>
          <w:color w:val="auto"/>
        </w:rPr>
        <w:t>In 2021, based on the Company’s strong performance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three-year measurement period ending December 31, 2020, 48.5% more performance shares vested above the target established for the Company’s NEOs, including the CEO, at the time they were awarded in 2018. The additional performance-based shares were attributable to over-achievement on the TSR metric that resulted in an award of 100% over the target established in 2018 and achievement of the ROIC target that resulted in an award equal to the target established in 2018. In 2020, 21.3% more performance shares vested above the target established for the Company’s NEOs, including the CEO, at the time they were awarded in 2017. Based on the Company’s under-performance for the measurement periods related to the vesting of performance-based shares in 2018 and 2019, the Company’s NEOs, including the CEO, forfeited 100% of the performance-based shares targeted for vesting in 2018 and 2019. The Committee views these outcomes as demonstrative of the Company’s “pay-for-performance” philosophy.</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i w:val="1"/>
          <w:iCs w:val="1"/>
          <w:color w:val="auto"/>
        </w:rPr>
        <w:t>Clawback Policy</w:t>
      </w:r>
      <w:r>
        <w:rPr>
          <w:rFonts w:ascii="Arial" w:cs="Arial" w:eastAsia="Arial" w:hAnsi="Arial"/>
          <w:sz w:val="21"/>
          <w:szCs w:val="21"/>
          <w:color w:val="auto"/>
        </w:rPr>
        <w:t>. Beginning with 2021 grants, the Company adopted a new clawback policy applicable to performance-based equity awards. Under the clawback policy, if the Company is required to restate its financial statements resulting in the Company’s financial results being reduced such that an equity award (or any portion thereof) would not have been awarded (or would have been awarded with respect to a smaller number of shares),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w:t>
      </w:r>
    </w:p>
    <w:p>
      <w:pPr>
        <w:jc w:val="center"/>
        <w:ind w:right="4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471" w:right="339" w:bottom="1440" w:gutter="0" w:footer="0" w:header="0"/>
        </w:sectPr>
      </w:pPr>
    </w:p>
    <w:bookmarkStart w:id="48" w:name="page49"/>
    <w:bookmarkEnd w:id="48"/>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Retirement Benefits. </w:t>
      </w:r>
      <w:r>
        <w:rPr>
          <w:rFonts w:ascii="Arial" w:cs="Arial" w:eastAsia="Arial" w:hAnsi="Arial"/>
          <w:sz w:val="22"/>
          <w:szCs w:val="22"/>
          <w:color w:val="auto"/>
        </w:rPr>
        <w:t>To attract and retain highly qualified senior executives and as an incentive for long-term</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the Company maintains a number of retirement plans.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U.S. Pension Plan</w:t>
      </w:r>
      <w:r>
        <w:rPr>
          <w:rFonts w:ascii="Arial" w:cs="Arial" w:eastAsia="Arial" w:hAnsi="Arial"/>
          <w:sz w:val="19"/>
          <w:szCs w:val="19"/>
          <w:color w:val="auto"/>
        </w:rPr>
        <w:t>. In the United States, the Company maintains a defined benefit pension plan (the “U.S. Pension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for certain eligible employees in which all NEOs except Mr. Sourisseau participate. The U.S. Pension Plan is designed and administered to qualify under Section 401(a) of the Internal Revenue Code of 1986, as amended (the “Code”).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2020, benefits from the U.S. Pension Plan are limited to $230,000 per year and may be based only on the first $285,000 of an employee’s annual earnings.</w:t>
      </w:r>
    </w:p>
    <w:p>
      <w:pPr>
        <w:spacing w:after="0" w:line="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Senior Executive Retirement Plan</w:t>
      </w:r>
      <w:r>
        <w:rPr>
          <w:rFonts w:ascii="Arial" w:cs="Arial" w:eastAsia="Arial" w:hAnsi="Arial"/>
          <w:sz w:val="19"/>
          <w:szCs w:val="19"/>
          <w:color w:val="auto"/>
        </w:rPr>
        <w:t>. Because of the benefit limits under the U.S. Pension Plan described above,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provides additional retirement benefits to the NEOs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cases of Messrs. Gifford and Sourisseau, the SERP is also reduced by their benefits under the Company’s Restoration Plan and Swiss Pension Plan, respectively (described below). The ultimate amount to be paid to each NEO under the SERP is subject to interest rate sensitivity. See footnote 4 on page 56 for more information.</w:t>
      </w:r>
    </w:p>
    <w:p>
      <w:pPr>
        <w:spacing w:after="0" w:line="15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annual retirement benefit payable to the NEO’s named beneficiaries.</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SERP participants vest in their benefits at the earliest of five years of participation, specified retirement dates, total disability or upon a “change in control” of the Company. Messrs. Donahue, Kelly, Gifford and Novaes are vested.</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Restoration Plan</w:t>
      </w:r>
      <w:r>
        <w:rPr>
          <w:rFonts w:ascii="Arial" w:cs="Arial" w:eastAsia="Arial" w:hAnsi="Arial"/>
          <w:sz w:val="19"/>
          <w:szCs w:val="19"/>
          <w:color w:val="auto"/>
        </w:rPr>
        <w:t>. Prior to participating in the SERP, Mr. Gifford became a participant in the Company’s Restoration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As described above, the benefits to which Mr. Gifford is entitled under the SERP will be offset by the benefits to which he is entitled under the Restoration Plan.</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U.S. Defined Contribution Plan</w:t>
      </w:r>
      <w:r>
        <w:rPr>
          <w:rFonts w:ascii="Arial" w:cs="Arial" w:eastAsia="Arial" w:hAnsi="Arial"/>
          <w:sz w:val="22"/>
          <w:szCs w:val="22"/>
          <w:color w:val="auto"/>
        </w:rPr>
        <w:t>. The Company also maintains a tax-qualified 401(k) Retirement Savings Plan to which all</w:t>
      </w:r>
      <w:r>
        <w:rPr>
          <w:rFonts w:ascii="Arial" w:cs="Arial" w:eastAsia="Arial" w:hAnsi="Arial"/>
          <w:sz w:val="22"/>
          <w:szCs w:val="22"/>
          <w:i w:val="1"/>
          <w:iCs w:val="1"/>
          <w:color w:val="auto"/>
        </w:rPr>
        <w:t xml:space="preserve"> </w:t>
      </w:r>
      <w:r>
        <w:rPr>
          <w:rFonts w:ascii="Arial" w:cs="Arial" w:eastAsia="Arial" w:hAnsi="Arial"/>
          <w:sz w:val="22"/>
          <w:szCs w:val="22"/>
          <w:color w:val="auto"/>
        </w:rPr>
        <w:t>U.S. salaried employees, including all NEOs other than Mr. Sourisseau, are able to contribute a portion of their salaries on a pre-tax basis. Subject to certain Code limits, the Company will match 50% of the first 3% of salary that is contributed to this 401(k) plan.</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463" w:right="339" w:bottom="1440" w:gutter="0" w:footer="0" w:header="0"/>
        </w:sectPr>
      </w:pPr>
    </w:p>
    <w:bookmarkStart w:id="49" w:name="page50"/>
    <w:bookmarkEnd w:id="49"/>
    <w:p>
      <w:pPr>
        <w:jc w:val="both"/>
        <w:ind w:firstLine="648"/>
        <w:spacing w:after="0" w:line="236" w:lineRule="auto"/>
        <w:rPr>
          <w:sz w:val="20"/>
          <w:szCs w:val="20"/>
          <w:color w:val="auto"/>
        </w:rPr>
      </w:pPr>
      <w:r>
        <w:rPr>
          <w:rFonts w:ascii="Arial" w:cs="Arial" w:eastAsia="Arial" w:hAnsi="Arial"/>
          <w:sz w:val="22"/>
          <w:szCs w:val="22"/>
          <w:i w:val="1"/>
          <w:iCs w:val="1"/>
          <w:color w:val="auto"/>
        </w:rPr>
        <w:t>Swiss Defined Contribution Pension Plan</w:t>
      </w:r>
      <w:r>
        <w:rPr>
          <w:rFonts w:ascii="Arial" w:cs="Arial" w:eastAsia="Arial" w:hAnsi="Arial"/>
          <w:sz w:val="22"/>
          <w:szCs w:val="22"/>
          <w:color w:val="auto"/>
        </w:rPr>
        <w:t>. Mr. Sourisseau participates in a defined contribution pension plan maintained</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benefit of certain Company employees in Switzerland (the “Swiss Pension Plan”). For each year Mr. Sourisseau participates in the Swiss Pension Plan, the Company will contribute an amount on Mr. Sourisseau’s behalf equal to 12% times the sum of (i) the lesser of his target bonus and his actual bonus for such year and (ii) his base salary for such year (in each case, reduced in coordination with certain statutory limits).</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Perquisites. </w:t>
      </w:r>
      <w:r>
        <w:rPr>
          <w:rFonts w:ascii="Arial" w:cs="Arial" w:eastAsia="Arial" w:hAnsi="Arial"/>
          <w:sz w:val="22"/>
          <w:szCs w:val="22"/>
          <w:color w:val="auto"/>
        </w:rPr>
        <w:t>The Company provides the NEOs with a limited number of perquisites and other personal benefits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believes are 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Severance. </w:t>
      </w:r>
      <w:r>
        <w:rPr>
          <w:rFonts w:ascii="Arial" w:cs="Arial" w:eastAsia="Arial" w:hAnsi="Arial"/>
          <w:sz w:val="19"/>
          <w:szCs w:val="19"/>
          <w:color w:val="auto"/>
        </w:rPr>
        <w:t>The Company has employment agreements with all of the NEOs. In addition to the compensation components</w:t>
      </w:r>
      <w:r>
        <w:rPr>
          <w:rFonts w:ascii="Arial" w:cs="Arial" w:eastAsia="Arial" w:hAnsi="Arial"/>
          <w:sz w:val="19"/>
          <w:szCs w:val="19"/>
          <w:b w:val="1"/>
          <w:bCs w:val="1"/>
          <w:color w:val="auto"/>
        </w:rPr>
        <w:t xml:space="preserve"> </w:t>
      </w:r>
      <w:r>
        <w:rPr>
          <w:rFonts w:ascii="Arial" w:cs="Arial" w:eastAsia="Arial" w:hAnsi="Arial"/>
          <w:sz w:val="19"/>
          <w:szCs w:val="19"/>
          <w:color w:val="auto"/>
        </w:rPr>
        <w:t>listed above, these contracts provide for post-employment severance payments and benefits in the event of employment termination under certain circumstances. For more information regarding these potential severance payments and benefits,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Tax Deductibility of Executive Compensation. </w:t>
      </w:r>
      <w:r>
        <w:rPr>
          <w:rFonts w:ascii="Arial" w:cs="Arial" w:eastAsia="Arial" w:hAnsi="Arial"/>
          <w:sz w:val="19"/>
          <w:szCs w:val="19"/>
          <w:color w:val="auto"/>
        </w:rPr>
        <w:t>The Tax Cuts and Jobs Act, which was passed in December 2017,</w:t>
      </w:r>
      <w:r>
        <w:rPr>
          <w:rFonts w:ascii="Arial" w:cs="Arial" w:eastAsia="Arial" w:hAnsi="Arial"/>
          <w:sz w:val="19"/>
          <w:szCs w:val="19"/>
          <w:b w:val="1"/>
          <w:bCs w:val="1"/>
          <w:color w:val="auto"/>
        </w:rPr>
        <w:t xml:space="preserve"> </w:t>
      </w:r>
      <w:r>
        <w:rPr>
          <w:rFonts w:ascii="Arial" w:cs="Arial" w:eastAsia="Arial" w:hAnsi="Arial"/>
          <w:sz w:val="19"/>
          <w:szCs w:val="19"/>
          <w:color w:val="auto"/>
        </w:rPr>
        <w:t>eliminated the “performance-based” compensation exemption under Section 162(m) of the Code and made several other significant changes to Section 162(m). Consequently, since 2018, compensation paid or accrued by the Company for U.S. federal income tax purposes in excess of $1 million with respect to each of our CEO, our Chief Financial Officer and our other NEOs is not tax deductible regardless of whether such compensation would have qualified for the “performance-based” exemption under prior law. Any individual who was a “covered employee” (as defined in Section 162(m) of the Code) in 2017 or becomes a covered employee thereafter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 However, consistent with our compensation philosophy of linking pay to performance and aligning executive interests with those of our Shareholders, we currently expect that we will continue to structure our executive compensation program so that a significant portion of total executive compensation is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469" w:right="339" w:bottom="1440" w:gutter="0" w:footer="0" w:header="0"/>
        </w:sectPr>
      </w:pPr>
    </w:p>
    <w:bookmarkStart w:id="50" w:name="page51"/>
    <w:bookmarkEnd w:id="50"/>
    <w:p>
      <w:pPr>
        <w:spacing w:after="0"/>
        <w:rPr>
          <w:sz w:val="20"/>
          <w:szCs w:val="20"/>
          <w:color w:val="auto"/>
        </w:rPr>
      </w:pPr>
      <w:r>
        <w:rPr>
          <w:rFonts w:ascii="Arial" w:cs="Arial" w:eastAsia="Arial" w:hAnsi="Arial"/>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Compensation Committee has reviewed and discussed the foregoing Compensation Discussion and Analysis required by Item 402(b) of Regulation S-K with the Company’s management. Based on such review and discussions, the Compensation Committee recommended to the Board of Directors that the Compensation Discussion and Analysis be included in this Proxy Statement.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report is respectfully submitted on February 24, 2021 by the members of the Compensation Committee.</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 xml:space="preserve">Jim Turner, </w:t>
      </w:r>
      <w:r>
        <w:rPr>
          <w:rFonts w:ascii="Arial" w:cs="Arial" w:eastAsia="Arial" w:hAnsi="Arial"/>
          <w:sz w:val="22"/>
          <w:szCs w:val="22"/>
          <w:i w:val="1"/>
          <w:iCs w:val="1"/>
          <w:color w:val="auto"/>
        </w:rPr>
        <w:t>Chair</w:t>
      </w:r>
    </w:p>
    <w:p>
      <w:pPr>
        <w:ind w:left="5620"/>
        <w:spacing w:after="0" w:line="238" w:lineRule="auto"/>
        <w:rPr>
          <w:sz w:val="20"/>
          <w:szCs w:val="20"/>
          <w:color w:val="auto"/>
        </w:rPr>
      </w:pPr>
      <w:r>
        <w:rPr>
          <w:rFonts w:ascii="Arial" w:cs="Arial" w:eastAsia="Arial" w:hAnsi="Arial"/>
          <w:sz w:val="22"/>
          <w:szCs w:val="22"/>
          <w:color w:val="auto"/>
        </w:rPr>
        <w:t>Andrea Funk</w:t>
      </w:r>
    </w:p>
    <w:p>
      <w:pPr>
        <w:ind w:left="5620"/>
        <w:spacing w:after="0" w:line="230" w:lineRule="auto"/>
        <w:rPr>
          <w:sz w:val="20"/>
          <w:szCs w:val="20"/>
          <w:color w:val="auto"/>
        </w:rPr>
      </w:pPr>
      <w:r>
        <w:rPr>
          <w:rFonts w:ascii="Arial" w:cs="Arial" w:eastAsia="Arial" w:hAnsi="Arial"/>
          <w:sz w:val="22"/>
          <w:szCs w:val="22"/>
          <w:color w:val="auto"/>
        </w:rPr>
        <w:t>Stephen Hagge</w:t>
      </w:r>
    </w:p>
    <w:p>
      <w:pPr>
        <w:ind w:left="5620"/>
        <w:spacing w:after="0" w:line="231" w:lineRule="auto"/>
        <w:rPr>
          <w:sz w:val="20"/>
          <w:szCs w:val="20"/>
          <w:color w:val="auto"/>
        </w:rPr>
      </w:pPr>
      <w:r>
        <w:rPr>
          <w:rFonts w:ascii="Arial" w:cs="Arial" w:eastAsia="Arial" w:hAnsi="Arial"/>
          <w:sz w:val="22"/>
          <w:szCs w:val="22"/>
          <w:color w:val="auto"/>
        </w:rPr>
        <w:t>James Miller</w:t>
      </w:r>
    </w:p>
    <w:p>
      <w:pPr>
        <w:ind w:left="5620"/>
        <w:spacing w:after="0"/>
        <w:rPr>
          <w:sz w:val="20"/>
          <w:szCs w:val="20"/>
          <w:color w:val="auto"/>
        </w:rPr>
      </w:pPr>
      <w:r>
        <w:rPr>
          <w:rFonts w:ascii="Arial" w:cs="Arial" w:eastAsia="Arial" w:hAnsi="Arial"/>
          <w:sz w:val="22"/>
          <w:szCs w:val="22"/>
          <w:color w:val="auto"/>
        </w:rPr>
        <w:t>Josef Müller</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449" w:right="33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3"/>
          <w:szCs w:val="23"/>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9019"/>
          </w:cols>
          <w:pgMar w:left="1440" w:top="1440"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lists certain information regarding compensation earned during the Company’s last three fiscal years by the Company’s Chief Executive Officer, Chief Financial Officer and other three Executive Officers who were the highest paid during 2020.</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20" w:type="dxa"/>
            <w:vAlign w:val="bottom"/>
            <w:tcBorders>
              <w:top w:val="single" w:sz="8" w:color="auto"/>
              <w:left w:val="single" w:sz="8" w:color="auto"/>
            </w:tcBorders>
            <w:shd w:val="clear" w:color="auto" w:fill="29650B"/>
          </w:tcPr>
          <w:p>
            <w:pPr>
              <w:spacing w:after="0"/>
              <w:rPr>
                <w:sz w:val="18"/>
                <w:szCs w:val="18"/>
                <w:color w:val="auto"/>
              </w:rPr>
            </w:pPr>
          </w:p>
        </w:tc>
        <w:tc>
          <w:tcPr>
            <w:tcW w:w="660" w:type="dxa"/>
            <w:vAlign w:val="bottom"/>
            <w:tcBorders>
              <w:top w:val="single" w:sz="8" w:color="auto"/>
            </w:tcBorders>
            <w:shd w:val="clear" w:color="auto" w:fill="29650B"/>
          </w:tcPr>
          <w:p>
            <w:pPr>
              <w:spacing w:after="0"/>
              <w:rPr>
                <w:sz w:val="18"/>
                <w:szCs w:val="18"/>
                <w:color w:val="auto"/>
              </w:rPr>
            </w:pPr>
          </w:p>
        </w:tc>
        <w:tc>
          <w:tcPr>
            <w:tcW w:w="1100" w:type="dxa"/>
            <w:vAlign w:val="bottom"/>
            <w:tcBorders>
              <w:top w:val="single" w:sz="8" w:color="auto"/>
            </w:tcBorders>
            <w:shd w:val="clear" w:color="auto" w:fill="29650B"/>
          </w:tcPr>
          <w:p>
            <w:pPr>
              <w:spacing w:after="0"/>
              <w:rPr>
                <w:sz w:val="18"/>
                <w:szCs w:val="18"/>
                <w:color w:val="auto"/>
              </w:rPr>
            </w:pPr>
          </w:p>
        </w:tc>
        <w:tc>
          <w:tcPr>
            <w:tcW w:w="1200" w:type="dxa"/>
            <w:vAlign w:val="bottom"/>
            <w:tcBorders>
              <w:top w:val="single" w:sz="8" w:color="auto"/>
            </w:tcBorders>
            <w:shd w:val="clear" w:color="auto" w:fill="29650B"/>
          </w:tcPr>
          <w:p>
            <w:pPr>
              <w:spacing w:after="0"/>
              <w:rPr>
                <w:sz w:val="18"/>
                <w:szCs w:val="18"/>
                <w:color w:val="auto"/>
              </w:rPr>
            </w:pPr>
          </w:p>
        </w:tc>
        <w:tc>
          <w:tcPr>
            <w:tcW w:w="1340" w:type="dxa"/>
            <w:vAlign w:val="bottom"/>
            <w:tcBorders>
              <w:top w:val="single" w:sz="8" w:color="auto"/>
            </w:tcBorders>
            <w:shd w:val="clear" w:color="auto" w:fill="29650B"/>
          </w:tcPr>
          <w:p>
            <w:pPr>
              <w:spacing w:after="0"/>
              <w:rPr>
                <w:sz w:val="18"/>
                <w:szCs w:val="18"/>
                <w:color w:val="auto"/>
              </w:rPr>
            </w:pPr>
          </w:p>
        </w:tc>
        <w:tc>
          <w:tcPr>
            <w:tcW w:w="1360" w:type="dxa"/>
            <w:vAlign w:val="bottom"/>
            <w:tcBorders>
              <w:top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380" w:type="dxa"/>
            <w:vAlign w:val="bottom"/>
            <w:tcBorders>
              <w:top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62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Pension Value</w:t>
            </w:r>
          </w:p>
        </w:tc>
        <w:tc>
          <w:tcPr>
            <w:tcW w:w="1380" w:type="dxa"/>
            <w:vAlign w:val="bottom"/>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r>
      <w:tr>
        <w:trPr>
          <w:trHeight w:val="216"/>
        </w:trPr>
        <w:tc>
          <w:tcPr>
            <w:tcW w:w="262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and</w:t>
            </w:r>
          </w:p>
        </w:tc>
        <w:tc>
          <w:tcPr>
            <w:tcW w:w="1380" w:type="dxa"/>
            <w:vAlign w:val="bottom"/>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r>
      <w:tr>
        <w:trPr>
          <w:trHeight w:val="216"/>
        </w:trPr>
        <w:tc>
          <w:tcPr>
            <w:tcW w:w="262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Nonqualified</w:t>
            </w:r>
          </w:p>
        </w:tc>
        <w:tc>
          <w:tcPr>
            <w:tcW w:w="1380" w:type="dxa"/>
            <w:vAlign w:val="bottom"/>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r>
      <w:tr>
        <w:trPr>
          <w:trHeight w:val="216"/>
        </w:trPr>
        <w:tc>
          <w:tcPr>
            <w:tcW w:w="262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jc w:val="right"/>
              <w:ind w:right="130"/>
              <w:spacing w:after="0"/>
              <w:rPr>
                <w:sz w:val="20"/>
                <w:szCs w:val="20"/>
                <w:color w:val="auto"/>
              </w:rPr>
            </w:pPr>
            <w:r>
              <w:rPr>
                <w:rFonts w:ascii="Arial" w:cs="Arial" w:eastAsia="Arial" w:hAnsi="Arial"/>
                <w:sz w:val="18"/>
                <w:szCs w:val="18"/>
                <w:b w:val="1"/>
                <w:bCs w:val="1"/>
                <w:color w:val="FFFFFF"/>
              </w:rPr>
              <w:t>Non-Equity</w:t>
            </w: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Deferred</w:t>
            </w:r>
          </w:p>
        </w:tc>
        <w:tc>
          <w:tcPr>
            <w:tcW w:w="138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580" w:type="dxa"/>
            <w:vAlign w:val="bottom"/>
            <w:tcBorders>
              <w:right w:val="single" w:sz="8" w:color="auto"/>
            </w:tcBorders>
            <w:shd w:val="clear" w:color="auto" w:fill="29650B"/>
          </w:tcPr>
          <w:p>
            <w:pPr>
              <w:spacing w:after="0"/>
              <w:rPr>
                <w:sz w:val="18"/>
                <w:szCs w:val="18"/>
                <w:color w:val="auto"/>
              </w:rPr>
            </w:pPr>
          </w:p>
        </w:tc>
      </w:tr>
      <w:tr>
        <w:trPr>
          <w:trHeight w:val="216"/>
        </w:trPr>
        <w:tc>
          <w:tcPr>
            <w:tcW w:w="2620" w:type="dxa"/>
            <w:vAlign w:val="bottom"/>
            <w:tcBorders>
              <w:left w:val="single" w:sz="8" w:color="auto"/>
            </w:tcBorders>
            <w:shd w:val="clear" w:color="auto" w:fill="29650B"/>
          </w:tcPr>
          <w:p>
            <w:pPr>
              <w:spacing w:after="0"/>
              <w:rPr>
                <w:sz w:val="18"/>
                <w:szCs w:val="18"/>
                <w:color w:val="auto"/>
              </w:rPr>
            </w:pPr>
          </w:p>
        </w:tc>
        <w:tc>
          <w:tcPr>
            <w:tcW w:w="660" w:type="dxa"/>
            <w:vAlign w:val="bottom"/>
            <w:shd w:val="clear" w:color="auto" w:fill="29650B"/>
          </w:tcPr>
          <w:p>
            <w:pPr>
              <w:spacing w:after="0"/>
              <w:rPr>
                <w:sz w:val="18"/>
                <w:szCs w:val="18"/>
                <w:color w:val="auto"/>
              </w:rPr>
            </w:pPr>
          </w:p>
        </w:tc>
        <w:tc>
          <w:tcPr>
            <w:tcW w:w="1100" w:type="dxa"/>
            <w:vAlign w:val="bottom"/>
            <w:shd w:val="clear" w:color="auto" w:fill="29650B"/>
          </w:tcPr>
          <w:p>
            <w:pPr>
              <w:spacing w:after="0"/>
              <w:rPr>
                <w:sz w:val="18"/>
                <w:szCs w:val="18"/>
                <w:color w:val="auto"/>
              </w:rPr>
            </w:pPr>
          </w:p>
        </w:tc>
        <w:tc>
          <w:tcPr>
            <w:tcW w:w="1200" w:type="dxa"/>
            <w:vAlign w:val="bottom"/>
            <w:shd w:val="clear" w:color="auto" w:fill="29650B"/>
          </w:tcPr>
          <w:p>
            <w:pPr>
              <w:jc w:val="right"/>
              <w:ind w:right="310"/>
              <w:spacing w:after="0"/>
              <w:rPr>
                <w:sz w:val="20"/>
                <w:szCs w:val="20"/>
                <w:color w:val="auto"/>
              </w:rPr>
            </w:pPr>
            <w:r>
              <w:rPr>
                <w:rFonts w:ascii="Arial" w:cs="Arial" w:eastAsia="Arial" w:hAnsi="Arial"/>
                <w:sz w:val="18"/>
                <w:szCs w:val="18"/>
                <w:b w:val="1"/>
                <w:bCs w:val="1"/>
                <w:color w:val="FFFFFF"/>
              </w:rPr>
              <w:t>Stock</w:t>
            </w:r>
          </w:p>
        </w:tc>
        <w:tc>
          <w:tcPr>
            <w:tcW w:w="1340" w:type="dxa"/>
            <w:vAlign w:val="bottom"/>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9"/>
              </w:rPr>
              <w:t>Incentive Plan</w:t>
            </w:r>
          </w:p>
        </w:tc>
        <w:tc>
          <w:tcPr>
            <w:tcW w:w="136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380" w:type="dxa"/>
            <w:vAlign w:val="bottom"/>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1580" w:type="dxa"/>
            <w:vAlign w:val="bottom"/>
            <w:tcBorders>
              <w:right w:val="single" w:sz="8" w:color="auto"/>
            </w:tcBorders>
            <w:shd w:val="clear" w:color="auto" w:fill="29650B"/>
          </w:tcPr>
          <w:p>
            <w:pPr>
              <w:jc w:val="right"/>
              <w:ind w:right="490"/>
              <w:spacing w:after="0"/>
              <w:rPr>
                <w:sz w:val="20"/>
                <w:szCs w:val="20"/>
                <w:color w:val="auto"/>
              </w:rPr>
            </w:pPr>
            <w:r>
              <w:rPr>
                <w:rFonts w:ascii="Arial" w:cs="Arial" w:eastAsia="Arial" w:hAnsi="Arial"/>
                <w:sz w:val="18"/>
                <w:szCs w:val="18"/>
                <w:b w:val="1"/>
                <w:bCs w:val="1"/>
                <w:color w:val="FFFFFF"/>
              </w:rPr>
              <w:t>Total</w:t>
            </w:r>
          </w:p>
        </w:tc>
      </w:tr>
      <w:tr>
        <w:trPr>
          <w:trHeight w:val="234"/>
        </w:trPr>
        <w:tc>
          <w:tcPr>
            <w:tcW w:w="2620" w:type="dxa"/>
            <w:vAlign w:val="bottom"/>
            <w:tcBorders>
              <w:left w:val="single" w:sz="8" w:color="auto"/>
              <w:bottom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Name and Principal Position</w:t>
            </w:r>
          </w:p>
        </w:tc>
        <w:tc>
          <w:tcPr>
            <w:tcW w:w="660" w:type="dxa"/>
            <w:vAlign w:val="bottom"/>
            <w:tcBorders>
              <w:bottom w:val="single" w:sz="8" w:color="auto"/>
            </w:tcBorders>
            <w:shd w:val="clear" w:color="auto" w:fill="29650B"/>
          </w:tcPr>
          <w:p>
            <w:pPr>
              <w:ind w:left="120"/>
              <w:spacing w:after="0"/>
              <w:rPr>
                <w:sz w:val="20"/>
                <w:szCs w:val="20"/>
                <w:color w:val="auto"/>
              </w:rPr>
            </w:pPr>
            <w:r>
              <w:rPr>
                <w:rFonts w:ascii="Arial" w:cs="Arial" w:eastAsia="Arial" w:hAnsi="Arial"/>
                <w:sz w:val="18"/>
                <w:szCs w:val="18"/>
                <w:b w:val="1"/>
                <w:bCs w:val="1"/>
                <w:color w:val="FFFFFF"/>
              </w:rPr>
              <w:t>Year</w:t>
            </w:r>
          </w:p>
        </w:tc>
        <w:tc>
          <w:tcPr>
            <w:tcW w:w="1100" w:type="dxa"/>
            <w:vAlign w:val="bottom"/>
            <w:tcBorders>
              <w:bottom w:val="single" w:sz="8" w:color="auto"/>
            </w:tcBorders>
            <w:shd w:val="clear" w:color="auto" w:fill="29650B"/>
          </w:tcPr>
          <w:p>
            <w:pPr>
              <w:jc w:val="right"/>
              <w:ind w:right="210"/>
              <w:spacing w:after="0"/>
              <w:rPr>
                <w:sz w:val="20"/>
                <w:szCs w:val="20"/>
                <w:color w:val="auto"/>
              </w:rPr>
            </w:pPr>
            <w:r>
              <w:rPr>
                <w:rFonts w:ascii="Arial" w:cs="Arial" w:eastAsia="Arial" w:hAnsi="Arial"/>
                <w:sz w:val="18"/>
                <w:szCs w:val="18"/>
                <w:b w:val="1"/>
                <w:bCs w:val="1"/>
                <w:color w:val="FFFFFF"/>
              </w:rPr>
              <w:t>Salary</w:t>
            </w:r>
          </w:p>
        </w:tc>
        <w:tc>
          <w:tcPr>
            <w:tcW w:w="1200" w:type="dxa"/>
            <w:vAlign w:val="bottom"/>
            <w:tcBorders>
              <w:bottom w:val="single" w:sz="8" w:color="auto"/>
            </w:tcBorders>
            <w:shd w:val="clear" w:color="auto" w:fill="29650B"/>
          </w:tcPr>
          <w:p>
            <w:pPr>
              <w:jc w:val="right"/>
              <w:ind w:right="90"/>
              <w:spacing w:after="0"/>
              <w:rPr>
                <w:sz w:val="20"/>
                <w:szCs w:val="20"/>
                <w:color w:val="auto"/>
              </w:rPr>
            </w:pPr>
            <w:r>
              <w:rPr>
                <w:rFonts w:ascii="Arial" w:cs="Arial" w:eastAsia="Arial" w:hAnsi="Arial"/>
                <w:sz w:val="18"/>
                <w:szCs w:val="18"/>
                <w:b w:val="1"/>
                <w:bCs w:val="1"/>
                <w:color w:val="FFFFFF"/>
              </w:rPr>
              <w:t>Awards (1)</w:t>
            </w:r>
          </w:p>
        </w:tc>
        <w:tc>
          <w:tcPr>
            <w:tcW w:w="1340" w:type="dxa"/>
            <w:vAlign w:val="bottom"/>
            <w:tcBorders>
              <w:bottom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5"/>
              </w:rPr>
              <w:t>Compensation</w:t>
            </w:r>
          </w:p>
        </w:tc>
        <w:tc>
          <w:tcPr>
            <w:tcW w:w="136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Earnings (2)</w:t>
            </w:r>
          </w:p>
        </w:tc>
        <w:tc>
          <w:tcPr>
            <w:tcW w:w="1380" w:type="dxa"/>
            <w:vAlign w:val="bottom"/>
            <w:tcBorders>
              <w:bottom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(3)</w:t>
            </w:r>
          </w:p>
        </w:tc>
        <w:tc>
          <w:tcPr>
            <w:tcW w:w="158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w w:val="97"/>
              </w:rPr>
              <w:t>Compensation(4)</w:t>
            </w:r>
          </w:p>
        </w:tc>
      </w:tr>
      <w:tr>
        <w:trPr>
          <w:trHeight w:val="411"/>
        </w:trPr>
        <w:tc>
          <w:tcPr>
            <w:tcW w:w="26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Timothy Donahue</w:t>
            </w:r>
          </w:p>
        </w:tc>
        <w:tc>
          <w:tcPr>
            <w:tcW w:w="660" w:type="dxa"/>
            <w:vAlign w:val="bottom"/>
          </w:tcPr>
          <w:p>
            <w:pPr>
              <w:ind w:left="120"/>
              <w:spacing w:after="0"/>
              <w:rPr>
                <w:sz w:val="20"/>
                <w:szCs w:val="20"/>
                <w:color w:val="auto"/>
              </w:rPr>
            </w:pPr>
            <w:r>
              <w:rPr>
                <w:rFonts w:ascii="Arial" w:cs="Arial" w:eastAsia="Arial" w:hAnsi="Arial"/>
                <w:sz w:val="18"/>
                <w:szCs w:val="18"/>
                <w:color w:val="auto"/>
              </w:rPr>
              <w:t>2020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$6,239,951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$2,880,000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$5,714,297</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$1,486,791</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$17,521,039</w:t>
            </w:r>
          </w:p>
        </w:tc>
      </w:tr>
      <w:tr>
        <w:trPr>
          <w:trHeight w:val="216"/>
        </w:trPr>
        <w:tc>
          <w:tcPr>
            <w:tcW w:w="26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President and Chief</w:t>
            </w:r>
          </w:p>
        </w:tc>
        <w:tc>
          <w:tcPr>
            <w:tcW w:w="660" w:type="dxa"/>
            <w:vAlign w:val="bottom"/>
          </w:tcPr>
          <w:p>
            <w:pPr>
              <w:ind w:left="120"/>
              <w:spacing w:after="0"/>
              <w:rPr>
                <w:sz w:val="20"/>
                <w:szCs w:val="20"/>
                <w:color w:val="auto"/>
              </w:rPr>
            </w:pPr>
            <w:r>
              <w:rPr>
                <w:rFonts w:ascii="Arial" w:cs="Arial" w:eastAsia="Arial" w:hAnsi="Arial"/>
                <w:sz w:val="18"/>
                <w:szCs w:val="18"/>
                <w:color w:val="auto"/>
              </w:rPr>
              <w:t>2019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6,005,970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1,711,710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4,056,957</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1,081,053</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14,010,690</w:t>
            </w:r>
          </w:p>
        </w:tc>
      </w:tr>
      <w:tr>
        <w:trPr>
          <w:trHeight w:val="230"/>
        </w:trPr>
        <w:tc>
          <w:tcPr>
            <w:tcW w:w="26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Executive Officer</w:t>
            </w:r>
          </w:p>
        </w:tc>
        <w:tc>
          <w:tcPr>
            <w:tcW w:w="660" w:type="dxa"/>
            <w:vAlign w:val="bottom"/>
          </w:tcPr>
          <w:p>
            <w:pPr>
              <w:ind w:left="120"/>
              <w:spacing w:after="0"/>
              <w:rPr>
                <w:sz w:val="20"/>
                <w:szCs w:val="20"/>
                <w:color w:val="auto"/>
              </w:rPr>
            </w:pPr>
            <w:r>
              <w:rPr>
                <w:rFonts w:ascii="Arial" w:cs="Arial" w:eastAsia="Arial" w:hAnsi="Arial"/>
                <w:sz w:val="18"/>
                <w:szCs w:val="18"/>
                <w:color w:val="auto"/>
              </w:rPr>
              <w:t>2018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5,720,055</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1,735,800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1,183,618</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77,268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9,816,741</w:t>
            </w:r>
          </w:p>
        </w:tc>
      </w:tr>
      <w:tr>
        <w:trPr>
          <w:trHeight w:val="216"/>
        </w:trPr>
        <w:tc>
          <w:tcPr>
            <w:tcW w:w="262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262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2020</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710,000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1,278,019</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1,136,000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2.109,946</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546,439</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5,780,404</w:t>
            </w:r>
          </w:p>
        </w:tc>
      </w:tr>
      <w:tr>
        <w:trPr>
          <w:trHeight w:val="216"/>
        </w:trPr>
        <w:tc>
          <w:tcPr>
            <w:tcW w:w="2620" w:type="dxa"/>
            <w:vAlign w:val="bottom"/>
            <w:tcBorders>
              <w:lef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Senior Vice President</w:t>
            </w: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685,000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1,233,018</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676,780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1,666,986</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443,939</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4,705,723</w:t>
            </w:r>
          </w:p>
        </w:tc>
      </w:tr>
      <w:tr>
        <w:trPr>
          <w:trHeight w:val="216"/>
        </w:trPr>
        <w:tc>
          <w:tcPr>
            <w:tcW w:w="2620" w:type="dxa"/>
            <w:vAlign w:val="bottom"/>
            <w:tcBorders>
              <w:lef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and Chief Financial Officer</w:t>
            </w: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2018</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650,000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1,169,970</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683,800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532,453</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135,353</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3,171,576</w:t>
            </w:r>
          </w:p>
        </w:tc>
      </w:tr>
      <w:tr>
        <w:trPr>
          <w:trHeight w:val="216"/>
        </w:trPr>
        <w:tc>
          <w:tcPr>
            <w:tcW w:w="2620" w:type="dxa"/>
            <w:vAlign w:val="bottom"/>
            <w:tcBorders>
              <w:left w:val="single" w:sz="8" w:color="auto"/>
            </w:tcBorders>
            <w:shd w:val="clear" w:color="auto" w:fill="D9D9D9"/>
          </w:tcPr>
          <w:p>
            <w:pPr>
              <w:spacing w:after="0"/>
              <w:rPr>
                <w:sz w:val="18"/>
                <w:szCs w:val="18"/>
                <w:color w:val="auto"/>
              </w:rPr>
            </w:pPr>
          </w:p>
        </w:tc>
        <w:tc>
          <w:tcPr>
            <w:tcW w:w="66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r>
      <w:tr>
        <w:trPr>
          <w:trHeight w:val="202"/>
        </w:trPr>
        <w:tc>
          <w:tcPr>
            <w:tcW w:w="26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Gerard Gifford</w:t>
            </w:r>
          </w:p>
        </w:tc>
        <w:tc>
          <w:tcPr>
            <w:tcW w:w="660" w:type="dxa"/>
            <w:vAlign w:val="bottom"/>
          </w:tcPr>
          <w:p>
            <w:pPr>
              <w:ind w:left="120"/>
              <w:spacing w:after="0" w:line="201" w:lineRule="exact"/>
              <w:rPr>
                <w:sz w:val="20"/>
                <w:szCs w:val="20"/>
                <w:color w:val="auto"/>
              </w:rPr>
            </w:pPr>
            <w:r>
              <w:rPr>
                <w:rFonts w:ascii="Arial" w:cs="Arial" w:eastAsia="Arial" w:hAnsi="Arial"/>
                <w:sz w:val="18"/>
                <w:szCs w:val="18"/>
                <w:color w:val="auto"/>
              </w:rPr>
              <w:t>2020</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745,000</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1,825,533</w:t>
            </w:r>
          </w:p>
        </w:tc>
        <w:tc>
          <w:tcPr>
            <w:tcW w:w="1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1,415,500</w:t>
            </w:r>
          </w:p>
        </w:tc>
        <w:tc>
          <w:tcPr>
            <w:tcW w:w="1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1,230,335</w:t>
            </w:r>
          </w:p>
        </w:tc>
        <w:tc>
          <w:tcPr>
            <w:tcW w:w="13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436,704</w:t>
            </w:r>
          </w:p>
        </w:tc>
        <w:tc>
          <w:tcPr>
            <w:tcW w:w="15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5,653,072</w:t>
            </w:r>
          </w:p>
        </w:tc>
      </w:tr>
      <w:tr>
        <w:trPr>
          <w:trHeight w:val="21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Executive Vice President and</w:t>
            </w:r>
          </w:p>
        </w:tc>
        <w:tc>
          <w:tcPr>
            <w:tcW w:w="660" w:type="dxa"/>
            <w:vAlign w:val="bottom"/>
          </w:tcPr>
          <w:p>
            <w:pPr>
              <w:ind w:left="120"/>
              <w:spacing w:after="0"/>
              <w:rPr>
                <w:sz w:val="20"/>
                <w:szCs w:val="20"/>
                <w:color w:val="auto"/>
              </w:rPr>
            </w:pPr>
            <w:r>
              <w:rPr>
                <w:rFonts w:ascii="Arial" w:cs="Arial" w:eastAsia="Arial" w:hAnsi="Arial"/>
                <w:sz w:val="18"/>
                <w:szCs w:val="18"/>
                <w:color w:val="auto"/>
              </w:rPr>
              <w:t>2019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1,787,478</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838,874</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1,825,676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465,581</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5,632,609</w:t>
            </w:r>
          </w:p>
        </w:tc>
      </w:tr>
      <w:tr>
        <w:trPr>
          <w:trHeight w:val="230"/>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Chief Operating Officer</w:t>
            </w:r>
          </w:p>
        </w:tc>
        <w:tc>
          <w:tcPr>
            <w:tcW w:w="660" w:type="dxa"/>
            <w:vAlign w:val="bottom"/>
          </w:tcPr>
          <w:p>
            <w:pPr>
              <w:ind w:left="120"/>
              <w:spacing w:after="0"/>
              <w:rPr>
                <w:sz w:val="20"/>
                <w:szCs w:val="20"/>
                <w:color w:val="auto"/>
              </w:rPr>
            </w:pPr>
            <w:r>
              <w:rPr>
                <w:rFonts w:ascii="Arial" w:cs="Arial" w:eastAsia="Arial" w:hAnsi="Arial"/>
                <w:sz w:val="18"/>
                <w:szCs w:val="18"/>
                <w:color w:val="auto"/>
              </w:rPr>
              <w:t>2018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680,000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1,700,010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849,490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1,048,496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63,572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4,341,568</w:t>
            </w:r>
          </w:p>
        </w:tc>
      </w:tr>
      <w:tr>
        <w:trPr>
          <w:trHeight w:val="216"/>
        </w:trPr>
        <w:tc>
          <w:tcPr>
            <w:tcW w:w="262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16"/>
        </w:trPr>
        <w:tc>
          <w:tcPr>
            <w:tcW w:w="2620" w:type="dxa"/>
            <w:vAlign w:val="bottom"/>
            <w:tcBorders>
              <w:lef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Didier Sourisseau (5)</w:t>
            </w: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2020</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639,640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1,060,539</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1,023,424</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1,579,272</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479,026</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4,781,901</w:t>
            </w:r>
          </w:p>
        </w:tc>
      </w:tr>
      <w:tr>
        <w:trPr>
          <w:trHeight w:val="216"/>
        </w:trPr>
        <w:tc>
          <w:tcPr>
            <w:tcW w:w="2620" w:type="dxa"/>
            <w:vAlign w:val="bottom"/>
            <w:tcBorders>
              <w:lef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President – European Division</w:t>
            </w: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588,750</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1,032,906</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178,509</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1,005,730</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358,871</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3,164,766</w:t>
            </w:r>
          </w:p>
        </w:tc>
      </w:tr>
      <w:tr>
        <w:trPr>
          <w:trHeight w:val="216"/>
        </w:trPr>
        <w:tc>
          <w:tcPr>
            <w:tcW w:w="2620" w:type="dxa"/>
            <w:vAlign w:val="bottom"/>
            <w:tcBorders>
              <w:left w:val="single" w:sz="8" w:color="auto"/>
            </w:tcBorders>
            <w:shd w:val="clear" w:color="auto" w:fill="D9D9D9"/>
          </w:tcPr>
          <w:p>
            <w:pPr>
              <w:spacing w:after="0"/>
              <w:rPr>
                <w:sz w:val="18"/>
                <w:szCs w:val="18"/>
                <w:color w:val="auto"/>
              </w:rPr>
            </w:pPr>
          </w:p>
        </w:tc>
        <w:tc>
          <w:tcPr>
            <w:tcW w:w="6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2018</w:t>
            </w:r>
          </w:p>
        </w:tc>
        <w:tc>
          <w:tcPr>
            <w:tcW w:w="11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567,765</w:t>
            </w:r>
          </w:p>
        </w:tc>
        <w:tc>
          <w:tcPr>
            <w:tcW w:w="120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971,268</w:t>
            </w:r>
          </w:p>
        </w:tc>
        <w:tc>
          <w:tcPr>
            <w:tcW w:w="1340" w:type="dxa"/>
            <w:vAlign w:val="bottom"/>
            <w:shd w:val="clear" w:color="auto" w:fill="D9D9D9"/>
          </w:tcPr>
          <w:p>
            <w:pPr>
              <w:jc w:val="right"/>
              <w:ind w:right="30"/>
              <w:spacing w:after="0"/>
              <w:rPr>
                <w:sz w:val="20"/>
                <w:szCs w:val="20"/>
                <w:color w:val="auto"/>
              </w:rPr>
            </w:pPr>
            <w:r>
              <w:rPr>
                <w:rFonts w:ascii="Arial" w:cs="Arial" w:eastAsia="Arial" w:hAnsi="Arial"/>
                <w:sz w:val="18"/>
                <w:szCs w:val="18"/>
                <w:color w:val="auto"/>
              </w:rPr>
              <w:t>573,670</w:t>
            </w:r>
          </w:p>
        </w:tc>
        <w:tc>
          <w:tcPr>
            <w:tcW w:w="1360" w:type="dxa"/>
            <w:vAlign w:val="bottom"/>
            <w:shd w:val="clear" w:color="auto" w:fill="D9D9D9"/>
          </w:tcPr>
          <w:p>
            <w:pPr>
              <w:jc w:val="right"/>
              <w:ind w:right="90"/>
              <w:spacing w:after="0"/>
              <w:rPr>
                <w:sz w:val="20"/>
                <w:szCs w:val="20"/>
                <w:color w:val="auto"/>
              </w:rPr>
            </w:pPr>
            <w:r>
              <w:rPr>
                <w:rFonts w:ascii="Arial" w:cs="Arial" w:eastAsia="Arial" w:hAnsi="Arial"/>
                <w:sz w:val="18"/>
                <w:szCs w:val="18"/>
                <w:color w:val="auto"/>
              </w:rPr>
              <w:t>329,461</w:t>
            </w:r>
          </w:p>
        </w:tc>
        <w:tc>
          <w:tcPr>
            <w:tcW w:w="138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116,908</w:t>
            </w:r>
          </w:p>
        </w:tc>
        <w:tc>
          <w:tcPr>
            <w:tcW w:w="158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2,559,072</w:t>
            </w:r>
          </w:p>
        </w:tc>
      </w:tr>
      <w:tr>
        <w:trPr>
          <w:trHeight w:val="216"/>
        </w:trPr>
        <w:tc>
          <w:tcPr>
            <w:tcW w:w="2620" w:type="dxa"/>
            <w:vAlign w:val="bottom"/>
            <w:tcBorders>
              <w:left w:val="single" w:sz="8" w:color="auto"/>
            </w:tcBorders>
            <w:shd w:val="clear" w:color="auto" w:fill="D9D9D9"/>
          </w:tcPr>
          <w:p>
            <w:pPr>
              <w:spacing w:after="0"/>
              <w:rPr>
                <w:sz w:val="18"/>
                <w:szCs w:val="18"/>
                <w:color w:val="auto"/>
              </w:rPr>
            </w:pPr>
          </w:p>
        </w:tc>
        <w:tc>
          <w:tcPr>
            <w:tcW w:w="660" w:type="dxa"/>
            <w:vAlign w:val="bottom"/>
            <w:shd w:val="clear" w:color="auto" w:fill="D9D9D9"/>
          </w:tcPr>
          <w:p>
            <w:pPr>
              <w:spacing w:after="0"/>
              <w:rPr>
                <w:sz w:val="18"/>
                <w:szCs w:val="18"/>
                <w:color w:val="auto"/>
              </w:rPr>
            </w:pPr>
          </w:p>
        </w:tc>
        <w:tc>
          <w:tcPr>
            <w:tcW w:w="110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r>
      <w:tr>
        <w:trPr>
          <w:trHeight w:val="202"/>
        </w:trPr>
        <w:tc>
          <w:tcPr>
            <w:tcW w:w="262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Djalma Novaes</w:t>
            </w:r>
          </w:p>
        </w:tc>
        <w:tc>
          <w:tcPr>
            <w:tcW w:w="660" w:type="dxa"/>
            <w:vAlign w:val="bottom"/>
          </w:tcPr>
          <w:p>
            <w:pPr>
              <w:ind w:left="120"/>
              <w:spacing w:after="0" w:line="201" w:lineRule="exact"/>
              <w:rPr>
                <w:sz w:val="20"/>
                <w:szCs w:val="20"/>
                <w:color w:val="auto"/>
              </w:rPr>
            </w:pPr>
            <w:r>
              <w:rPr>
                <w:rFonts w:ascii="Arial" w:cs="Arial" w:eastAsia="Arial" w:hAnsi="Arial"/>
                <w:sz w:val="18"/>
                <w:szCs w:val="18"/>
                <w:color w:val="auto"/>
              </w:rPr>
              <w:t>2020</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600,000</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1,050,026</w:t>
            </w:r>
          </w:p>
        </w:tc>
        <w:tc>
          <w:tcPr>
            <w:tcW w:w="1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960,000</w:t>
            </w:r>
          </w:p>
        </w:tc>
        <w:tc>
          <w:tcPr>
            <w:tcW w:w="13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1,516,241</w:t>
            </w:r>
          </w:p>
        </w:tc>
        <w:tc>
          <w:tcPr>
            <w:tcW w:w="13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401,094</w:t>
            </w:r>
          </w:p>
        </w:tc>
        <w:tc>
          <w:tcPr>
            <w:tcW w:w="15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4,527,361</w:t>
            </w:r>
          </w:p>
        </w:tc>
      </w:tr>
      <w:tr>
        <w:trPr>
          <w:trHeight w:val="21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President – Americas Division</w:t>
            </w:r>
          </w:p>
        </w:tc>
        <w:tc>
          <w:tcPr>
            <w:tcW w:w="660" w:type="dxa"/>
            <w:vAlign w:val="bottom"/>
          </w:tcPr>
          <w:p>
            <w:pPr>
              <w:ind w:left="120"/>
              <w:spacing w:after="0"/>
              <w:rPr>
                <w:sz w:val="20"/>
                <w:szCs w:val="20"/>
                <w:color w:val="auto"/>
              </w:rPr>
            </w:pPr>
            <w:r>
              <w:rPr>
                <w:rFonts w:ascii="Arial" w:cs="Arial" w:eastAsia="Arial" w:hAnsi="Arial"/>
                <w:sz w:val="18"/>
                <w:szCs w:val="18"/>
                <w:color w:val="auto"/>
              </w:rPr>
              <w:t>2019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1,006,293</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887,340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1,567,452</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480,606</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4,516,691</w:t>
            </w:r>
          </w:p>
        </w:tc>
      </w:tr>
      <w:tr>
        <w:trPr>
          <w:trHeight w:val="230"/>
        </w:trPr>
        <w:tc>
          <w:tcPr>
            <w:tcW w:w="2620" w:type="dxa"/>
            <w:vAlign w:val="bottom"/>
            <w:tcBorders>
              <w:left w:val="single" w:sz="8" w:color="auto"/>
            </w:tcBorders>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2018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555,000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971,269</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312,132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419,423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14,271</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2,272,095</w:t>
            </w:r>
          </w:p>
        </w:tc>
      </w:tr>
      <w:tr>
        <w:trPr>
          <w:trHeight w:val="216"/>
        </w:trPr>
        <w:tc>
          <w:tcPr>
            <w:tcW w:w="262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jc w:val="both"/>
        <w:ind w:left="340" w:hanging="332"/>
        <w:spacing w:after="0" w:line="28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market values of the time-based restricted stock awards were as follows: Mr. Donahue: $2,079,981 for 2020, $2,001,980 for 2019 and $1,906,692 for 2018; Mr. Kelly: $426,008 for 2020, $411,017 for 2019 and $389,982 for 2018; Mr. Gifford: $608,533 for 2020, $595,830 for 2019 and $566,675 for 2018; Mr. Sourisseau: $353,519 for 2020, $344,302 for 2019 and $323,757 for 2018; and Mr. Novaes: $350,003 for 2020, $335,429 for 2019 and $314,978 for 2018. The grant-date fair market values of the performance-based restricted stock, assuming instead that the highest level of performance conditions were to be achieved, would be as follows: Mr. Donahue: $8,024,762 for 2020, $7,485,049 for 2019 and $7,408,227 for 2018; Mr. Kelly: $1,643,567 for 2020, $1,536,651 for 2019</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449" w:right="339" w:bottom="1440" w:gutter="0" w:footer="0" w:header="0"/>
        </w:sectPr>
      </w:pPr>
    </w:p>
    <w:bookmarkStart w:id="53" w:name="page54"/>
    <w:bookmarkEnd w:id="53"/>
    <w:p>
      <w:pPr>
        <w:jc w:val="both"/>
        <w:ind w:left="340"/>
        <w:spacing w:after="0" w:line="273" w:lineRule="auto"/>
        <w:rPr>
          <w:sz w:val="20"/>
          <w:szCs w:val="20"/>
          <w:color w:val="auto"/>
        </w:rPr>
      </w:pPr>
      <w:r>
        <w:rPr>
          <w:rFonts w:ascii="Arial" w:cs="Arial" w:eastAsia="Arial" w:hAnsi="Arial"/>
          <w:sz w:val="17"/>
          <w:szCs w:val="17"/>
          <w:color w:val="auto"/>
        </w:rPr>
        <w:t>and $1,515,283 for 2018; Mr. Gifford: $2,347,651 for 2020, $2,227,667 for 2019 and $2,201,733 for 2018; Mr. Sourisseau: $1,363,873 for 2020, $1,287,276 for 2019 and $1,257,921 for 2018 and Mr. Novaes: $1,350,374 for 2020, $1,254,112 for 2019 and $1,257,921 for 2018. If the minimum level of performance conditions were not to be achieved, the value of the performance-based restricted stock awards would be $0 in all cases. Further detail surrounding the shares awarded, the method of valuation and the assumptions made are set forth in Note V, “Stock-Based Compensation” to the financial statements in the Company’s Annual Report on Form 10-K for the fiscal year ended December 31, 2020. There can be no assurance that the amounts related to performance-based shares will ever be realized by the NEOs.</w:t>
      </w:r>
    </w:p>
    <w:p>
      <w:pPr>
        <w:spacing w:after="0" w:line="178" w:lineRule="exact"/>
        <w:rPr>
          <w:sz w:val="20"/>
          <w:szCs w:val="20"/>
          <w:color w:val="auto"/>
        </w:rPr>
      </w:pPr>
    </w:p>
    <w:p>
      <w:pPr>
        <w:jc w:val="both"/>
        <w:ind w:left="340" w:hanging="332"/>
        <w:spacing w:after="0" w:line="29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amounts in this column reflect the increase in actuarial lump-sum present value of defined benefit retirement plans, including supplemental plans, for the respective fiscal years. Actuarial valuations were based on assumptions that were in accordance with the guidelines of FASB ASC Topic 715 and that are discussed in Note Q, “Pension and Other Postretirement Benefits” to the financial statements in the Company’s Annual Report on Form 10-K for the fiscal year ended December 31, 2020. </w:t>
      </w:r>
      <w:r>
        <w:rPr>
          <w:rFonts w:ascii="Arial" w:cs="Arial" w:eastAsia="Arial" w:hAnsi="Arial"/>
          <w:sz w:val="16"/>
          <w:szCs w:val="16"/>
          <w:b w:val="1"/>
          <w:bCs w:val="1"/>
          <w:color w:val="auto"/>
        </w:rPr>
        <w:t>Interest rates continue to be at historic lows which inflate the present value of such benefits,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all of which are payable in a lump sum. Future increases in interest rates could cause a significant reduction in the lump-sum value of such benefits. See footnote 4 on page 56 for more information. </w:t>
      </w:r>
      <w:r>
        <w:rPr>
          <w:rFonts w:ascii="Arial" w:cs="Arial" w:eastAsia="Arial" w:hAnsi="Arial"/>
          <w:sz w:val="16"/>
          <w:szCs w:val="16"/>
          <w:color w:val="auto"/>
        </w:rPr>
        <w:t>The change in value represents the difference between the highest year-end value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for such benefit in prior years and the value of such benefit at the end of the reporting year.</w:t>
      </w:r>
    </w:p>
    <w:p>
      <w:pPr>
        <w:spacing w:after="0" w:line="166"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 this column for 2020 include the following items: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760" w:type="dxa"/>
            <w:vAlign w:val="bottom"/>
            <w:tcBorders>
              <w:bottom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T. Donahue</w:t>
            </w:r>
          </w:p>
        </w:tc>
        <w:tc>
          <w:tcPr>
            <w:tcW w:w="1220" w:type="dxa"/>
            <w:vAlign w:val="bottom"/>
            <w:tcBorders>
              <w:bottom w:val="single" w:sz="8" w:color="auto"/>
            </w:tcBorders>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T. Kelly</w:t>
            </w:r>
          </w:p>
        </w:tc>
        <w:tc>
          <w:tcPr>
            <w:tcW w:w="1400" w:type="dxa"/>
            <w:vAlign w:val="bottom"/>
            <w:tcBorders>
              <w:bottom w:val="single" w:sz="8" w:color="auto"/>
            </w:tcBorders>
            <w:shd w:val="clear" w:color="auto" w:fill="29650B"/>
          </w:tcPr>
          <w:p>
            <w:pPr>
              <w:jc w:val="right"/>
              <w:ind w:right="230"/>
              <w:spacing w:after="0"/>
              <w:rPr>
                <w:sz w:val="20"/>
                <w:szCs w:val="20"/>
                <w:color w:val="auto"/>
              </w:rPr>
            </w:pPr>
            <w:r>
              <w:rPr>
                <w:rFonts w:ascii="Arial" w:cs="Arial" w:eastAsia="Arial" w:hAnsi="Arial"/>
                <w:sz w:val="18"/>
                <w:szCs w:val="18"/>
                <w:b w:val="1"/>
                <w:bCs w:val="1"/>
                <w:color w:val="FFFFFF"/>
              </w:rPr>
              <w:t>G. Gifford</w:t>
            </w:r>
          </w:p>
        </w:tc>
        <w:tc>
          <w:tcPr>
            <w:tcW w:w="1640" w:type="dxa"/>
            <w:vAlign w:val="bottom"/>
            <w:tcBorders>
              <w:bottom w:val="single" w:sz="8" w:color="auto"/>
            </w:tcBorders>
            <w:shd w:val="clear" w:color="auto" w:fill="29650B"/>
          </w:tcPr>
          <w:p>
            <w:pPr>
              <w:jc w:val="right"/>
              <w:ind w:right="190"/>
              <w:spacing w:after="0"/>
              <w:rPr>
                <w:sz w:val="20"/>
                <w:szCs w:val="20"/>
                <w:color w:val="auto"/>
              </w:rPr>
            </w:pPr>
            <w:r>
              <w:rPr>
                <w:rFonts w:ascii="Arial" w:cs="Arial" w:eastAsia="Arial" w:hAnsi="Arial"/>
                <w:sz w:val="18"/>
                <w:szCs w:val="18"/>
                <w:b w:val="1"/>
                <w:bCs w:val="1"/>
                <w:color w:val="FFFFFF"/>
              </w:rPr>
              <w:t>D. Sourisseau</w:t>
            </w:r>
          </w:p>
        </w:tc>
        <w:tc>
          <w:tcPr>
            <w:tcW w:w="1160" w:type="dxa"/>
            <w:vAlign w:val="bottom"/>
            <w:tcBorders>
              <w:bottom w:val="single" w:sz="8" w:color="auto"/>
            </w:tcBorders>
            <w:shd w:val="clear" w:color="auto" w:fill="29650B"/>
          </w:tcPr>
          <w:p>
            <w:pPr>
              <w:jc w:val="right"/>
              <w:ind w:right="10"/>
              <w:spacing w:after="0"/>
              <w:rPr>
                <w:sz w:val="20"/>
                <w:szCs w:val="20"/>
                <w:color w:val="auto"/>
              </w:rPr>
            </w:pPr>
            <w:r>
              <w:rPr>
                <w:rFonts w:ascii="Arial" w:cs="Arial" w:eastAsia="Arial" w:hAnsi="Arial"/>
                <w:sz w:val="18"/>
                <w:szCs w:val="18"/>
                <w:b w:val="1"/>
                <w:bCs w:val="1"/>
                <w:color w:val="FFFFFF"/>
              </w:rPr>
              <w:t>D. Novaes</w:t>
            </w:r>
          </w:p>
        </w:tc>
        <w:tc>
          <w:tcPr>
            <w:tcW w:w="0" w:type="dxa"/>
            <w:vAlign w:val="bottom"/>
          </w:tcPr>
          <w:p>
            <w:pPr>
              <w:spacing w:after="0"/>
              <w:rPr>
                <w:sz w:val="1"/>
                <w:szCs w:val="1"/>
                <w:color w:val="auto"/>
              </w:rPr>
            </w:pPr>
          </w:p>
        </w:tc>
      </w:tr>
      <w:tr>
        <w:trPr>
          <w:trHeight w:val="358"/>
        </w:trPr>
        <w:tc>
          <w:tcPr>
            <w:tcW w:w="4060" w:type="dxa"/>
            <w:vAlign w:val="bottom"/>
          </w:tcPr>
          <w:p>
            <w:pPr>
              <w:ind w:left="120"/>
              <w:spacing w:after="0"/>
              <w:rPr>
                <w:sz w:val="20"/>
                <w:szCs w:val="20"/>
                <w:color w:val="auto"/>
              </w:rPr>
            </w:pPr>
            <w:r>
              <w:rPr>
                <w:rFonts w:ascii="Arial" w:cs="Arial" w:eastAsia="Arial" w:hAnsi="Arial"/>
                <w:sz w:val="18"/>
                <w:szCs w:val="18"/>
                <w:color w:val="auto"/>
              </w:rPr>
              <w:t>Change in Value of SERP Life Insurance</w:t>
            </w:r>
          </w:p>
        </w:tc>
        <w:tc>
          <w:tcPr>
            <w:tcW w:w="1760" w:type="dxa"/>
            <w:vAlign w:val="bottom"/>
            <w:vMerge w:val="restart"/>
          </w:tcPr>
          <w:p>
            <w:pPr>
              <w:jc w:val="right"/>
              <w:ind w:right="250"/>
              <w:spacing w:after="0"/>
              <w:rPr>
                <w:sz w:val="20"/>
                <w:szCs w:val="20"/>
                <w:color w:val="auto"/>
              </w:rPr>
            </w:pPr>
            <w:r>
              <w:rPr>
                <w:rFonts w:ascii="Arial" w:cs="Arial" w:eastAsia="Arial" w:hAnsi="Arial"/>
                <w:sz w:val="18"/>
                <w:szCs w:val="18"/>
                <w:color w:val="auto"/>
              </w:rPr>
              <w:t>$1,421,763</w:t>
            </w: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$525,009</w:t>
            </w:r>
          </w:p>
        </w:tc>
        <w:tc>
          <w:tcPr>
            <w:tcW w:w="1400" w:type="dxa"/>
            <w:vAlign w:val="bottom"/>
            <w:vMerge w:val="restart"/>
          </w:tcPr>
          <w:p>
            <w:pPr>
              <w:jc w:val="right"/>
              <w:ind w:right="230"/>
              <w:spacing w:after="0"/>
              <w:rPr>
                <w:sz w:val="20"/>
                <w:szCs w:val="20"/>
                <w:color w:val="auto"/>
              </w:rPr>
            </w:pPr>
            <w:r>
              <w:rPr>
                <w:rFonts w:ascii="Arial" w:cs="Arial" w:eastAsia="Arial" w:hAnsi="Arial"/>
                <w:sz w:val="18"/>
                <w:szCs w:val="18"/>
                <w:color w:val="auto"/>
              </w:rPr>
              <w:t>$426,506</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color w:val="auto"/>
              </w:rPr>
              <w:t>$404,921</w:t>
            </w: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$378,544</w:t>
            </w:r>
          </w:p>
        </w:tc>
        <w:tc>
          <w:tcPr>
            <w:tcW w:w="0" w:type="dxa"/>
            <w:vAlign w:val="bottom"/>
          </w:tcPr>
          <w:p>
            <w:pPr>
              <w:spacing w:after="0"/>
              <w:rPr>
                <w:sz w:val="1"/>
                <w:szCs w:val="1"/>
                <w:color w:val="auto"/>
              </w:rPr>
            </w:pPr>
          </w:p>
        </w:tc>
      </w:tr>
      <w:tr>
        <w:trPr>
          <w:trHeight w:val="68"/>
        </w:trPr>
        <w:tc>
          <w:tcPr>
            <w:tcW w:w="406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0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FICA on Change in SERP Valuation</w:t>
            </w:r>
          </w:p>
        </w:tc>
        <w:tc>
          <w:tcPr>
            <w:tcW w:w="1760" w:type="dxa"/>
            <w:vAlign w:val="bottom"/>
            <w:shd w:val="clear" w:color="auto" w:fill="D9D9D9"/>
          </w:tcPr>
          <w:p>
            <w:pPr>
              <w:jc w:val="right"/>
              <w:ind w:right="250"/>
              <w:spacing w:after="0"/>
              <w:rPr>
                <w:sz w:val="20"/>
                <w:szCs w:val="20"/>
                <w:color w:val="auto"/>
              </w:rPr>
            </w:pPr>
            <w:r>
              <w:rPr>
                <w:rFonts w:ascii="Arial" w:cs="Arial" w:eastAsia="Arial" w:hAnsi="Arial"/>
                <w:sz w:val="18"/>
                <w:szCs w:val="18"/>
                <w:color w:val="auto"/>
              </w:rPr>
              <w:t>60,753</w:t>
            </w:r>
          </w:p>
        </w:tc>
        <w:tc>
          <w:tcPr>
            <w:tcW w:w="1220" w:type="dxa"/>
            <w:vAlign w:val="bottom"/>
            <w:shd w:val="clear" w:color="auto" w:fill="D9D9D9"/>
          </w:tcPr>
          <w:p>
            <w:pPr>
              <w:jc w:val="right"/>
              <w:ind w:right="170"/>
              <w:spacing w:after="0"/>
              <w:rPr>
                <w:sz w:val="20"/>
                <w:szCs w:val="20"/>
                <w:color w:val="auto"/>
              </w:rPr>
            </w:pPr>
            <w:r>
              <w:rPr>
                <w:rFonts w:ascii="Arial" w:cs="Arial" w:eastAsia="Arial" w:hAnsi="Arial"/>
                <w:sz w:val="18"/>
                <w:szCs w:val="18"/>
                <w:color w:val="auto"/>
              </w:rPr>
              <w:t>17,155</w:t>
            </w:r>
          </w:p>
        </w:tc>
        <w:tc>
          <w:tcPr>
            <w:tcW w:w="1400" w:type="dxa"/>
            <w:vAlign w:val="bottom"/>
            <w:shd w:val="clear" w:color="auto" w:fill="D9D9D9"/>
          </w:tcPr>
          <w:p>
            <w:pPr>
              <w:jc w:val="right"/>
              <w:ind w:right="230"/>
              <w:spacing w:after="0"/>
              <w:rPr>
                <w:sz w:val="20"/>
                <w:szCs w:val="20"/>
                <w:color w:val="auto"/>
              </w:rPr>
            </w:pPr>
            <w:r>
              <w:rPr>
                <w:rFonts w:ascii="Arial" w:cs="Arial" w:eastAsia="Arial" w:hAnsi="Arial"/>
                <w:sz w:val="18"/>
                <w:szCs w:val="18"/>
                <w:color w:val="auto"/>
              </w:rPr>
              <w:t>5,923</w:t>
            </w:r>
          </w:p>
        </w:tc>
        <w:tc>
          <w:tcPr>
            <w:tcW w:w="1640" w:type="dxa"/>
            <w:vAlign w:val="bottom"/>
            <w:shd w:val="clear" w:color="auto" w:fill="D9D9D9"/>
          </w:tcPr>
          <w:p>
            <w:pPr>
              <w:jc w:val="right"/>
              <w:ind w:right="19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D9D9D9"/>
          </w:tcPr>
          <w:p>
            <w:pPr>
              <w:jc w:val="right"/>
              <w:ind w:right="1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324"/>
        </w:trPr>
        <w:tc>
          <w:tcPr>
            <w:tcW w:w="4060" w:type="dxa"/>
            <w:vAlign w:val="bottom"/>
          </w:tcPr>
          <w:p>
            <w:pPr>
              <w:ind w:left="120"/>
              <w:spacing w:after="0"/>
              <w:rPr>
                <w:sz w:val="20"/>
                <w:szCs w:val="20"/>
                <w:color w:val="auto"/>
              </w:rPr>
            </w:pPr>
            <w:r>
              <w:rPr>
                <w:rFonts w:ascii="Arial" w:cs="Arial" w:eastAsia="Arial" w:hAnsi="Arial"/>
                <w:sz w:val="18"/>
                <w:szCs w:val="18"/>
                <w:color w:val="auto"/>
                <w:w w:val="95"/>
              </w:rPr>
              <w:t>Defined Contribution Plan Company Contributions *</w:t>
            </w:r>
          </w:p>
        </w:tc>
        <w:tc>
          <w:tcPr>
            <w:tcW w:w="1760" w:type="dxa"/>
            <w:vAlign w:val="bottom"/>
            <w:vMerge w:val="restart"/>
          </w:tcPr>
          <w:p>
            <w:pPr>
              <w:jc w:val="right"/>
              <w:ind w:right="250"/>
              <w:spacing w:after="0"/>
              <w:rPr>
                <w:sz w:val="20"/>
                <w:szCs w:val="20"/>
                <w:color w:val="auto"/>
              </w:rPr>
            </w:pPr>
            <w:r>
              <w:rPr>
                <w:rFonts w:ascii="Arial" w:cs="Arial" w:eastAsia="Arial" w:hAnsi="Arial"/>
                <w:sz w:val="18"/>
                <w:szCs w:val="18"/>
                <w:color w:val="auto"/>
              </w:rPr>
              <w:t>4,275</w:t>
            </w: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color w:val="auto"/>
              </w:rPr>
              <w:t>4,275</w:t>
            </w:r>
          </w:p>
        </w:tc>
        <w:tc>
          <w:tcPr>
            <w:tcW w:w="1400" w:type="dxa"/>
            <w:vAlign w:val="bottom"/>
            <w:vMerge w:val="restart"/>
          </w:tcPr>
          <w:p>
            <w:pPr>
              <w:jc w:val="right"/>
              <w:ind w:right="230"/>
              <w:spacing w:after="0"/>
              <w:rPr>
                <w:sz w:val="20"/>
                <w:szCs w:val="20"/>
                <w:color w:val="auto"/>
              </w:rPr>
            </w:pPr>
            <w:r>
              <w:rPr>
                <w:rFonts w:ascii="Arial" w:cs="Arial" w:eastAsia="Arial" w:hAnsi="Arial"/>
                <w:sz w:val="18"/>
                <w:szCs w:val="18"/>
                <w:color w:val="auto"/>
              </w:rPr>
              <w:t>4,275</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color w:val="auto"/>
              </w:rPr>
              <w:t>56,195</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4060" w:type="dxa"/>
            <w:vAlign w:val="bottom"/>
            <w:shd w:val="clear" w:color="auto" w:fill="D9D9D9"/>
          </w:tcPr>
          <w:p>
            <w:pPr>
              <w:ind w:left="120"/>
              <w:spacing w:after="0"/>
              <w:rPr>
                <w:sz w:val="20"/>
                <w:szCs w:val="20"/>
                <w:color w:val="auto"/>
              </w:rPr>
            </w:pPr>
            <w:r>
              <w:rPr>
                <w:rFonts w:ascii="Arial" w:cs="Arial" w:eastAsia="Arial" w:hAnsi="Arial"/>
                <w:sz w:val="18"/>
                <w:szCs w:val="18"/>
                <w:color w:val="auto"/>
              </w:rPr>
              <w:t>Automobile Allowance</w:t>
            </w:r>
          </w:p>
        </w:tc>
        <w:tc>
          <w:tcPr>
            <w:tcW w:w="1760" w:type="dxa"/>
            <w:vAlign w:val="bottom"/>
            <w:tcBorders>
              <w:bottom w:val="single" w:sz="8" w:color="auto"/>
            </w:tcBorders>
            <w:shd w:val="clear" w:color="auto" w:fill="D9D9D9"/>
          </w:tcPr>
          <w:p>
            <w:pPr>
              <w:jc w:val="right"/>
              <w:ind w:right="25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D9D9D9"/>
          </w:tcPr>
          <w:p>
            <w:pPr>
              <w:jc w:val="right"/>
              <w:ind w:right="170"/>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17,910</w:t>
            </w:r>
          </w:p>
        </w:tc>
        <w:tc>
          <w:tcPr>
            <w:tcW w:w="1160" w:type="dxa"/>
            <w:vAlign w:val="bottom"/>
            <w:tcBorders>
              <w:bottom w:val="single" w:sz="8" w:color="auto"/>
            </w:tcBorders>
            <w:shd w:val="clear" w:color="auto" w:fill="D9D9D9"/>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5"/>
        </w:trPr>
        <w:tc>
          <w:tcPr>
            <w:tcW w:w="4060" w:type="dxa"/>
            <w:vAlign w:val="bottom"/>
          </w:tcPr>
          <w:p>
            <w:pPr>
              <w:ind w:left="1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$1,486,791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$546,439</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$436,704</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$479,026</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$401,094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17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the Proxy Summary – Proposal 3 (page 7) for a description of Total Compensation for Mr. Donahue net of certain retirement-related benefits.</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components of Mr. Sourisseau’s compensation for 2020 set forth in the table above, including Salary and Non-Equity Incentive Plan Compensation, have been converted from Swiss Francs into U.S. Dollars at the 2020 average exchange rate of $1.066067.</w:t>
      </w: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12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Grants of Plan-Based Awards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following table provides information about the annual incentive bonuses that the Company’s NEOs were eligible to receive for 2020 under the Company’s Economic Profit Incentive Plan and stock-based awards granted in 2020 to each of the Company’s NEOs under the Company’s Stock-Based Incentive Compensation Plan. There can be no assurance that the fair value of the performance-based stock awarded to the Company’s NEOs in 2020 will ever be realized by the NEOs. For further information and the assumptions made in determining the grant-date fair values of the stock awards, see Notes A and V to the Company’s financial statements in the Company’s Annual Report on Form 10-K for the fiscal year ended December 31, 2020.</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4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29650B"/>
            </w:tcBorders>
            <w:shd w:val="clear" w:color="auto" w:fill="29650B"/>
          </w:tcPr>
          <w:p>
            <w:pPr>
              <w:spacing w:after="0"/>
              <w:rPr>
                <w:sz w:val="18"/>
                <w:szCs w:val="18"/>
                <w:color w:val="auto"/>
              </w:rPr>
            </w:pPr>
          </w:p>
        </w:tc>
        <w:tc>
          <w:tcPr>
            <w:tcW w:w="940" w:type="dxa"/>
            <w:vAlign w:val="bottom"/>
            <w:tcBorders>
              <w:top w:val="single" w:sz="8" w:color="auto"/>
              <w:right w:val="single" w:sz="8" w:color="29650B"/>
            </w:tcBorders>
            <w:shd w:val="clear" w:color="auto" w:fill="29650B"/>
          </w:tcPr>
          <w:p>
            <w:pPr>
              <w:spacing w:after="0"/>
              <w:rPr>
                <w:sz w:val="18"/>
                <w:szCs w:val="18"/>
                <w:color w:val="auto"/>
              </w:rPr>
            </w:pPr>
          </w:p>
        </w:tc>
        <w:tc>
          <w:tcPr>
            <w:tcW w:w="176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29650B"/>
            </w:tcBorders>
            <w:shd w:val="clear" w:color="auto" w:fill="29650B"/>
          </w:tcPr>
          <w:p>
            <w:pPr>
              <w:spacing w:after="0"/>
              <w:rPr>
                <w:sz w:val="18"/>
                <w:szCs w:val="18"/>
                <w:color w:val="auto"/>
              </w:rPr>
            </w:pPr>
          </w:p>
        </w:tc>
        <w:tc>
          <w:tcPr>
            <w:tcW w:w="900" w:type="dxa"/>
            <w:vAlign w:val="bottom"/>
            <w:tcBorders>
              <w:top w:val="single" w:sz="8" w:color="auto"/>
              <w:right w:val="single" w:sz="8" w:color="29650B"/>
            </w:tcBorders>
            <w:shd w:val="clear" w:color="auto" w:fill="29650B"/>
          </w:tcPr>
          <w:p>
            <w:pPr>
              <w:spacing w:after="0"/>
              <w:rPr>
                <w:sz w:val="18"/>
                <w:szCs w:val="18"/>
                <w:color w:val="auto"/>
              </w:rPr>
            </w:pPr>
          </w:p>
        </w:tc>
        <w:tc>
          <w:tcPr>
            <w:tcW w:w="10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2020 Grant</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20" w:type="dxa"/>
            <w:vAlign w:val="bottom"/>
            <w:tcBorders>
              <w:right w:val="single" w:sz="8" w:color="auto"/>
            </w:tcBorders>
            <w:gridSpan w:val="3"/>
            <w:shd w:val="clear" w:color="auto" w:fill="29650B"/>
          </w:tcPr>
          <w:p>
            <w:pPr>
              <w:ind w:left="180"/>
              <w:spacing w:after="0"/>
              <w:rPr>
                <w:sz w:val="20"/>
                <w:szCs w:val="20"/>
                <w:color w:val="auto"/>
              </w:rPr>
            </w:pPr>
            <w:r>
              <w:rPr>
                <w:rFonts w:ascii="Arial" w:cs="Arial" w:eastAsia="Arial" w:hAnsi="Arial"/>
                <w:sz w:val="18"/>
                <w:szCs w:val="18"/>
                <w:b w:val="1"/>
                <w:bCs w:val="1"/>
                <w:color w:val="FFFFFF"/>
                <w:w w:val="95"/>
              </w:rPr>
              <w:t>Estimated Future Payouts under Non-Equity</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5"/>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Date Fair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20" w:type="dxa"/>
            <w:vAlign w:val="bottom"/>
            <w:tcBorders>
              <w:right w:val="single" w:sz="8" w:color="auto"/>
            </w:tcBorders>
            <w:gridSpan w:val="3"/>
            <w:shd w:val="clear" w:color="auto" w:fill="29650B"/>
          </w:tcPr>
          <w:p>
            <w:pPr>
              <w:jc w:val="right"/>
              <w:ind w:right="830"/>
              <w:spacing w:after="0"/>
              <w:rPr>
                <w:sz w:val="20"/>
                <w:szCs w:val="20"/>
                <w:color w:val="auto"/>
              </w:rPr>
            </w:pPr>
            <w:r>
              <w:rPr>
                <w:rFonts w:ascii="Arial" w:cs="Arial" w:eastAsia="Arial" w:hAnsi="Arial"/>
                <w:sz w:val="18"/>
                <w:szCs w:val="18"/>
                <w:b w:val="1"/>
                <w:bCs w:val="1"/>
                <w:color w:val="FFFFFF"/>
              </w:rPr>
              <w:t>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0" w:type="dxa"/>
            <w:vAlign w:val="bottom"/>
          </w:tcPr>
          <w:p>
            <w:pPr>
              <w:spacing w:after="0"/>
              <w:rPr>
                <w:sz w:val="1"/>
                <w:szCs w:val="1"/>
                <w:color w:val="auto"/>
              </w:rPr>
            </w:pPr>
          </w:p>
        </w:tc>
      </w:tr>
      <w:tr>
        <w:trPr>
          <w:trHeight w:val="266"/>
        </w:trPr>
        <w:tc>
          <w:tcPr>
            <w:tcW w:w="1040" w:type="dxa"/>
            <w:vAlign w:val="bottom"/>
            <w:tcBorders>
              <w:left w:val="single" w:sz="8" w:color="auto"/>
              <w:bottom w:val="single" w:sz="8" w:color="29650B"/>
              <w:right w:val="single" w:sz="8" w:color="auto"/>
            </w:tcBorders>
            <w:shd w:val="clear" w:color="auto" w:fill="29650B"/>
          </w:tcPr>
          <w:p>
            <w:pPr>
              <w:spacing w:after="0"/>
              <w:rPr>
                <w:sz w:val="22"/>
                <w:szCs w:val="22"/>
                <w:color w:val="auto"/>
              </w:rPr>
            </w:pPr>
          </w:p>
        </w:tc>
        <w:tc>
          <w:tcPr>
            <w:tcW w:w="1220" w:type="dxa"/>
            <w:vAlign w:val="bottom"/>
            <w:tcBorders>
              <w:bottom w:val="single" w:sz="8" w:color="29650B"/>
              <w:right w:val="single" w:sz="8" w:color="auto"/>
            </w:tcBorders>
            <w:shd w:val="clear" w:color="auto" w:fill="29650B"/>
          </w:tcPr>
          <w:p>
            <w:pPr>
              <w:spacing w:after="0"/>
              <w:rPr>
                <w:sz w:val="22"/>
                <w:szCs w:val="22"/>
                <w:color w:val="auto"/>
              </w:rPr>
            </w:pPr>
          </w:p>
        </w:tc>
        <w:tc>
          <w:tcPr>
            <w:tcW w:w="1120" w:type="dxa"/>
            <w:vAlign w:val="bottom"/>
            <w:tcBorders>
              <w:bottom w:val="single" w:sz="8" w:color="29650B"/>
              <w:right w:val="single" w:sz="8" w:color="29650B"/>
            </w:tcBorders>
            <w:shd w:val="clear" w:color="auto" w:fill="29650B"/>
          </w:tcPr>
          <w:p>
            <w:pPr>
              <w:spacing w:after="0"/>
              <w:rPr>
                <w:sz w:val="22"/>
                <w:szCs w:val="22"/>
                <w:color w:val="auto"/>
              </w:rPr>
            </w:pPr>
          </w:p>
        </w:tc>
        <w:tc>
          <w:tcPr>
            <w:tcW w:w="940" w:type="dxa"/>
            <w:vAlign w:val="bottom"/>
            <w:tcBorders>
              <w:bottom w:val="single" w:sz="8" w:color="29650B"/>
              <w:right w:val="single" w:sz="8" w:color="29650B"/>
            </w:tcBorders>
            <w:shd w:val="clear" w:color="auto" w:fill="29650B"/>
          </w:tcPr>
          <w:p>
            <w:pPr>
              <w:spacing w:after="0"/>
              <w:rPr>
                <w:sz w:val="22"/>
                <w:szCs w:val="22"/>
                <w:color w:val="auto"/>
              </w:rPr>
            </w:pPr>
          </w:p>
        </w:tc>
        <w:tc>
          <w:tcPr>
            <w:tcW w:w="1760" w:type="dxa"/>
            <w:vAlign w:val="bottom"/>
            <w:tcBorders>
              <w:bottom w:val="single" w:sz="8" w:color="29650B"/>
              <w:right w:val="single" w:sz="8" w:color="auto"/>
            </w:tcBorders>
            <w:shd w:val="clear" w:color="auto" w:fill="29650B"/>
          </w:tcPr>
          <w:p>
            <w:pPr>
              <w:spacing w:after="0"/>
              <w:rPr>
                <w:sz w:val="22"/>
                <w:szCs w:val="22"/>
                <w:color w:val="auto"/>
              </w:rPr>
            </w:pPr>
          </w:p>
        </w:tc>
        <w:tc>
          <w:tcPr>
            <w:tcW w:w="1000" w:type="dxa"/>
            <w:vAlign w:val="bottom"/>
            <w:tcBorders>
              <w:bottom w:val="single" w:sz="8" w:color="29650B"/>
              <w:right w:val="single" w:sz="8" w:color="29650B"/>
            </w:tcBorders>
            <w:shd w:val="clear" w:color="auto" w:fill="29650B"/>
          </w:tcPr>
          <w:p>
            <w:pPr>
              <w:spacing w:after="0"/>
              <w:rPr>
                <w:sz w:val="22"/>
                <w:szCs w:val="22"/>
                <w:color w:val="auto"/>
              </w:rPr>
            </w:pPr>
          </w:p>
        </w:tc>
        <w:tc>
          <w:tcPr>
            <w:tcW w:w="900" w:type="dxa"/>
            <w:vAlign w:val="bottom"/>
            <w:tcBorders>
              <w:bottom w:val="single" w:sz="8" w:color="29650B"/>
              <w:right w:val="single" w:sz="8" w:color="29650B"/>
            </w:tcBorders>
            <w:shd w:val="clear" w:color="auto" w:fill="29650B"/>
          </w:tcPr>
          <w:p>
            <w:pPr>
              <w:spacing w:after="0"/>
              <w:rPr>
                <w:sz w:val="22"/>
                <w:szCs w:val="22"/>
                <w:color w:val="auto"/>
              </w:rPr>
            </w:pPr>
          </w:p>
        </w:tc>
        <w:tc>
          <w:tcPr>
            <w:tcW w:w="1020" w:type="dxa"/>
            <w:vAlign w:val="bottom"/>
            <w:tcBorders>
              <w:bottom w:val="single" w:sz="8" w:color="29650B"/>
              <w:right w:val="single" w:sz="8" w:color="auto"/>
            </w:tcBorders>
            <w:shd w:val="clear" w:color="auto" w:fill="29650B"/>
          </w:tcPr>
          <w:p>
            <w:pPr>
              <w:spacing w:after="0"/>
              <w:rPr>
                <w:sz w:val="22"/>
                <w:szCs w:val="22"/>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Stock and</w:t>
            </w:r>
          </w:p>
        </w:tc>
        <w:tc>
          <w:tcPr>
            <w:tcW w:w="0" w:type="dxa"/>
            <w:vAlign w:val="bottom"/>
          </w:tcPr>
          <w:p>
            <w:pPr>
              <w:spacing w:after="0"/>
              <w:rPr>
                <w:sz w:val="1"/>
                <w:szCs w:val="1"/>
                <w:color w:val="auto"/>
              </w:rPr>
            </w:pPr>
          </w:p>
        </w:tc>
      </w:tr>
      <w:tr>
        <w:trPr>
          <w:trHeight w:val="151"/>
        </w:trPr>
        <w:tc>
          <w:tcPr>
            <w:tcW w:w="1040" w:type="dxa"/>
            <w:vAlign w:val="bottom"/>
            <w:tcBorders>
              <w:top w:val="single" w:sz="8" w:color="29650B"/>
              <w:left w:val="single" w:sz="8" w:color="auto"/>
              <w:right w:val="single" w:sz="8" w:color="auto"/>
            </w:tcBorders>
            <w:shd w:val="clear" w:color="auto" w:fill="29650B"/>
          </w:tcPr>
          <w:p>
            <w:pPr>
              <w:spacing w:after="0"/>
              <w:rPr>
                <w:sz w:val="13"/>
                <w:szCs w:val="13"/>
                <w:color w:val="auto"/>
              </w:rPr>
            </w:pPr>
          </w:p>
        </w:tc>
        <w:tc>
          <w:tcPr>
            <w:tcW w:w="12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7"/>
              </w:rPr>
              <w:t>Grant Dates</w:t>
            </w:r>
          </w:p>
        </w:tc>
        <w:tc>
          <w:tcPr>
            <w:tcW w:w="1120" w:type="dxa"/>
            <w:vAlign w:val="bottom"/>
            <w:tcBorders>
              <w:top w:val="single" w:sz="8" w:color="auto"/>
              <w:right w:val="single" w:sz="8" w:color="auto"/>
            </w:tcBorders>
            <w:shd w:val="clear" w:color="auto" w:fill="29650B"/>
          </w:tcPr>
          <w:p>
            <w:pPr>
              <w:spacing w:after="0"/>
              <w:rPr>
                <w:sz w:val="13"/>
                <w:szCs w:val="13"/>
                <w:color w:val="auto"/>
              </w:rPr>
            </w:pPr>
          </w:p>
        </w:tc>
        <w:tc>
          <w:tcPr>
            <w:tcW w:w="940" w:type="dxa"/>
            <w:vAlign w:val="bottom"/>
            <w:tcBorders>
              <w:top w:val="single" w:sz="8" w:color="auto"/>
              <w:right w:val="single" w:sz="8" w:color="auto"/>
            </w:tcBorders>
            <w:shd w:val="clear" w:color="auto" w:fill="29650B"/>
          </w:tcPr>
          <w:p>
            <w:pPr>
              <w:spacing w:after="0"/>
              <w:rPr>
                <w:sz w:val="13"/>
                <w:szCs w:val="13"/>
                <w:color w:val="auto"/>
              </w:rPr>
            </w:pPr>
          </w:p>
        </w:tc>
        <w:tc>
          <w:tcPr>
            <w:tcW w:w="1760" w:type="dxa"/>
            <w:vAlign w:val="bottom"/>
            <w:tcBorders>
              <w:top w:val="single" w:sz="8" w:color="auto"/>
              <w:right w:val="single" w:sz="8" w:color="auto"/>
            </w:tcBorders>
            <w:shd w:val="clear" w:color="auto" w:fill="29650B"/>
          </w:tcPr>
          <w:p>
            <w:pPr>
              <w:spacing w:after="0"/>
              <w:rPr>
                <w:sz w:val="13"/>
                <w:szCs w:val="13"/>
                <w:color w:val="auto"/>
              </w:rPr>
            </w:pPr>
          </w:p>
        </w:tc>
        <w:tc>
          <w:tcPr>
            <w:tcW w:w="1000" w:type="dxa"/>
            <w:vAlign w:val="bottom"/>
            <w:tcBorders>
              <w:top w:val="single" w:sz="8" w:color="auto"/>
              <w:right w:val="single" w:sz="8" w:color="auto"/>
            </w:tcBorders>
            <w:shd w:val="clear" w:color="auto" w:fill="29650B"/>
          </w:tcPr>
          <w:p>
            <w:pPr>
              <w:spacing w:after="0"/>
              <w:rPr>
                <w:sz w:val="13"/>
                <w:szCs w:val="13"/>
                <w:color w:val="auto"/>
              </w:rPr>
            </w:pPr>
          </w:p>
        </w:tc>
        <w:tc>
          <w:tcPr>
            <w:tcW w:w="900" w:type="dxa"/>
            <w:vAlign w:val="bottom"/>
            <w:tcBorders>
              <w:top w:val="single" w:sz="8" w:color="auto"/>
              <w:right w:val="single" w:sz="8" w:color="auto"/>
            </w:tcBorders>
            <w:shd w:val="clear" w:color="auto" w:fill="29650B"/>
          </w:tcPr>
          <w:p>
            <w:pPr>
              <w:spacing w:after="0"/>
              <w:rPr>
                <w:sz w:val="13"/>
                <w:szCs w:val="13"/>
                <w:color w:val="auto"/>
              </w:rPr>
            </w:pPr>
          </w:p>
        </w:tc>
        <w:tc>
          <w:tcPr>
            <w:tcW w:w="1020" w:type="dxa"/>
            <w:vAlign w:val="bottom"/>
            <w:tcBorders>
              <w:top w:val="single" w:sz="8" w:color="auto"/>
              <w:right w:val="single" w:sz="8" w:color="auto"/>
            </w:tcBorders>
            <w:shd w:val="clear" w:color="auto" w:fill="29650B"/>
          </w:tcPr>
          <w:p>
            <w:pPr>
              <w:spacing w:after="0"/>
              <w:rPr>
                <w:sz w:val="13"/>
                <w:szCs w:val="13"/>
                <w:color w:val="auto"/>
              </w:rPr>
            </w:pPr>
          </w:p>
        </w:tc>
        <w:tc>
          <w:tcPr>
            <w:tcW w:w="11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1"/>
              </w:rPr>
              <w:t>Shares</w:t>
            </w:r>
          </w:p>
        </w:tc>
        <w:tc>
          <w:tcPr>
            <w:tcW w:w="1120" w:type="dxa"/>
            <w:vAlign w:val="bottom"/>
            <w:tcBorders>
              <w:top w:val="single" w:sz="8" w:color="29650B"/>
              <w:right w:val="single" w:sz="8" w:color="auto"/>
            </w:tcBorders>
            <w:shd w:val="clear" w:color="auto" w:fill="29650B"/>
          </w:tcPr>
          <w:p>
            <w:pPr>
              <w:jc w:val="center"/>
              <w:spacing w:after="0" w:line="150" w:lineRule="exact"/>
              <w:rPr>
                <w:sz w:val="20"/>
                <w:szCs w:val="20"/>
                <w:color w:val="auto"/>
              </w:rPr>
            </w:pPr>
            <w:r>
              <w:rPr>
                <w:rFonts w:ascii="Arial" w:cs="Arial" w:eastAsia="Arial" w:hAnsi="Arial"/>
                <w:sz w:val="17"/>
                <w:szCs w:val="17"/>
                <w:b w:val="1"/>
                <w:bCs w:val="1"/>
                <w:color w:val="FFFFFF"/>
                <w:w w:val="98"/>
              </w:rPr>
              <w:t>Option</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shd w:val="clear" w:color="auto" w:fill="29650B"/>
          </w:tcPr>
          <w:p>
            <w:pPr>
              <w:ind w:left="300"/>
              <w:spacing w:after="0"/>
              <w:rPr>
                <w:sz w:val="20"/>
                <w:szCs w:val="20"/>
                <w:color w:val="auto"/>
              </w:rPr>
            </w:pPr>
            <w:r>
              <w:rPr>
                <w:rFonts w:ascii="Arial" w:cs="Arial" w:eastAsia="Arial" w:hAnsi="Arial"/>
                <w:sz w:val="18"/>
                <w:szCs w:val="18"/>
                <w:b w:val="1"/>
                <w:bCs w:val="1"/>
                <w:color w:val="FFFFFF"/>
              </w:rPr>
              <w:t>Name</w:t>
            </w:r>
          </w:p>
        </w:tc>
        <w:tc>
          <w:tcPr>
            <w:tcW w:w="12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of Equity</w:t>
            </w:r>
          </w:p>
        </w:tc>
        <w:tc>
          <w:tcPr>
            <w:tcW w:w="1120" w:type="dxa"/>
            <w:vAlign w:val="bottom"/>
            <w:tcBorders>
              <w:right w:val="single" w:sz="8" w:color="auto"/>
            </w:tcBorders>
            <w:shd w:val="clear" w:color="auto" w:fill="29650B"/>
          </w:tcPr>
          <w:p>
            <w:pPr>
              <w:ind w:left="160"/>
              <w:spacing w:after="0"/>
              <w:rPr>
                <w:sz w:val="20"/>
                <w:szCs w:val="20"/>
                <w:color w:val="auto"/>
              </w:rPr>
            </w:pPr>
            <w:r>
              <w:rPr>
                <w:rFonts w:ascii="Arial" w:cs="Arial" w:eastAsia="Arial" w:hAnsi="Arial"/>
                <w:sz w:val="18"/>
                <w:szCs w:val="18"/>
                <w:b w:val="1"/>
                <w:bCs w:val="1"/>
                <w:color w:val="FFFFFF"/>
              </w:rPr>
              <w:t>Minimum</w:t>
            </w:r>
          </w:p>
        </w:tc>
        <w:tc>
          <w:tcPr>
            <w:tcW w:w="940" w:type="dxa"/>
            <w:vAlign w:val="bottom"/>
            <w:tcBorders>
              <w:right w:val="single" w:sz="8" w:color="auto"/>
            </w:tcBorders>
            <w:shd w:val="clear" w:color="auto" w:fill="29650B"/>
          </w:tcPr>
          <w:p>
            <w:pPr>
              <w:jc w:val="right"/>
              <w:ind w:right="170"/>
              <w:spacing w:after="0"/>
              <w:rPr>
                <w:sz w:val="20"/>
                <w:szCs w:val="20"/>
                <w:color w:val="auto"/>
              </w:rPr>
            </w:pPr>
            <w:r>
              <w:rPr>
                <w:rFonts w:ascii="Arial" w:cs="Arial" w:eastAsia="Arial" w:hAnsi="Arial"/>
                <w:sz w:val="18"/>
                <w:szCs w:val="18"/>
                <w:b w:val="1"/>
                <w:bCs w:val="1"/>
                <w:color w:val="FFFFFF"/>
              </w:rPr>
              <w:t>Target</w:t>
            </w:r>
          </w:p>
        </w:tc>
        <w:tc>
          <w:tcPr>
            <w:tcW w:w="1760" w:type="dxa"/>
            <w:vAlign w:val="bottom"/>
            <w:tcBorders>
              <w:right w:val="single" w:sz="8" w:color="auto"/>
            </w:tcBorders>
            <w:shd w:val="clear" w:color="auto" w:fill="29650B"/>
          </w:tcPr>
          <w:p>
            <w:pPr>
              <w:jc w:val="right"/>
              <w:ind w:right="430"/>
              <w:spacing w:after="0"/>
              <w:rPr>
                <w:sz w:val="20"/>
                <w:szCs w:val="20"/>
                <w:color w:val="auto"/>
              </w:rPr>
            </w:pPr>
            <w:r>
              <w:rPr>
                <w:rFonts w:ascii="Arial" w:cs="Arial" w:eastAsia="Arial" w:hAnsi="Arial"/>
                <w:sz w:val="18"/>
                <w:szCs w:val="18"/>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6"/>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4"/>
              </w:rPr>
              <w:t>Target</w:t>
            </w:r>
          </w:p>
        </w:tc>
        <w:tc>
          <w:tcPr>
            <w:tcW w:w="1020" w:type="dxa"/>
            <w:vAlign w:val="bottom"/>
            <w:tcBorders>
              <w:right w:val="single" w:sz="8" w:color="auto"/>
            </w:tcBorders>
            <w:shd w:val="clear" w:color="auto" w:fill="29650B"/>
          </w:tcPr>
          <w:p>
            <w:pPr>
              <w:jc w:val="right"/>
              <w:ind w:right="30"/>
              <w:spacing w:after="0"/>
              <w:rPr>
                <w:sz w:val="20"/>
                <w:szCs w:val="20"/>
                <w:color w:val="auto"/>
              </w:rPr>
            </w:pPr>
            <w:r>
              <w:rPr>
                <w:rFonts w:ascii="Arial" w:cs="Arial" w:eastAsia="Arial" w:hAnsi="Arial"/>
                <w:sz w:val="18"/>
                <w:szCs w:val="18"/>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Awards (4)</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940" w:type="dxa"/>
            <w:vAlign w:val="bottom"/>
            <w:tcBorders>
              <w:bottom w:val="single" w:sz="8" w:color="auto"/>
              <w:right w:val="single" w:sz="8" w:color="auto"/>
            </w:tcBorders>
            <w:shd w:val="clear" w:color="auto" w:fill="29650B"/>
          </w:tcPr>
          <w:p>
            <w:pPr>
              <w:jc w:val="right"/>
              <w:ind w:right="290"/>
              <w:spacing w:after="0"/>
              <w:rPr>
                <w:sz w:val="20"/>
                <w:szCs w:val="20"/>
                <w:color w:val="auto"/>
              </w:rPr>
            </w:pPr>
            <w:r>
              <w:rPr>
                <w:rFonts w:ascii="Arial" w:cs="Arial" w:eastAsia="Arial" w:hAnsi="Arial"/>
                <w:sz w:val="18"/>
                <w:szCs w:val="18"/>
                <w:b w:val="1"/>
                <w:bCs w:val="1"/>
                <w:color w:val="FFFFFF"/>
              </w:rPr>
              <w:t>($)</w:t>
            </w:r>
          </w:p>
        </w:tc>
        <w:tc>
          <w:tcPr>
            <w:tcW w:w="1760" w:type="dxa"/>
            <w:vAlign w:val="bottom"/>
            <w:tcBorders>
              <w:bottom w:val="single" w:sz="8" w:color="auto"/>
              <w:right w:val="single" w:sz="8" w:color="auto"/>
            </w:tcBorders>
            <w:shd w:val="clear" w:color="auto" w:fill="29650B"/>
          </w:tcPr>
          <w:p>
            <w:pPr>
              <w:jc w:val="right"/>
              <w:ind w:right="690"/>
              <w:spacing w:after="0"/>
              <w:rPr>
                <w:sz w:val="20"/>
                <w:szCs w:val="20"/>
                <w:color w:val="auto"/>
              </w:rPr>
            </w:pPr>
            <w:r>
              <w:rPr>
                <w:rFonts w:ascii="Arial" w:cs="Arial" w:eastAsia="Arial" w:hAnsi="Arial"/>
                <w:sz w:val="18"/>
                <w:szCs w:val="18"/>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020" w:type="dxa"/>
            <w:vAlign w:val="bottom"/>
            <w:tcBorders>
              <w:bottom w:val="single" w:sz="8" w:color="auto"/>
              <w:right w:val="single" w:sz="8" w:color="auto"/>
            </w:tcBorders>
            <w:shd w:val="clear" w:color="auto" w:fill="29650B"/>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303"/>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1/9/2020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99"/>
              </w:rPr>
              <w:t>1,440,000</w:t>
            </w:r>
          </w:p>
        </w:tc>
        <w:tc>
          <w:tcPr>
            <w:tcW w:w="17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2,880,000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57,067</w:t>
            </w:r>
          </w:p>
        </w:tc>
        <w:tc>
          <w:tcPr>
            <w:tcW w:w="10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114,134</w:t>
            </w:r>
          </w:p>
        </w:tc>
        <w:tc>
          <w:tcPr>
            <w:tcW w:w="11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29,583</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6,239,951</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Donahue</w:t>
            </w:r>
          </w:p>
        </w:tc>
        <w:tc>
          <w:tcPr>
            <w:tcW w:w="1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w:t>
            </w:r>
          </w:p>
        </w:tc>
        <w:tc>
          <w:tcPr>
            <w:tcW w:w="12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1/9/2020</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568,000</w:t>
            </w:r>
          </w:p>
        </w:tc>
        <w:tc>
          <w:tcPr>
            <w:tcW w:w="1760" w:type="dxa"/>
            <w:vAlign w:val="bottom"/>
            <w:tcBorders>
              <w:right w:val="single" w:sz="8" w:color="auto"/>
            </w:tcBorders>
            <w:shd w:val="clear" w:color="auto" w:fill="D9D9D9"/>
          </w:tcPr>
          <w:p>
            <w:pPr>
              <w:jc w:val="right"/>
              <w:ind w:right="190"/>
              <w:spacing w:after="0"/>
              <w:rPr>
                <w:sz w:val="20"/>
                <w:szCs w:val="20"/>
                <w:color w:val="auto"/>
              </w:rPr>
            </w:pPr>
            <w:r>
              <w:rPr>
                <w:rFonts w:ascii="Arial" w:cs="Arial" w:eastAsia="Arial" w:hAnsi="Arial"/>
                <w:sz w:val="18"/>
                <w:szCs w:val="18"/>
                <w:color w:val="auto"/>
              </w:rPr>
              <w:t>1,136,000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11,688</w:t>
            </w:r>
          </w:p>
        </w:tc>
        <w:tc>
          <w:tcPr>
            <w:tcW w:w="102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23,376</w:t>
            </w:r>
          </w:p>
        </w:tc>
        <w:tc>
          <w:tcPr>
            <w:tcW w:w="1120" w:type="dxa"/>
            <w:vAlign w:val="bottom"/>
            <w:tcBorders>
              <w:right w:val="single" w:sz="8" w:color="auto"/>
            </w:tcBorders>
            <w:shd w:val="clear" w:color="auto" w:fill="D9D9D9"/>
          </w:tcPr>
          <w:p>
            <w:pPr>
              <w:jc w:val="right"/>
              <w:ind w:right="70"/>
              <w:spacing w:after="0"/>
              <w:rPr>
                <w:sz w:val="20"/>
                <w:szCs w:val="20"/>
                <w:color w:val="auto"/>
              </w:rPr>
            </w:pPr>
            <w:r>
              <w:rPr>
                <w:rFonts w:ascii="Arial" w:cs="Arial" w:eastAsia="Arial" w:hAnsi="Arial"/>
                <w:sz w:val="18"/>
                <w:szCs w:val="18"/>
                <w:color w:val="auto"/>
              </w:rPr>
              <w:t>6,059</w:t>
            </w:r>
          </w:p>
        </w:tc>
        <w:tc>
          <w:tcPr>
            <w:tcW w:w="112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1,278,019</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Kelly</w:t>
            </w:r>
          </w:p>
        </w:tc>
        <w:tc>
          <w:tcPr>
            <w:tcW w:w="1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1760" w:type="dxa"/>
            <w:vAlign w:val="bottom"/>
            <w:tcBorders>
              <w:bottom w:val="single" w:sz="8" w:color="auto"/>
              <w:right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Gerard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1/9/2020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707,750</w:t>
            </w:r>
          </w:p>
        </w:tc>
        <w:tc>
          <w:tcPr>
            <w:tcW w:w="17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1,415,500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16,695</w:t>
            </w: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33,390</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8,655</w:t>
            </w: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1,825,533</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Gifford</w:t>
            </w:r>
          </w:p>
        </w:tc>
        <w:tc>
          <w:tcPr>
            <w:tcW w:w="1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Didier</w:t>
            </w:r>
          </w:p>
        </w:tc>
        <w:tc>
          <w:tcPr>
            <w:tcW w:w="12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color w:val="auto"/>
              </w:rPr>
              <w:t>1/9/2020</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511,712</w:t>
            </w:r>
          </w:p>
        </w:tc>
        <w:tc>
          <w:tcPr>
            <w:tcW w:w="1760" w:type="dxa"/>
            <w:vAlign w:val="bottom"/>
            <w:tcBorders>
              <w:right w:val="single" w:sz="8" w:color="auto"/>
            </w:tcBorders>
            <w:vMerge w:val="restart"/>
            <w:shd w:val="clear" w:color="auto" w:fill="D9D9D9"/>
          </w:tcPr>
          <w:p>
            <w:pPr>
              <w:jc w:val="right"/>
              <w:ind w:right="190"/>
              <w:spacing w:after="0"/>
              <w:rPr>
                <w:sz w:val="20"/>
                <w:szCs w:val="20"/>
                <w:color w:val="auto"/>
              </w:rPr>
            </w:pPr>
            <w:r>
              <w:rPr>
                <w:rFonts w:ascii="Arial" w:cs="Arial" w:eastAsia="Arial" w:hAnsi="Arial"/>
                <w:sz w:val="18"/>
                <w:szCs w:val="18"/>
                <w:color w:val="auto"/>
              </w:rPr>
              <w:t>1,023,424</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9,699</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19,398</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Arial" w:cs="Arial" w:eastAsia="Arial" w:hAnsi="Arial"/>
                <w:sz w:val="18"/>
                <w:szCs w:val="18"/>
                <w:color w:val="auto"/>
              </w:rPr>
              <w:t>5,028</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Arial" w:cs="Arial" w:eastAsia="Arial" w:hAnsi="Arial"/>
                <w:sz w:val="18"/>
                <w:szCs w:val="18"/>
                <w:color w:val="auto"/>
              </w:rPr>
              <w:t>1,060,539</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Arial" w:cs="Arial" w:eastAsia="Arial" w:hAnsi="Arial"/>
                <w:sz w:val="18"/>
                <w:szCs w:val="18"/>
                <w:color w:val="auto"/>
                <w:w w:val="97"/>
              </w:rPr>
              <w:t>Sourisseau</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Arial" w:cs="Arial" w:eastAsia="Arial" w:hAnsi="Arial"/>
                <w:sz w:val="18"/>
                <w:szCs w:val="18"/>
                <w:color w:val="auto"/>
              </w:rPr>
              <w:t>(8)</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6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6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Djalma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1/9/2020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480,000</w:t>
            </w:r>
          </w:p>
        </w:tc>
        <w:tc>
          <w:tcPr>
            <w:tcW w:w="17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960,000</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9,603</w:t>
            </w:r>
          </w:p>
        </w:tc>
        <w:tc>
          <w:tcPr>
            <w:tcW w:w="10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19,206</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4,978</w:t>
            </w:r>
          </w:p>
        </w:tc>
        <w:tc>
          <w:tcPr>
            <w:tcW w:w="11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1,050,026</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Novaes</w:t>
            </w:r>
          </w:p>
        </w:tc>
        <w:tc>
          <w:tcPr>
            <w:tcW w:w="1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amounts represent the range of annual non-equity incentive bonuses for which the NEOs were eligible in 2020 under the Company’s EP Plan. For further information relating to the EP Plan, see “Compensation Discussion and Analysis – Annual Incentive Bonus.” For the actual awards earned under the EP Plan for 2020, see the “Summary Compensation Table” above.</w:t>
      </w:r>
    </w:p>
    <w:p>
      <w:pPr>
        <w:spacing w:after="0" w:line="143" w:lineRule="exact"/>
        <w:rPr>
          <w:rFonts w:ascii="Arial" w:cs="Arial" w:eastAsia="Arial" w:hAnsi="Arial"/>
          <w:sz w:val="18"/>
          <w:szCs w:val="18"/>
          <w:color w:val="auto"/>
        </w:rPr>
      </w:pPr>
    </w:p>
    <w:p>
      <w:pPr>
        <w:jc w:val="both"/>
        <w:ind w:left="340" w:hanging="332"/>
        <w:spacing w:after="0" w:line="28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amounts represent the range of stock-based compensation that might be realized under the 2020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2020 to December 31, 2022 versus the TSR during that same period of a defined peer group of companies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2020 to December 31, 2022 compared to the ROIC target established by the Compensation Committee. The vesting of the performance-based shares from the 2020 award will occur in 2023, with the actual number of shares vesting dependent upon the Company’s TSR compared to that of the peer group and performance against the ROIC target. For further details, refer to Note V, “Stock-Based Compensation” to the Company’s financial statements in its Annual Report on Form 10-K for the fiscal year ended December 31, 2020.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peer group from January 1, 2020 until the time of the “change in control.” ROIC performance-based shares vest upon a “change in control” of the Company based on the ROIC of the Company compared to that of the ROIC target from January 1, 2020 until the date of the “change in control.” Awards to Mr. Sourisseau are deferred shares instead of restricted shares. His shares are issued on the vesting date for restricted shares for the other NEOs. See note (1) on page 44.</w:t>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463" w:right="339" w:bottom="1440" w:gutter="0" w:footer="0" w:header="0"/>
        </w:sectPr>
      </w:pPr>
    </w:p>
    <w:bookmarkStart w:id="55" w:name="page56"/>
    <w:bookmarkEnd w:id="55"/>
    <w:p>
      <w:pPr>
        <w:jc w:val="both"/>
        <w:ind w:left="340" w:hanging="332"/>
        <w:spacing w:after="0" w:line="286"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amounts represent time-based restricted stock awarded in 2020,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84"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amounts represent the grant-date fair value of time-based restricted stock and performance-based restricted stock awarded in 2020. The grant-date fair value of the time-based restricted stock and ROIC performance-based shares is the $70.31 per share closing price of the Company’s Common Stock on the date immediately preceding the date of the award on January 9, 2020. The grant-date fair value of the TSR performance-based shares is $75.68 for the January 9, 2020 awards and is based on a Monte Carlo valuation model. The Committee has determined that approximately two-thirds of the targeted value of stock awards to NEOs should be performance-based. In order for the Company in 2020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V, “Stock-Based Compensation” to the financial statements in the Company’s Annual Report on Form 10-K for the fiscal year ended December 31, 2020.</w:t>
      </w:r>
    </w:p>
    <w:p>
      <w:pPr>
        <w:spacing w:after="0" w:line="114"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grant to Mr. Donahue of 86,650 shares of stock-based compensation under the 2013 Stock-Based Incentive Compensation Plan (the “2013 Stock Plan”). Time-based restricted stock totaling 29,583 shares vests over a three-year period as follows: 9,861 shares on January 11, 2021, January 10, 2022 and January 9, 2023, respectively. The remaining 57,067 shares of performance-based restricted stock vest on January 9, 2023 as follows: 29,583 shares based on the Company’s ROIC from January 1, 2020 to December 31, 2022 compared to the established ROIC target; 27,484 shares based on the Company’s TSR for that same period versus the TSR of a defined peer group of companies. The final number of performance-based shares actually vesting may vary from 0 to 114,134.</w:t>
      </w:r>
    </w:p>
    <w:p>
      <w:pPr>
        <w:spacing w:after="0" w:line="124"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grant to Mr. Kelly of 17,747 shares of stock-based compensation under the 2013 Stock Plan. Time-based restricted stock totaling 6,059 shares vests over a three-year period as follows: 2,020 shares on January 11, 2021 and January 10, 2022, respectively and 2,019 shares of January 9, 2023. The remaining 11,688 shares of performance-based restricted stock vest on January 9, 2023 as follows: 6,059 shares based on the Company’s ROIC from January 1, 2020 to December 31, 2022 compared to the established ROIC target; 5,629 shares based on the Company’s TSR for that same period versus the TSR of a defined peer group of companies. The final number of performance-based shares actually vesting may vary from 0 to 23,376.</w:t>
      </w:r>
    </w:p>
    <w:p>
      <w:pPr>
        <w:spacing w:after="0" w:line="111"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grant to Mr. Gifford of 25,350 shares of stock-based compensation under the 2013 Stock Plan. Time-based restricted stock totaling 8,655 shares vests over a three-year period as follows: 2,885 shares on January 11, 2021, January 10, 2022 and January 9, 2023, respectively. The remaining 16,695 shares of performance-based restricted stock vest on January 9, 2023 as follows: 8,655 shares based on the Company’s ROIC from January 1, 2020 to December 31, 2022 compared to the established ROIC target; 8,040 shares based on the Company’s TSR for that same period versus the TSR of a defined peer group of companies. The final number of performance-based shares actually vesting may vary from 0 to 33,390.</w:t>
      </w:r>
    </w:p>
    <w:p>
      <w:pPr>
        <w:spacing w:after="0" w:line="93" w:lineRule="exact"/>
        <w:rPr>
          <w:rFonts w:ascii="Arial" w:cs="Arial" w:eastAsia="Arial" w:hAnsi="Arial"/>
          <w:sz w:val="16"/>
          <w:szCs w:val="16"/>
          <w:color w:val="auto"/>
        </w:rPr>
      </w:pPr>
    </w:p>
    <w:p>
      <w:pPr>
        <w:jc w:val="both"/>
        <w:ind w:left="340" w:hanging="332"/>
        <w:spacing w:after="0" w:line="29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grant to Mr. Sourisseau of 14,727 shares of stock-based compensation under the 2013 Stock Plan. Time-based deferred stock totaling 5,028 shares will be issued over a three-year period as follows: 1,676 shares on January 11, 2021, January 10, 2022 and January 9, 2023, respectively. The remaining 9,699 shares of performance-based deferred stock vest on January 9, 2023 as follows: 5,028 shares based on the Company’s ROIC from January 1, 2020 to December 31, 2022 compared to the established ROIC target; 4,671 shares based on the Company’s TSR for that same period versus the TSR of a defined peer group of companies. The final number of performance-based shares actually issued may vary from 0 to 19,398.</w:t>
      </w:r>
    </w:p>
    <w:p>
      <w:pPr>
        <w:spacing w:after="0" w:line="93"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grant to Mr. Novaes of 14,581 shares of stock-based compensation under the 2013 Stock Plan. Time-based restricted stock totaling 4,978 shares vests over a three-year period as follows: 1,660 shares on January 11, 2021 and 1,659 shares on January 10, 2022 and January 9, 2023, respectively. The remaining 9,603 shares of performance-based restricted stock vest on January 9, 2023 as follows: 4,978 shares based on the Company’s ROIC from January 1, 2020 to December 31, 2022 compared to the established ROIC target; 4,625 shares based on the Company’s TSR for that same period versus the TSR of a defined peer group of companies. The final number of performance-based shares actually vesting may vary from 0 to 19,206.</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84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following table shows unvested time-based restricted Common Stock and unvested performance-based restricted Common Stock held by the Company’s NEOs on December 31, 2020. There are no outstanding options. These outstanding equity awards have been granted to the Company’s NEOs under the Company’s 2013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717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71716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Stock Awards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5"/>
              </w:rPr>
              <w:t>Market Value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Plan Awards: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2"/>
              </w:rPr>
              <w:t>Equity Incentive Plan</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7"/>
              </w:rPr>
              <w:t>of Shares or</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Number of Unearned</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4"/>
              </w:rPr>
              <w:t>Awards: Market or</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 or Units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Units of Stock</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0"/>
              </w:rPr>
              <w:t>Payout Value of Unearned</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Stock That Have</w:t>
            </w:r>
          </w:p>
        </w:tc>
        <w:tc>
          <w:tcPr>
            <w:tcW w:w="18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FFFFFF"/>
              </w:rPr>
              <w:t>That Have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2"/>
              </w:rPr>
              <w:t>or Other Rights That</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0"/>
              </w:rPr>
              <w:t>Shares, Units or Other Rights</w:t>
            </w:r>
          </w:p>
        </w:tc>
        <w:tc>
          <w:tcPr>
            <w:tcW w:w="20" w:type="dxa"/>
            <w:vAlign w:val="bottom"/>
          </w:tcPr>
          <w:p>
            <w:pPr>
              <w:spacing w:after="0"/>
              <w:rPr>
                <w:sz w:val="18"/>
                <w:szCs w:val="18"/>
                <w:color w:val="auto"/>
              </w:rPr>
            </w:pPr>
          </w:p>
        </w:tc>
      </w:tr>
      <w:tr>
        <w:trPr>
          <w:trHeight w:val="216"/>
        </w:trPr>
        <w:tc>
          <w:tcPr>
            <w:tcW w:w="2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Not Vested (1)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9"/>
              </w:rPr>
              <w:t>Not Vested (2)</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1"/>
              </w:rPr>
              <w:t>Have Not Vested (3)</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FFFFFF"/>
                <w:w w:val="91"/>
              </w:rPr>
              <w:t>That Have Not Vested (2)</w:t>
            </w:r>
          </w:p>
        </w:tc>
        <w:tc>
          <w:tcPr>
            <w:tcW w:w="20" w:type="dxa"/>
            <w:vAlign w:val="bottom"/>
          </w:tcPr>
          <w:p>
            <w:pPr>
              <w:spacing w:after="0"/>
              <w:rPr>
                <w:sz w:val="18"/>
                <w:szCs w:val="18"/>
                <w:color w:val="auto"/>
              </w:rPr>
            </w:pPr>
          </w:p>
        </w:tc>
      </w:tr>
      <w:tr>
        <w:trPr>
          <w:trHeight w:val="234"/>
        </w:trPr>
        <w:tc>
          <w:tcPr>
            <w:tcW w:w="22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8"/>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0"/>
              </w:rPr>
              <w:t>($)</w:t>
            </w:r>
          </w:p>
        </w:tc>
        <w:tc>
          <w:tcPr>
            <w:tcW w:w="20" w:type="dxa"/>
            <w:vAlign w:val="bottom"/>
            <w:tcBorders>
              <w:bottom w:val="single" w:sz="8" w:color="auto"/>
            </w:tcBorders>
          </w:tcPr>
          <w:p>
            <w:pPr>
              <w:spacing w:after="0"/>
              <w:rPr>
                <w:sz w:val="20"/>
                <w:szCs w:val="20"/>
                <w:color w:val="auto"/>
              </w:rPr>
            </w:pPr>
          </w:p>
        </w:tc>
      </w:tr>
      <w:tr>
        <w:trPr>
          <w:trHeight w:val="372"/>
        </w:trPr>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Timothy Donahue</w:t>
            </w:r>
          </w:p>
        </w:tc>
        <w:tc>
          <w:tcPr>
            <w:tcW w:w="18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71,703</w:t>
            </w:r>
          </w:p>
        </w:tc>
        <w:tc>
          <w:tcPr>
            <w:tcW w:w="18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7,184,641</w:t>
            </w:r>
          </w:p>
        </w:tc>
        <w:tc>
          <w:tcPr>
            <w:tcW w:w="258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color w:val="auto"/>
              </w:rPr>
              <w:t>208,843</w:t>
            </w:r>
          </w:p>
        </w:tc>
        <w:tc>
          <w:tcPr>
            <w:tcW w:w="2760" w:type="dxa"/>
            <w:vAlign w:val="bottom"/>
          </w:tcPr>
          <w:p>
            <w:pPr>
              <w:jc w:val="right"/>
              <w:ind w:right="930"/>
              <w:spacing w:after="0"/>
              <w:rPr>
                <w:sz w:val="20"/>
                <w:szCs w:val="20"/>
                <w:color w:val="auto"/>
              </w:rPr>
            </w:pPr>
            <w:r>
              <w:rPr>
                <w:rFonts w:ascii="Arial" w:cs="Arial" w:eastAsia="Arial" w:hAnsi="Arial"/>
                <w:sz w:val="18"/>
                <w:szCs w:val="18"/>
                <w:color w:val="auto"/>
              </w:rPr>
              <w:t>20,926,069</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2280" w:type="dxa"/>
            <w:vAlign w:val="bottom"/>
            <w:tcBorders>
              <w:right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Thomas Kelly</w:t>
            </w:r>
          </w:p>
        </w:tc>
        <w:tc>
          <w:tcPr>
            <w:tcW w:w="1800" w:type="dxa"/>
            <w:vAlign w:val="bottom"/>
            <w:tcBorders>
              <w:right w:val="single" w:sz="8" w:color="auto"/>
            </w:tcBorders>
            <w:shd w:val="clear" w:color="auto" w:fill="D9D9D9"/>
          </w:tcPr>
          <w:p>
            <w:pPr>
              <w:jc w:val="right"/>
              <w:ind w:right="630"/>
              <w:spacing w:after="0"/>
              <w:rPr>
                <w:sz w:val="20"/>
                <w:szCs w:val="20"/>
                <w:color w:val="auto"/>
              </w:rPr>
            </w:pPr>
            <w:r>
              <w:rPr>
                <w:rFonts w:ascii="Arial" w:cs="Arial" w:eastAsia="Arial" w:hAnsi="Arial"/>
                <w:sz w:val="18"/>
                <w:szCs w:val="18"/>
                <w:color w:val="auto"/>
              </w:rPr>
              <w:t>14,698</w:t>
            </w:r>
          </w:p>
        </w:tc>
        <w:tc>
          <w:tcPr>
            <w:tcW w:w="180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18"/>
                <w:szCs w:val="18"/>
                <w:color w:val="auto"/>
              </w:rPr>
              <w:t>1,472,740</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42,798</w:t>
            </w:r>
          </w:p>
        </w:tc>
        <w:tc>
          <w:tcPr>
            <w:tcW w:w="2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4,288,360</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258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Gerard Gifford</w:t>
            </w:r>
          </w:p>
        </w:tc>
        <w:tc>
          <w:tcPr>
            <w:tcW w:w="18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21,185</w:t>
            </w:r>
          </w:p>
        </w:tc>
        <w:tc>
          <w:tcPr>
            <w:tcW w:w="18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2,122,737</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61,839</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6,196,268</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2280" w:type="dxa"/>
            <w:vAlign w:val="bottom"/>
            <w:tcBorders>
              <w:right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Didier Sourisseau (4)</w:t>
            </w:r>
          </w:p>
        </w:tc>
        <w:tc>
          <w:tcPr>
            <w:tcW w:w="1800" w:type="dxa"/>
            <w:vAlign w:val="bottom"/>
            <w:tcBorders>
              <w:right w:val="single" w:sz="8" w:color="auto"/>
            </w:tcBorders>
            <w:shd w:val="clear" w:color="auto" w:fill="D9D9D9"/>
          </w:tcPr>
          <w:p>
            <w:pPr>
              <w:jc w:val="right"/>
              <w:ind w:right="630"/>
              <w:spacing w:after="0"/>
              <w:rPr>
                <w:sz w:val="20"/>
                <w:szCs w:val="20"/>
                <w:color w:val="auto"/>
              </w:rPr>
            </w:pPr>
            <w:r>
              <w:rPr>
                <w:rFonts w:ascii="Arial" w:cs="Arial" w:eastAsia="Arial" w:hAnsi="Arial"/>
                <w:sz w:val="18"/>
                <w:szCs w:val="18"/>
                <w:color w:val="auto"/>
              </w:rPr>
              <w:t>12,247</w:t>
            </w:r>
          </w:p>
        </w:tc>
        <w:tc>
          <w:tcPr>
            <w:tcW w:w="180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18"/>
                <w:szCs w:val="18"/>
                <w:color w:val="auto"/>
              </w:rPr>
              <w:t>1,227,149</w:t>
            </w:r>
          </w:p>
        </w:tc>
        <w:tc>
          <w:tcPr>
            <w:tcW w:w="25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35,660</w:t>
            </w:r>
          </w:p>
        </w:tc>
        <w:tc>
          <w:tcPr>
            <w:tcW w:w="27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3,573,132</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1800" w:type="dxa"/>
            <w:vAlign w:val="bottom"/>
            <w:tcBorders>
              <w:bottom w:val="single" w:sz="8" w:color="auto"/>
              <w:right w:val="single" w:sz="8" w:color="auto"/>
            </w:tcBorders>
            <w:shd w:val="clear" w:color="auto" w:fill="D9D9D9"/>
          </w:tcPr>
          <w:p>
            <w:pPr>
              <w:spacing w:after="0"/>
              <w:rPr>
                <w:sz w:val="9"/>
                <w:szCs w:val="9"/>
                <w:color w:val="auto"/>
              </w:rPr>
            </w:pPr>
          </w:p>
        </w:tc>
        <w:tc>
          <w:tcPr>
            <w:tcW w:w="2580" w:type="dxa"/>
            <w:vAlign w:val="bottom"/>
            <w:tcBorders>
              <w:bottom w:val="single" w:sz="8" w:color="auto"/>
              <w:right w:val="single" w:sz="8" w:color="auto"/>
            </w:tcBorders>
            <w:shd w:val="clear" w:color="auto" w:fill="D9D9D9"/>
          </w:tcPr>
          <w:p>
            <w:pPr>
              <w:spacing w:after="0"/>
              <w:rPr>
                <w:sz w:val="9"/>
                <w:szCs w:val="9"/>
                <w:color w:val="auto"/>
              </w:rPr>
            </w:pPr>
          </w:p>
        </w:tc>
        <w:tc>
          <w:tcPr>
            <w:tcW w:w="276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8"/>
        </w:trPr>
        <w:tc>
          <w:tcPr>
            <w:tcW w:w="22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Djalma Novaes</w:t>
            </w:r>
          </w:p>
        </w:tc>
        <w:tc>
          <w:tcPr>
            <w:tcW w:w="18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color w:val="auto"/>
              </w:rPr>
              <w:t>12,060</w:t>
            </w:r>
          </w:p>
        </w:tc>
        <w:tc>
          <w:tcPr>
            <w:tcW w:w="18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1,208,412</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35,179</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3,524,936</w:t>
            </w:r>
          </w:p>
        </w:tc>
        <w:tc>
          <w:tcPr>
            <w:tcW w:w="20" w:type="dxa"/>
            <w:vAlign w:val="bottom"/>
          </w:tcPr>
          <w:p>
            <w:pPr>
              <w:spacing w:after="0"/>
              <w:rPr>
                <w:sz w:val="24"/>
                <w:szCs w:val="24"/>
                <w:color w:val="auto"/>
              </w:rPr>
            </w:pPr>
          </w:p>
        </w:tc>
      </w:tr>
      <w:tr>
        <w:trPr>
          <w:trHeight w:val="108"/>
        </w:trPr>
        <w:tc>
          <w:tcPr>
            <w:tcW w:w="22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hanging="332"/>
        <w:spacing w:after="0" w:line="25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represent outstanding unvested time-based restricted stock awards (right to deferred shares in the case of Mr. Sourisseau). Time-based restricted stock vests annually over three years from the date of the award. Accordingly, with respect to awards made in 2018, the final one-third vested on January 4, 2021. With respect to awards made in 2019, the second one-third vested on January 7, 2021 and the final one-third will vest on January 7, 2022. With respect to awards made in 2020, the first one-third vested on January 11, 2021. The second one-third will vest on January 10, 2022 and the final one-third will vest on January 9, 2023. If a participant terminates employment due to retirement with Committee approval, disability or death, or in the event of a “change in control” of the Company, vesting of the unvested time-based restricted stock awards accelerates to the date of termination or change in control.</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Computed as of December 31, 2020. The closing price of the Company’s Common Stock on December 31, 2020 was $100.20.</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463" w:right="339" w:bottom="1440" w:gutter="0" w:footer="0" w:header="0"/>
        </w:sectPr>
      </w:pPr>
    </w:p>
    <w:bookmarkStart w:id="57" w:name="page58"/>
    <w:bookmarkEnd w:id="57"/>
    <w:p>
      <w:pPr>
        <w:jc w:val="both"/>
        <w:ind w:left="340" w:hanging="332"/>
        <w:spacing w:after="0" w:line="28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amounts represent outstanding unvested performance-based restricted stock at target levels. The range of shares to be vested is 0 to 200% of the target based on the levels of performance achieved under the 2018 award from January 1, 2018 to December 31, 2020, under the 2019 award from January 1, 2019 to December 31, 2021 and under the 2020 award from January 1, 2020 to December 31, 2022. The number reported does not include any additional shares that may be awarded after December 31, 2020 based upon the Company’s performance but does include shares that may be forfeited based on the Company’s performance. On January 11, 2021, TSR performance-based shares earned pursuant to the 2018 awards vested as follows: for Mr. Donahue – 62,968 shares with a value on December 31, 2020 of $6,309,394; for Mr. Kelly – 12,880 shares with a value on December 31, 2020 of $1,290,576; for Mr. Gifford – 18,714 shares with a value on December 31, 2020 of $1,875,143; for Mr. Sourisseau – 10,692 shares with a value on December 31, 2020 of $1,071,338; and for Mr. Novaes – 10,692 shares with a value on December 31, 2020 of $1,071,338. On February 25, 2021, ROIC performance-based shares earned pursuant to the 2018 awards vested as follows: for Mr. Donahue – 33,398 shares with a value on December 31, 2020 of $3,346,480; for Mr. Kelly – 6,831 shares with a value on December 31, 2020 of $684,466; for Mr. Gifford – 9,926 shares with a value on December 31, 2020 of $994,585; for Mr. Sourisseau – 5,671 shares with a value on December 31, 2020 of $568,234; and for Mr. Novaes – 5,671 shares with a value on December 31, 2020 of $568,234.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the peer group at the time of the “change in control.” ROIC performance-based shares vest upon a “change in control” of the Company based upon the ROIC of the Company compared to that of the ROIC target through the date of the “change in control.”</w:t>
      </w:r>
    </w:p>
    <w:p>
      <w:pPr>
        <w:spacing w:after="0" w:line="171"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shares listed for Mr. Sourisseau are deferred shares. With respect to Mr. Sourisseau, all references to “vesting” above actually mean issuance of deferred shares. See note (1) on page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908"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Option Exercises and Stock Vested</w:t>
      </w:r>
    </w:p>
    <w:p>
      <w:pPr>
        <w:spacing w:after="0" w:line="212"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table shows the number of shares of the Company’s Common Stock acquired and the actual value received during 2020 upon the vesting of stock awards. The Company does not issue stock options to its NEOs.</w:t>
      </w:r>
    </w:p>
    <w:p>
      <w:pPr>
        <w:spacing w:after="0" w:line="368" w:lineRule="exact"/>
        <w:rPr>
          <w:sz w:val="20"/>
          <w:szCs w:val="20"/>
          <w:color w:val="auto"/>
        </w:rPr>
      </w:pPr>
    </w:p>
    <w:tbl>
      <w:tblPr>
        <w:tblLayout w:type="fixed"/>
        <w:tblInd w:w="450" w:type="dxa"/>
        <w:tblCellMar>
          <w:top w:w="0" w:type="dxa"/>
          <w:left w:w="0" w:type="dxa"/>
          <w:bottom w:w="0" w:type="dxa"/>
          <w:right w:w="0" w:type="dxa"/>
        </w:tblCellMar>
      </w:tblPr>
      <w:tr>
        <w:trPr>
          <w:trHeight w:val="256"/>
        </w:trPr>
        <w:tc>
          <w:tcPr>
            <w:tcW w:w="3860" w:type="dxa"/>
            <w:vAlign w:val="bottom"/>
            <w:tcBorders>
              <w:top w:val="single" w:sz="8" w:color="auto"/>
              <w:left w:val="single" w:sz="8" w:color="auto"/>
              <w:bottom w:val="single" w:sz="8" w:color="auto"/>
              <w:right w:val="single" w:sz="8" w:color="auto"/>
            </w:tcBorders>
            <w:vMerge w:val="restart"/>
            <w:shd w:val="clear" w:color="auto" w:fill="29650B"/>
          </w:tcPr>
          <w:p>
            <w:pPr>
              <w:ind w:left="1660"/>
              <w:spacing w:after="0"/>
              <w:rPr>
                <w:sz w:val="20"/>
                <w:szCs w:val="20"/>
                <w:color w:val="auto"/>
              </w:rPr>
            </w:pPr>
            <w:r>
              <w:rPr>
                <w:rFonts w:ascii="Arial" w:cs="Arial" w:eastAsia="Arial" w:hAnsi="Arial"/>
                <w:sz w:val="22"/>
                <w:szCs w:val="22"/>
                <w:b w:val="1"/>
                <w:bCs w:val="1"/>
                <w:color w:val="FFFFFF"/>
              </w:rPr>
              <w:t>Name</w:t>
            </w:r>
          </w:p>
        </w:tc>
        <w:tc>
          <w:tcPr>
            <w:tcW w:w="2380" w:type="dxa"/>
            <w:vAlign w:val="bottom"/>
            <w:tcBorders>
              <w:top w:val="single" w:sz="8" w:color="auto"/>
              <w:bottom w:val="single" w:sz="8" w:color="auto"/>
            </w:tcBorders>
            <w:shd w:val="clear" w:color="auto" w:fill="29650B"/>
          </w:tcPr>
          <w:p>
            <w:pPr>
              <w:spacing w:after="0"/>
              <w:rPr>
                <w:sz w:val="22"/>
                <w:szCs w:val="22"/>
                <w:color w:val="auto"/>
              </w:rPr>
            </w:pPr>
          </w:p>
        </w:tc>
        <w:tc>
          <w:tcPr>
            <w:tcW w:w="3860" w:type="dxa"/>
            <w:vAlign w:val="bottom"/>
            <w:tcBorders>
              <w:top w:val="single" w:sz="8" w:color="auto"/>
              <w:bottom w:val="single" w:sz="8" w:color="auto"/>
              <w:right w:val="single" w:sz="8" w:color="auto"/>
            </w:tcBorders>
            <w:gridSpan w:val="2"/>
            <w:shd w:val="clear" w:color="auto" w:fill="29650B"/>
          </w:tcPr>
          <w:p>
            <w:pPr>
              <w:jc w:val="right"/>
              <w:ind w:right="2392"/>
              <w:spacing w:after="0"/>
              <w:rPr>
                <w:sz w:val="20"/>
                <w:szCs w:val="20"/>
                <w:color w:val="auto"/>
              </w:rPr>
            </w:pPr>
            <w:r>
              <w:rPr>
                <w:rFonts w:ascii="Arial" w:cs="Arial" w:eastAsia="Arial" w:hAnsi="Arial"/>
                <w:sz w:val="22"/>
                <w:szCs w:val="22"/>
                <w:b w:val="1"/>
                <w:bCs w:val="1"/>
                <w:color w:val="FFFFFF"/>
                <w:w w:val="92"/>
              </w:rPr>
              <w:t>Stock Awards</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2380" w:type="dxa"/>
            <w:vAlign w:val="bottom"/>
            <w:shd w:val="clear" w:color="auto" w:fill="29650B"/>
          </w:tcPr>
          <w:p>
            <w:pPr>
              <w:jc w:val="center"/>
              <w:ind w:left="392"/>
              <w:spacing w:after="0" w:line="209" w:lineRule="exact"/>
              <w:rPr>
                <w:sz w:val="20"/>
                <w:szCs w:val="20"/>
                <w:color w:val="auto"/>
              </w:rPr>
            </w:pPr>
            <w:r>
              <w:rPr>
                <w:rFonts w:ascii="Arial" w:cs="Arial" w:eastAsia="Arial" w:hAnsi="Arial"/>
                <w:sz w:val="22"/>
                <w:szCs w:val="22"/>
                <w:b w:val="1"/>
                <w:bCs w:val="1"/>
                <w:color w:val="FFFFFF"/>
                <w:w w:val="88"/>
              </w:rPr>
              <w:t>Number of Shares</w:t>
            </w:r>
          </w:p>
        </w:tc>
        <w:tc>
          <w:tcPr>
            <w:tcW w:w="540" w:type="dxa"/>
            <w:vAlign w:val="bottom"/>
            <w:tcBorders>
              <w:right w:val="single" w:sz="8" w:color="auto"/>
            </w:tcBorders>
            <w:shd w:val="clear" w:color="auto" w:fill="29650B"/>
          </w:tcPr>
          <w:p>
            <w:pPr>
              <w:spacing w:after="0"/>
              <w:rPr>
                <w:sz w:val="18"/>
                <w:szCs w:val="18"/>
                <w:color w:val="auto"/>
              </w:rPr>
            </w:pPr>
          </w:p>
        </w:tc>
        <w:tc>
          <w:tcPr>
            <w:tcW w:w="3320" w:type="dxa"/>
            <w:vAlign w:val="bottom"/>
            <w:tcBorders>
              <w:right w:val="single" w:sz="8" w:color="auto"/>
            </w:tcBorders>
            <w:shd w:val="clear" w:color="auto" w:fill="29650B"/>
          </w:tcPr>
          <w:p>
            <w:pPr>
              <w:jc w:val="center"/>
              <w:spacing w:after="0" w:line="209" w:lineRule="exact"/>
              <w:rPr>
                <w:sz w:val="20"/>
                <w:szCs w:val="20"/>
                <w:color w:val="auto"/>
              </w:rPr>
            </w:pPr>
            <w:r>
              <w:rPr>
                <w:rFonts w:ascii="Arial" w:cs="Arial" w:eastAsia="Arial" w:hAnsi="Arial"/>
                <w:sz w:val="22"/>
                <w:szCs w:val="22"/>
                <w:b w:val="1"/>
                <w:bCs w:val="1"/>
                <w:color w:val="FFFFFF"/>
                <w:w w:val="89"/>
              </w:rPr>
              <w:t>Value Realized</w:t>
            </w:r>
          </w:p>
        </w:tc>
        <w:tc>
          <w:tcPr>
            <w:tcW w:w="0" w:type="dxa"/>
            <w:vAlign w:val="bottom"/>
          </w:tcPr>
          <w:p>
            <w:pPr>
              <w:spacing w:after="0"/>
              <w:rPr>
                <w:sz w:val="1"/>
                <w:szCs w:val="1"/>
                <w:color w:val="auto"/>
              </w:rPr>
            </w:pPr>
          </w:p>
        </w:tc>
      </w:tr>
      <w:tr>
        <w:trPr>
          <w:trHeight w:val="243"/>
        </w:trPr>
        <w:tc>
          <w:tcPr>
            <w:tcW w:w="3860" w:type="dxa"/>
            <w:vAlign w:val="bottom"/>
            <w:tcBorders>
              <w:left w:val="single" w:sz="8" w:color="auto"/>
              <w:right w:val="single" w:sz="8" w:color="auto"/>
            </w:tcBorders>
            <w:shd w:val="clear" w:color="auto" w:fill="29650B"/>
          </w:tcPr>
          <w:p>
            <w:pPr>
              <w:spacing w:after="0"/>
              <w:rPr>
                <w:sz w:val="21"/>
                <w:szCs w:val="21"/>
                <w:color w:val="auto"/>
              </w:rPr>
            </w:pPr>
          </w:p>
        </w:tc>
        <w:tc>
          <w:tcPr>
            <w:tcW w:w="2380" w:type="dxa"/>
            <w:vAlign w:val="bottom"/>
            <w:shd w:val="clear" w:color="auto" w:fill="29650B"/>
          </w:tcPr>
          <w:p>
            <w:pPr>
              <w:jc w:val="center"/>
              <w:ind w:left="412"/>
              <w:spacing w:after="0" w:line="243" w:lineRule="exact"/>
              <w:rPr>
                <w:sz w:val="20"/>
                <w:szCs w:val="20"/>
                <w:color w:val="auto"/>
              </w:rPr>
            </w:pPr>
            <w:r>
              <w:rPr>
                <w:rFonts w:ascii="Arial" w:cs="Arial" w:eastAsia="Arial" w:hAnsi="Arial"/>
                <w:sz w:val="22"/>
                <w:szCs w:val="22"/>
                <w:b w:val="1"/>
                <w:bCs w:val="1"/>
                <w:color w:val="FFFFFF"/>
                <w:w w:val="88"/>
              </w:rPr>
              <w:t>Acquired on</w:t>
            </w:r>
          </w:p>
        </w:tc>
        <w:tc>
          <w:tcPr>
            <w:tcW w:w="540" w:type="dxa"/>
            <w:vAlign w:val="bottom"/>
            <w:tcBorders>
              <w:right w:val="single" w:sz="8" w:color="auto"/>
            </w:tcBorders>
            <w:shd w:val="clear" w:color="auto" w:fill="29650B"/>
          </w:tcPr>
          <w:p>
            <w:pPr>
              <w:spacing w:after="0"/>
              <w:rPr>
                <w:sz w:val="21"/>
                <w:szCs w:val="21"/>
                <w:color w:val="auto"/>
              </w:rPr>
            </w:pPr>
          </w:p>
        </w:tc>
        <w:tc>
          <w:tcPr>
            <w:tcW w:w="3320" w:type="dxa"/>
            <w:vAlign w:val="bottom"/>
            <w:tcBorders>
              <w:right w:val="single" w:sz="8" w:color="auto"/>
            </w:tcBorders>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86"/>
              </w:rPr>
              <w:t>on Vesting (2)</w:t>
            </w:r>
          </w:p>
        </w:tc>
        <w:tc>
          <w:tcPr>
            <w:tcW w:w="0" w:type="dxa"/>
            <w:vAlign w:val="bottom"/>
          </w:tcPr>
          <w:p>
            <w:pPr>
              <w:spacing w:after="0"/>
              <w:rPr>
                <w:sz w:val="1"/>
                <w:szCs w:val="1"/>
                <w:color w:val="auto"/>
              </w:rPr>
            </w:pPr>
          </w:p>
        </w:tc>
      </w:tr>
      <w:tr>
        <w:trPr>
          <w:trHeight w:val="270"/>
        </w:trPr>
        <w:tc>
          <w:tcPr>
            <w:tcW w:w="386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2380" w:type="dxa"/>
            <w:vAlign w:val="bottom"/>
            <w:tcBorders>
              <w:bottom w:val="single" w:sz="8" w:color="auto"/>
            </w:tcBorders>
            <w:shd w:val="clear" w:color="auto" w:fill="29650B"/>
          </w:tcPr>
          <w:p>
            <w:pPr>
              <w:jc w:val="center"/>
              <w:ind w:left="412"/>
              <w:spacing w:after="0"/>
              <w:rPr>
                <w:sz w:val="20"/>
                <w:szCs w:val="20"/>
                <w:color w:val="auto"/>
              </w:rPr>
            </w:pPr>
            <w:r>
              <w:rPr>
                <w:rFonts w:ascii="Arial" w:cs="Arial" w:eastAsia="Arial" w:hAnsi="Arial"/>
                <w:sz w:val="22"/>
                <w:szCs w:val="22"/>
                <w:b w:val="1"/>
                <w:bCs w:val="1"/>
                <w:color w:val="FFFFFF"/>
                <w:w w:val="87"/>
              </w:rPr>
              <w:t>Vesting (1)</w:t>
            </w:r>
          </w:p>
        </w:tc>
        <w:tc>
          <w:tcPr>
            <w:tcW w:w="540" w:type="dxa"/>
            <w:vAlign w:val="bottom"/>
            <w:tcBorders>
              <w:bottom w:val="single" w:sz="8" w:color="auto"/>
              <w:right w:val="single" w:sz="8" w:color="auto"/>
            </w:tcBorders>
            <w:shd w:val="clear" w:color="auto" w:fill="29650B"/>
          </w:tcPr>
          <w:p>
            <w:pPr>
              <w:spacing w:after="0"/>
              <w:rPr>
                <w:sz w:val="23"/>
                <w:szCs w:val="23"/>
                <w:color w:val="auto"/>
              </w:rPr>
            </w:pPr>
          </w:p>
        </w:tc>
        <w:tc>
          <w:tcPr>
            <w:tcW w:w="33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22"/>
                <w:szCs w:val="22"/>
                <w:b w:val="1"/>
                <w:bCs w:val="1"/>
                <w:color w:val="FFFFFF"/>
                <w:w w:val="96"/>
              </w:rPr>
              <w:t>($)</w:t>
            </w: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118,444</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8,364,126</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2380" w:type="dxa"/>
            <w:vAlign w:val="bottom"/>
            <w:shd w:val="clear" w:color="auto" w:fill="D9D9D9"/>
          </w:tcPr>
          <w:p>
            <w:pPr>
              <w:jc w:val="right"/>
              <w:ind w:right="12"/>
              <w:spacing w:after="0"/>
              <w:rPr>
                <w:sz w:val="20"/>
                <w:szCs w:val="20"/>
                <w:color w:val="auto"/>
              </w:rPr>
            </w:pPr>
            <w:r>
              <w:rPr>
                <w:rFonts w:ascii="Arial" w:cs="Arial" w:eastAsia="Arial" w:hAnsi="Arial"/>
                <w:sz w:val="22"/>
                <w:szCs w:val="22"/>
                <w:color w:val="auto"/>
              </w:rPr>
              <w:t>24,686</w:t>
            </w:r>
          </w:p>
        </w:tc>
        <w:tc>
          <w:tcPr>
            <w:tcW w:w="540" w:type="dxa"/>
            <w:vAlign w:val="bottom"/>
            <w:tcBorders>
              <w:right w:val="single" w:sz="8" w:color="auto"/>
            </w:tcBorders>
            <w:shd w:val="clear" w:color="auto" w:fill="D9D9D9"/>
          </w:tcPr>
          <w:p>
            <w:pPr>
              <w:spacing w:after="0"/>
              <w:rPr>
                <w:sz w:val="24"/>
                <w:szCs w:val="24"/>
                <w:color w:val="auto"/>
              </w:rPr>
            </w:pPr>
          </w:p>
        </w:tc>
        <w:tc>
          <w:tcPr>
            <w:tcW w:w="3320" w:type="dxa"/>
            <w:vAlign w:val="bottom"/>
            <w:tcBorders>
              <w:right w:val="single" w:sz="8" w:color="auto"/>
            </w:tcBorders>
            <w:shd w:val="clear" w:color="auto" w:fill="D9D9D9"/>
          </w:tcPr>
          <w:p>
            <w:pPr>
              <w:jc w:val="right"/>
              <w:ind w:right="552"/>
              <w:spacing w:after="0"/>
              <w:rPr>
                <w:sz w:val="20"/>
                <w:szCs w:val="20"/>
                <w:color w:val="auto"/>
              </w:rPr>
            </w:pPr>
            <w:r>
              <w:rPr>
                <w:rFonts w:ascii="Arial" w:cs="Arial" w:eastAsia="Arial" w:hAnsi="Arial"/>
                <w:sz w:val="22"/>
                <w:szCs w:val="22"/>
                <w:color w:val="auto"/>
              </w:rPr>
              <w:t>1,743,191</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380" w:type="dxa"/>
            <w:vAlign w:val="bottom"/>
            <w:tcBorders>
              <w:bottom w:val="single" w:sz="8" w:color="auto"/>
            </w:tcBorders>
            <w:shd w:val="clear" w:color="auto" w:fill="D9D9D9"/>
          </w:tcPr>
          <w:p>
            <w:pPr>
              <w:spacing w:after="0"/>
              <w:rPr>
                <w:sz w:val="8"/>
                <w:szCs w:val="8"/>
                <w:color w:val="auto"/>
              </w:rPr>
            </w:pPr>
          </w:p>
        </w:tc>
        <w:tc>
          <w:tcPr>
            <w:tcW w:w="540" w:type="dxa"/>
            <w:vAlign w:val="bottom"/>
            <w:tcBorders>
              <w:bottom w:val="single" w:sz="8" w:color="auto"/>
              <w:right w:val="single" w:sz="8" w:color="auto"/>
            </w:tcBorders>
            <w:shd w:val="clear" w:color="auto" w:fill="D9D9D9"/>
          </w:tcPr>
          <w:p>
            <w:pPr>
              <w:spacing w:after="0"/>
              <w:rPr>
                <w:sz w:val="8"/>
                <w:szCs w:val="8"/>
                <w:color w:val="auto"/>
              </w:rPr>
            </w:pPr>
          </w:p>
        </w:tc>
        <w:tc>
          <w:tcPr>
            <w:tcW w:w="332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36,624</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2,492,941</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Didier Sourisseau</w:t>
            </w:r>
          </w:p>
        </w:tc>
        <w:tc>
          <w:tcPr>
            <w:tcW w:w="2380" w:type="dxa"/>
            <w:vAlign w:val="bottom"/>
            <w:shd w:val="clear" w:color="auto" w:fill="D9D9D9"/>
          </w:tcPr>
          <w:p>
            <w:pPr>
              <w:jc w:val="right"/>
              <w:ind w:right="12"/>
              <w:spacing w:after="0"/>
              <w:rPr>
                <w:sz w:val="20"/>
                <w:szCs w:val="20"/>
                <w:color w:val="auto"/>
              </w:rPr>
            </w:pPr>
            <w:r>
              <w:rPr>
                <w:rFonts w:ascii="Arial" w:cs="Arial" w:eastAsia="Arial" w:hAnsi="Arial"/>
                <w:sz w:val="22"/>
                <w:szCs w:val="22"/>
                <w:color w:val="auto"/>
              </w:rPr>
              <w:t>20,035</w:t>
            </w:r>
          </w:p>
        </w:tc>
        <w:tc>
          <w:tcPr>
            <w:tcW w:w="540" w:type="dxa"/>
            <w:vAlign w:val="bottom"/>
            <w:tcBorders>
              <w:right w:val="single" w:sz="8" w:color="auto"/>
            </w:tcBorders>
            <w:shd w:val="clear" w:color="auto" w:fill="D9D9D9"/>
          </w:tcPr>
          <w:p>
            <w:pPr>
              <w:spacing w:after="0"/>
              <w:rPr>
                <w:sz w:val="24"/>
                <w:szCs w:val="24"/>
                <w:color w:val="auto"/>
              </w:rPr>
            </w:pPr>
          </w:p>
        </w:tc>
        <w:tc>
          <w:tcPr>
            <w:tcW w:w="3320" w:type="dxa"/>
            <w:vAlign w:val="bottom"/>
            <w:tcBorders>
              <w:right w:val="single" w:sz="8" w:color="auto"/>
            </w:tcBorders>
            <w:shd w:val="clear" w:color="auto" w:fill="D9D9D9"/>
          </w:tcPr>
          <w:p>
            <w:pPr>
              <w:jc w:val="right"/>
              <w:ind w:right="552"/>
              <w:spacing w:after="0"/>
              <w:rPr>
                <w:sz w:val="20"/>
                <w:szCs w:val="20"/>
                <w:color w:val="auto"/>
              </w:rPr>
            </w:pPr>
            <w:r>
              <w:rPr>
                <w:rFonts w:ascii="Arial" w:cs="Arial" w:eastAsia="Arial" w:hAnsi="Arial"/>
                <w:sz w:val="22"/>
                <w:szCs w:val="22"/>
                <w:color w:val="auto"/>
              </w:rPr>
              <w:t>1,138,652</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380" w:type="dxa"/>
            <w:vAlign w:val="bottom"/>
            <w:tcBorders>
              <w:bottom w:val="single" w:sz="8" w:color="auto"/>
            </w:tcBorders>
            <w:shd w:val="clear" w:color="auto" w:fill="D9D9D9"/>
          </w:tcPr>
          <w:p>
            <w:pPr>
              <w:spacing w:after="0"/>
              <w:rPr>
                <w:sz w:val="8"/>
                <w:szCs w:val="8"/>
                <w:color w:val="auto"/>
              </w:rPr>
            </w:pPr>
          </w:p>
        </w:tc>
        <w:tc>
          <w:tcPr>
            <w:tcW w:w="540" w:type="dxa"/>
            <w:vAlign w:val="bottom"/>
            <w:tcBorders>
              <w:bottom w:val="single" w:sz="8" w:color="auto"/>
              <w:right w:val="single" w:sz="8" w:color="auto"/>
            </w:tcBorders>
            <w:shd w:val="clear" w:color="auto" w:fill="D9D9D9"/>
          </w:tcPr>
          <w:p>
            <w:pPr>
              <w:spacing w:after="0"/>
              <w:rPr>
                <w:sz w:val="8"/>
                <w:szCs w:val="8"/>
                <w:color w:val="auto"/>
              </w:rPr>
            </w:pPr>
          </w:p>
        </w:tc>
        <w:tc>
          <w:tcPr>
            <w:tcW w:w="332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Djalma Novaes</w:t>
            </w:r>
          </w:p>
        </w:tc>
        <w:tc>
          <w:tcPr>
            <w:tcW w:w="2380" w:type="dxa"/>
            <w:vAlign w:val="bottom"/>
          </w:tcPr>
          <w:p>
            <w:pPr>
              <w:jc w:val="right"/>
              <w:ind w:right="12"/>
              <w:spacing w:after="0"/>
              <w:rPr>
                <w:sz w:val="20"/>
                <w:szCs w:val="20"/>
                <w:color w:val="auto"/>
              </w:rPr>
            </w:pPr>
            <w:r>
              <w:rPr>
                <w:rFonts w:ascii="Arial" w:cs="Arial" w:eastAsia="Arial" w:hAnsi="Arial"/>
                <w:sz w:val="22"/>
                <w:szCs w:val="22"/>
                <w:color w:val="auto"/>
              </w:rPr>
              <w:t>21,172</w:t>
            </w:r>
          </w:p>
        </w:tc>
        <w:tc>
          <w:tcPr>
            <w:tcW w:w="54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1,494,972</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bottom w:val="single" w:sz="8" w:color="auto"/>
              <w:right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hanging="332"/>
        <w:spacing w:after="0" w:line="286"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Amounts in this column are time-based and performance-based restricted stock that vested in 2020. The 2017 award of performance-based restricted stock vested at 121.3% in 2020. In the case of Mr. Sourisseau, deferred stock was issued. For further information relating to the vesting of performance-based share awards, see “Compensation Discussion and Analysis – Long-Term Equity Incentives.”</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46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Pension Benefits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2920" w:type="dxa"/>
            <w:vAlign w:val="bottom"/>
            <w:tcBorders>
              <w:top w:val="single" w:sz="8" w:color="auto"/>
              <w:right w:val="single" w:sz="8" w:color="auto"/>
            </w:tcBorders>
            <w:vMerge w:val="restart"/>
            <w:shd w:val="clear" w:color="auto" w:fill="29650B"/>
          </w:tcPr>
          <w:p>
            <w:pPr>
              <w:ind w:left="1240"/>
              <w:spacing w:after="0"/>
              <w:rPr>
                <w:sz w:val="20"/>
                <w:szCs w:val="20"/>
                <w:color w:val="auto"/>
              </w:rPr>
            </w:pPr>
            <w:r>
              <w:rPr>
                <w:rFonts w:ascii="Arial" w:cs="Arial" w:eastAsia="Arial" w:hAnsi="Arial"/>
                <w:sz w:val="22"/>
                <w:szCs w:val="22"/>
                <w:b w:val="1"/>
                <w:bCs w:val="1"/>
                <w:color w:val="FFFFFF"/>
              </w:rPr>
              <w:t>Plan</w:t>
            </w:r>
          </w:p>
        </w:tc>
        <w:tc>
          <w:tcPr>
            <w:tcW w:w="2240" w:type="dxa"/>
            <w:vAlign w:val="bottom"/>
            <w:tcBorders>
              <w:top w:val="single" w:sz="8" w:color="auto"/>
              <w:right w:val="single" w:sz="8" w:color="auto"/>
            </w:tcBorders>
            <w:vMerge w:val="restart"/>
            <w:shd w:val="clear" w:color="auto" w:fill="29650B"/>
          </w:tcPr>
          <w:p>
            <w:pPr>
              <w:jc w:val="right"/>
              <w:ind w:right="232"/>
              <w:spacing w:after="0"/>
              <w:rPr>
                <w:sz w:val="20"/>
                <w:szCs w:val="20"/>
                <w:color w:val="auto"/>
              </w:rPr>
            </w:pPr>
            <w:r>
              <w:rPr>
                <w:rFonts w:ascii="Arial" w:cs="Arial" w:eastAsia="Arial" w:hAnsi="Arial"/>
                <w:sz w:val="22"/>
                <w:szCs w:val="22"/>
                <w:b w:val="1"/>
                <w:bCs w:val="1"/>
                <w:color w:val="FFFFFF"/>
              </w:rPr>
              <w:t>Number of Years</w:t>
            </w:r>
          </w:p>
        </w:tc>
        <w:tc>
          <w:tcPr>
            <w:tcW w:w="3240" w:type="dxa"/>
            <w:vAlign w:val="bottom"/>
            <w:tcBorders>
              <w:top w:val="single" w:sz="8" w:color="auto"/>
              <w:right w:val="single" w:sz="8" w:color="auto"/>
            </w:tcBorders>
            <w:shd w:val="clear" w:color="auto" w:fill="29650B"/>
          </w:tcPr>
          <w:p>
            <w:pPr>
              <w:jc w:val="center"/>
              <w:spacing w:after="0" w:line="229" w:lineRule="exact"/>
              <w:rPr>
                <w:sz w:val="20"/>
                <w:szCs w:val="20"/>
                <w:color w:val="auto"/>
              </w:rPr>
            </w:pPr>
            <w:r>
              <w:rPr>
                <w:rFonts w:ascii="Arial" w:cs="Arial" w:eastAsia="Arial" w:hAnsi="Arial"/>
                <w:sz w:val="22"/>
                <w:szCs w:val="22"/>
                <w:b w:val="1"/>
                <w:bCs w:val="1"/>
                <w:color w:val="FFFFFF"/>
                <w:w w:val="87"/>
              </w:rPr>
              <w:t>Present Value of Accumulated</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restart"/>
            <w:shd w:val="clear" w:color="auto" w:fill="29650B"/>
          </w:tcPr>
          <w:p>
            <w:pPr>
              <w:ind w:left="1140"/>
              <w:spacing w:after="0" w:line="243" w:lineRule="exact"/>
              <w:rPr>
                <w:sz w:val="20"/>
                <w:szCs w:val="20"/>
                <w:color w:val="auto"/>
              </w:rPr>
            </w:pPr>
            <w:r>
              <w:rPr>
                <w:rFonts w:ascii="Arial" w:cs="Arial" w:eastAsia="Arial" w:hAnsi="Arial"/>
                <w:sz w:val="22"/>
                <w:szCs w:val="22"/>
                <w:b w:val="1"/>
                <w:bCs w:val="1"/>
                <w:color w:val="FFFFFF"/>
              </w:rPr>
              <w:t>Name</w:t>
            </w:r>
          </w:p>
        </w:tc>
        <w:tc>
          <w:tcPr>
            <w:tcW w:w="2920" w:type="dxa"/>
            <w:vAlign w:val="bottom"/>
            <w:tcBorders>
              <w:right w:val="single" w:sz="8" w:color="auto"/>
            </w:tcBorders>
            <w:vMerge w:val="continue"/>
            <w:shd w:val="clear" w:color="auto" w:fill="29650B"/>
          </w:tcPr>
          <w:p>
            <w:pPr>
              <w:spacing w:after="0"/>
              <w:rPr>
                <w:sz w:val="10"/>
                <w:szCs w:val="10"/>
                <w:color w:val="auto"/>
              </w:rPr>
            </w:pPr>
          </w:p>
        </w:tc>
        <w:tc>
          <w:tcPr>
            <w:tcW w:w="2240" w:type="dxa"/>
            <w:vAlign w:val="bottom"/>
            <w:tcBorders>
              <w:right w:val="single" w:sz="8" w:color="auto"/>
            </w:tcBorders>
            <w:vMerge w:val="continue"/>
            <w:shd w:val="clear" w:color="auto" w:fill="29650B"/>
          </w:tcPr>
          <w:p>
            <w:pPr>
              <w:spacing w:after="0"/>
              <w:rPr>
                <w:sz w:val="10"/>
                <w:szCs w:val="10"/>
                <w:color w:val="auto"/>
              </w:rPr>
            </w:pPr>
          </w:p>
        </w:tc>
        <w:tc>
          <w:tcPr>
            <w:tcW w:w="3240" w:type="dxa"/>
            <w:vAlign w:val="bottom"/>
            <w:tcBorders>
              <w:right w:val="single" w:sz="8" w:color="auto"/>
            </w:tcBorders>
            <w:vMerge w:val="restart"/>
            <w:shd w:val="clear" w:color="auto" w:fill="29650B"/>
          </w:tcPr>
          <w:p>
            <w:pPr>
              <w:jc w:val="center"/>
              <w:spacing w:after="0" w:line="243" w:lineRule="exact"/>
              <w:rPr>
                <w:sz w:val="20"/>
                <w:szCs w:val="20"/>
                <w:color w:val="auto"/>
              </w:rPr>
            </w:pPr>
            <w:r>
              <w:rPr>
                <w:rFonts w:ascii="Arial" w:cs="Arial" w:eastAsia="Arial" w:hAnsi="Arial"/>
                <w:sz w:val="22"/>
                <w:szCs w:val="22"/>
                <w:b w:val="1"/>
                <w:bCs w:val="1"/>
                <w:color w:val="FFFFFF"/>
                <w:w w:val="90"/>
              </w:rPr>
              <w:t>Benefit (4)(5)</w:t>
            </w:r>
          </w:p>
        </w:tc>
        <w:tc>
          <w:tcPr>
            <w:tcW w:w="0" w:type="dxa"/>
            <w:vAlign w:val="bottom"/>
          </w:tcPr>
          <w:p>
            <w:pPr>
              <w:spacing w:after="0"/>
              <w:rPr>
                <w:sz w:val="1"/>
                <w:szCs w:val="1"/>
                <w:color w:val="auto"/>
              </w:rPr>
            </w:pPr>
          </w:p>
        </w:tc>
      </w:tr>
      <w:tr>
        <w:trPr>
          <w:trHeight w:val="121"/>
        </w:trPr>
        <w:tc>
          <w:tcPr>
            <w:tcW w:w="284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2920" w:type="dxa"/>
            <w:vAlign w:val="bottom"/>
            <w:tcBorders>
              <w:right w:val="single" w:sz="8" w:color="auto"/>
            </w:tcBorders>
            <w:vMerge w:val="restart"/>
            <w:shd w:val="clear" w:color="auto" w:fill="29650B"/>
          </w:tcPr>
          <w:p>
            <w:pPr>
              <w:ind w:left="900"/>
              <w:spacing w:after="0"/>
              <w:rPr>
                <w:sz w:val="20"/>
                <w:szCs w:val="20"/>
                <w:color w:val="auto"/>
              </w:rPr>
            </w:pPr>
            <w:r>
              <w:rPr>
                <w:rFonts w:ascii="Arial" w:cs="Arial" w:eastAsia="Arial" w:hAnsi="Arial"/>
                <w:sz w:val="22"/>
                <w:szCs w:val="22"/>
                <w:b w:val="1"/>
                <w:bCs w:val="1"/>
                <w:color w:val="FFFFFF"/>
              </w:rPr>
              <w:t>Name (1)(2)</w:t>
            </w:r>
          </w:p>
        </w:tc>
        <w:tc>
          <w:tcPr>
            <w:tcW w:w="2240" w:type="dxa"/>
            <w:vAlign w:val="bottom"/>
            <w:tcBorders>
              <w:right w:val="single" w:sz="8" w:color="auto"/>
            </w:tcBorders>
            <w:vMerge w:val="restart"/>
            <w:shd w:val="clear" w:color="auto" w:fill="29650B"/>
          </w:tcPr>
          <w:p>
            <w:pPr>
              <w:jc w:val="right"/>
              <w:ind w:right="92"/>
              <w:spacing w:after="0"/>
              <w:rPr>
                <w:sz w:val="20"/>
                <w:szCs w:val="20"/>
                <w:color w:val="auto"/>
              </w:rPr>
            </w:pPr>
            <w:r>
              <w:rPr>
                <w:rFonts w:ascii="Arial" w:cs="Arial" w:eastAsia="Arial" w:hAnsi="Arial"/>
                <w:sz w:val="22"/>
                <w:szCs w:val="22"/>
                <w:b w:val="1"/>
                <w:bCs w:val="1"/>
                <w:color w:val="FFFFFF"/>
                <w:w w:val="97"/>
              </w:rPr>
              <w:t>Credited Service (3)</w:t>
            </w:r>
          </w:p>
        </w:tc>
        <w:tc>
          <w:tcPr>
            <w:tcW w:w="324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40" w:type="dxa"/>
            <w:vAlign w:val="bottom"/>
            <w:tcBorders>
              <w:left w:val="single" w:sz="8" w:color="auto"/>
              <w:right w:val="single" w:sz="8" w:color="auto"/>
            </w:tcBorders>
            <w:shd w:val="clear" w:color="auto" w:fill="29650B"/>
          </w:tcPr>
          <w:p>
            <w:pPr>
              <w:spacing w:after="0"/>
              <w:rPr>
                <w:sz w:val="13"/>
                <w:szCs w:val="13"/>
                <w:color w:val="auto"/>
              </w:rPr>
            </w:pPr>
          </w:p>
        </w:tc>
        <w:tc>
          <w:tcPr>
            <w:tcW w:w="2920" w:type="dxa"/>
            <w:vAlign w:val="bottom"/>
            <w:tcBorders>
              <w:right w:val="single" w:sz="8" w:color="auto"/>
            </w:tcBorders>
            <w:vMerge w:val="continue"/>
            <w:shd w:val="clear" w:color="auto" w:fill="29650B"/>
          </w:tcPr>
          <w:p>
            <w:pPr>
              <w:spacing w:after="0"/>
              <w:rPr>
                <w:sz w:val="13"/>
                <w:szCs w:val="13"/>
                <w:color w:val="auto"/>
              </w:rPr>
            </w:pPr>
          </w:p>
        </w:tc>
        <w:tc>
          <w:tcPr>
            <w:tcW w:w="2240" w:type="dxa"/>
            <w:vAlign w:val="bottom"/>
            <w:tcBorders>
              <w:right w:val="single" w:sz="8" w:color="auto"/>
            </w:tcBorders>
            <w:vMerge w:val="continue"/>
            <w:shd w:val="clear" w:color="auto" w:fill="29650B"/>
          </w:tcPr>
          <w:p>
            <w:pPr>
              <w:spacing w:after="0"/>
              <w:rPr>
                <w:sz w:val="13"/>
                <w:szCs w:val="13"/>
                <w:color w:val="auto"/>
              </w:rPr>
            </w:pPr>
          </w:p>
        </w:tc>
        <w:tc>
          <w:tcPr>
            <w:tcW w:w="3240" w:type="dxa"/>
            <w:vAlign w:val="bottom"/>
            <w:tcBorders>
              <w:right w:val="single" w:sz="8" w:color="auto"/>
            </w:tcBorders>
            <w:vMerge w:val="restart"/>
            <w:shd w:val="clear" w:color="auto" w:fill="29650B"/>
          </w:tcPr>
          <w:p>
            <w:pPr>
              <w:jc w:val="center"/>
              <w:spacing w:after="0"/>
              <w:rPr>
                <w:sz w:val="20"/>
                <w:szCs w:val="20"/>
                <w:color w:val="auto"/>
              </w:rPr>
            </w:pPr>
            <w:r>
              <w:rPr>
                <w:rFonts w:ascii="Arial" w:cs="Arial" w:eastAsia="Arial" w:hAnsi="Arial"/>
                <w:sz w:val="22"/>
                <w:szCs w:val="22"/>
                <w:b w:val="1"/>
                <w:bCs w:val="1"/>
                <w:color w:val="FFFFFF"/>
                <w:w w:val="96"/>
              </w:rPr>
              <w:t>($)</w:t>
            </w:r>
          </w:p>
        </w:tc>
        <w:tc>
          <w:tcPr>
            <w:tcW w:w="0" w:type="dxa"/>
            <w:vAlign w:val="bottom"/>
          </w:tcPr>
          <w:p>
            <w:pPr>
              <w:spacing w:after="0"/>
              <w:rPr>
                <w:sz w:val="1"/>
                <w:szCs w:val="1"/>
                <w:color w:val="auto"/>
              </w:rPr>
            </w:pPr>
          </w:p>
        </w:tc>
      </w:tr>
      <w:tr>
        <w:trPr>
          <w:trHeight w:val="111"/>
        </w:trPr>
        <w:tc>
          <w:tcPr>
            <w:tcW w:w="28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920" w:type="dxa"/>
            <w:vAlign w:val="bottom"/>
            <w:tcBorders>
              <w:bottom w:val="single" w:sz="8" w:color="auto"/>
              <w:right w:val="single" w:sz="8" w:color="auto"/>
            </w:tcBorders>
            <w:shd w:val="clear" w:color="auto" w:fill="29650B"/>
          </w:tcPr>
          <w:p>
            <w:pPr>
              <w:spacing w:after="0"/>
              <w:rPr>
                <w:sz w:val="9"/>
                <w:szCs w:val="9"/>
                <w:color w:val="auto"/>
              </w:rPr>
            </w:pPr>
          </w:p>
        </w:tc>
        <w:tc>
          <w:tcPr>
            <w:tcW w:w="2240" w:type="dxa"/>
            <w:vAlign w:val="bottom"/>
            <w:tcBorders>
              <w:bottom w:val="single" w:sz="8" w:color="auto"/>
              <w:right w:val="single" w:sz="8" w:color="auto"/>
            </w:tcBorders>
            <w:shd w:val="clear" w:color="auto" w:fill="29650B"/>
          </w:tcPr>
          <w:p>
            <w:pPr>
              <w:spacing w:after="0"/>
              <w:rPr>
                <w:sz w:val="9"/>
                <w:szCs w:val="9"/>
                <w:color w:val="auto"/>
              </w:rPr>
            </w:pPr>
          </w:p>
        </w:tc>
        <w:tc>
          <w:tcPr>
            <w:tcW w:w="32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Timothy Donahue</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30</w:t>
            </w:r>
          </w:p>
        </w:tc>
        <w:tc>
          <w:tcPr>
            <w:tcW w:w="324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color w:val="auto"/>
              </w:rPr>
              <w:t>1,294,731</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30</w:t>
            </w:r>
          </w:p>
        </w:tc>
        <w:tc>
          <w:tcPr>
            <w:tcW w:w="3240" w:type="dxa"/>
            <w:vAlign w:val="bottom"/>
            <w:tcBorders>
              <w:bottom w:val="single" w:sz="8" w:color="auto"/>
              <w:right w:val="single" w:sz="8" w:color="auto"/>
            </w:tcBorders>
          </w:tcPr>
          <w:p>
            <w:pPr>
              <w:jc w:val="right"/>
              <w:ind w:right="772"/>
              <w:spacing w:after="0"/>
              <w:rPr>
                <w:sz w:val="20"/>
                <w:szCs w:val="20"/>
                <w:color w:val="auto"/>
              </w:rPr>
            </w:pPr>
            <w:r>
              <w:rPr>
                <w:rFonts w:ascii="Arial" w:cs="Arial" w:eastAsia="Arial" w:hAnsi="Arial"/>
                <w:sz w:val="22"/>
                <w:szCs w:val="22"/>
                <w:color w:val="auto"/>
              </w:rPr>
              <w:t>20,431,092</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Thomas Kelly</w:t>
            </w:r>
          </w:p>
        </w:tc>
        <w:tc>
          <w:tcPr>
            <w:tcW w:w="29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29</w:t>
            </w:r>
          </w:p>
        </w:tc>
        <w:tc>
          <w:tcPr>
            <w:tcW w:w="3240" w:type="dxa"/>
            <w:vAlign w:val="bottom"/>
            <w:tcBorders>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1,313,293</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9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29</w:t>
            </w:r>
          </w:p>
        </w:tc>
        <w:tc>
          <w:tcPr>
            <w:tcW w:w="3240" w:type="dxa"/>
            <w:vAlign w:val="bottom"/>
            <w:tcBorders>
              <w:bottom w:val="single" w:sz="8" w:color="auto"/>
              <w:right w:val="single" w:sz="8" w:color="auto"/>
            </w:tcBorders>
            <w:shd w:val="clear" w:color="auto" w:fill="D9D9D9"/>
          </w:tcPr>
          <w:p>
            <w:pPr>
              <w:jc w:val="right"/>
              <w:ind w:right="772"/>
              <w:spacing w:after="0"/>
              <w:rPr>
                <w:sz w:val="20"/>
                <w:szCs w:val="20"/>
                <w:color w:val="auto"/>
              </w:rPr>
            </w:pPr>
            <w:r>
              <w:rPr>
                <w:rFonts w:ascii="Arial" w:cs="Arial" w:eastAsia="Arial" w:hAnsi="Arial"/>
                <w:sz w:val="22"/>
                <w:szCs w:val="22"/>
                <w:color w:val="auto"/>
              </w:rPr>
              <w:t>8,861,125</w:t>
            </w: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Gerard Gifford</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38</w:t>
            </w:r>
          </w:p>
        </w:tc>
        <w:tc>
          <w:tcPr>
            <w:tcW w:w="3240" w:type="dxa"/>
            <w:vAlign w:val="bottom"/>
            <w:tcBorders>
              <w:right w:val="single" w:sz="8" w:color="auto"/>
            </w:tcBorders>
          </w:tcPr>
          <w:p>
            <w:pPr>
              <w:jc w:val="right"/>
              <w:ind w:right="752"/>
              <w:spacing w:after="0"/>
              <w:rPr>
                <w:sz w:val="20"/>
                <w:szCs w:val="20"/>
                <w:color w:val="auto"/>
              </w:rPr>
            </w:pPr>
            <w:r>
              <w:rPr>
                <w:rFonts w:ascii="Arial" w:cs="Arial" w:eastAsia="Arial" w:hAnsi="Arial"/>
                <w:sz w:val="22"/>
                <w:szCs w:val="22"/>
                <w:color w:val="auto"/>
              </w:rPr>
              <w:t>1,774,756</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SERP/Restoration Plan (6)</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38</w:t>
            </w:r>
          </w:p>
        </w:tc>
        <w:tc>
          <w:tcPr>
            <w:tcW w:w="3240" w:type="dxa"/>
            <w:vAlign w:val="bottom"/>
            <w:tcBorders>
              <w:bottom w:val="single" w:sz="8" w:color="auto"/>
              <w:right w:val="single" w:sz="8" w:color="auto"/>
            </w:tcBorders>
          </w:tcPr>
          <w:p>
            <w:pPr>
              <w:jc w:val="right"/>
              <w:ind w:right="752"/>
              <w:spacing w:after="0"/>
              <w:rPr>
                <w:sz w:val="20"/>
                <w:szCs w:val="20"/>
                <w:color w:val="auto"/>
              </w:rPr>
            </w:pPr>
            <w:r>
              <w:rPr>
                <w:rFonts w:ascii="Arial" w:cs="Arial" w:eastAsia="Arial" w:hAnsi="Arial"/>
                <w:sz w:val="22"/>
                <w:szCs w:val="22"/>
                <w:color w:val="auto"/>
              </w:rPr>
              <w:t>13,641,089</w:t>
            </w:r>
          </w:p>
        </w:tc>
        <w:tc>
          <w:tcPr>
            <w:tcW w:w="0" w:type="dxa"/>
            <w:vAlign w:val="bottom"/>
          </w:tcPr>
          <w:p>
            <w:pPr>
              <w:spacing w:after="0"/>
              <w:rPr>
                <w:sz w:val="1"/>
                <w:szCs w:val="1"/>
                <w:color w:val="auto"/>
              </w:rPr>
            </w:pPr>
          </w:p>
        </w:tc>
      </w:tr>
      <w:tr>
        <w:trPr>
          <w:trHeight w:val="463"/>
        </w:trPr>
        <w:tc>
          <w:tcPr>
            <w:tcW w:w="284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22"/>
                <w:szCs w:val="22"/>
                <w:color w:val="auto"/>
              </w:rPr>
              <w:t>Didier Sourisseau</w:t>
            </w:r>
          </w:p>
        </w:tc>
        <w:tc>
          <w:tcPr>
            <w:tcW w:w="292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right w:val="single" w:sz="8" w:color="auto"/>
            </w:tcBorders>
            <w:shd w:val="clear" w:color="auto" w:fill="D9D9D9"/>
          </w:tcPr>
          <w:p>
            <w:pPr>
              <w:jc w:val="right"/>
              <w:ind w:right="792"/>
              <w:spacing w:after="0"/>
              <w:rPr>
                <w:sz w:val="20"/>
                <w:szCs w:val="20"/>
                <w:color w:val="auto"/>
              </w:rPr>
            </w:pPr>
            <w:r>
              <w:rPr>
                <w:rFonts w:ascii="Arial" w:cs="Arial" w:eastAsia="Arial" w:hAnsi="Arial"/>
                <w:sz w:val="22"/>
                <w:szCs w:val="22"/>
                <w:color w:val="auto"/>
              </w:rPr>
              <w:t>30</w:t>
            </w:r>
          </w:p>
        </w:tc>
        <w:tc>
          <w:tcPr>
            <w:tcW w:w="3240" w:type="dxa"/>
            <w:vAlign w:val="bottom"/>
            <w:tcBorders>
              <w:right w:val="single" w:sz="8" w:color="auto"/>
            </w:tcBorders>
            <w:shd w:val="clear" w:color="auto" w:fill="D9D9D9"/>
          </w:tcPr>
          <w:p>
            <w:pPr>
              <w:jc w:val="right"/>
              <w:ind w:right="752"/>
              <w:spacing w:after="0"/>
              <w:rPr>
                <w:sz w:val="20"/>
                <w:szCs w:val="20"/>
                <w:color w:val="auto"/>
              </w:rPr>
            </w:pPr>
            <w:r>
              <w:rPr>
                <w:rFonts w:ascii="Arial" w:cs="Arial" w:eastAsia="Arial" w:hAnsi="Arial"/>
                <w:sz w:val="22"/>
                <w:szCs w:val="22"/>
                <w:color w:val="auto"/>
              </w:rPr>
              <w:t>5,675,190</w:t>
            </w:r>
          </w:p>
        </w:tc>
        <w:tc>
          <w:tcPr>
            <w:tcW w:w="0" w:type="dxa"/>
            <w:vAlign w:val="bottom"/>
          </w:tcPr>
          <w:p>
            <w:pPr>
              <w:spacing w:after="0"/>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2920" w:type="dxa"/>
            <w:vAlign w:val="bottom"/>
            <w:tcBorders>
              <w:bottom w:val="single" w:sz="8" w:color="auto"/>
              <w:right w:val="single" w:sz="8" w:color="auto"/>
            </w:tcBorders>
            <w:shd w:val="clear" w:color="auto" w:fill="D9D9D9"/>
          </w:tcPr>
          <w:p>
            <w:pPr>
              <w:spacing w:after="0"/>
              <w:rPr>
                <w:sz w:val="17"/>
                <w:szCs w:val="17"/>
                <w:color w:val="auto"/>
              </w:rPr>
            </w:pPr>
          </w:p>
        </w:tc>
        <w:tc>
          <w:tcPr>
            <w:tcW w:w="2240" w:type="dxa"/>
            <w:vAlign w:val="bottom"/>
            <w:tcBorders>
              <w:bottom w:val="single" w:sz="8" w:color="auto"/>
              <w:right w:val="single" w:sz="8" w:color="auto"/>
            </w:tcBorders>
            <w:shd w:val="clear" w:color="auto" w:fill="D9D9D9"/>
          </w:tcPr>
          <w:p>
            <w:pPr>
              <w:spacing w:after="0"/>
              <w:rPr>
                <w:sz w:val="17"/>
                <w:szCs w:val="17"/>
                <w:color w:val="auto"/>
              </w:rPr>
            </w:pPr>
          </w:p>
        </w:tc>
        <w:tc>
          <w:tcPr>
            <w:tcW w:w="324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58"/>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Djalma Novaes</w:t>
            </w:r>
          </w:p>
        </w:tc>
        <w:tc>
          <w:tcPr>
            <w:tcW w:w="2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Pension Plan</w:t>
            </w:r>
          </w:p>
        </w:tc>
        <w:tc>
          <w:tcPr>
            <w:tcW w:w="224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10</w:t>
            </w:r>
          </w:p>
        </w:tc>
        <w:tc>
          <w:tcPr>
            <w:tcW w:w="3240" w:type="dxa"/>
            <w:vAlign w:val="bottom"/>
            <w:tcBorders>
              <w:right w:val="single" w:sz="8" w:color="auto"/>
            </w:tcBorders>
          </w:tcPr>
          <w:p>
            <w:pPr>
              <w:jc w:val="right"/>
              <w:ind w:right="772"/>
              <w:spacing w:after="0"/>
              <w:rPr>
                <w:sz w:val="20"/>
                <w:szCs w:val="20"/>
                <w:color w:val="auto"/>
              </w:rPr>
            </w:pPr>
            <w:r>
              <w:rPr>
                <w:rFonts w:ascii="Arial" w:cs="Arial" w:eastAsia="Arial" w:hAnsi="Arial"/>
                <w:sz w:val="22"/>
                <w:szCs w:val="22"/>
                <w:color w:val="auto"/>
              </w:rPr>
              <w:t>460,619</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SERP</w:t>
            </w:r>
          </w:p>
        </w:tc>
        <w:tc>
          <w:tcPr>
            <w:tcW w:w="224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21</w:t>
            </w:r>
          </w:p>
        </w:tc>
        <w:tc>
          <w:tcPr>
            <w:tcW w:w="3240" w:type="dxa"/>
            <w:vAlign w:val="bottom"/>
            <w:tcBorders>
              <w:bottom w:val="single" w:sz="8" w:color="auto"/>
              <w:right w:val="single" w:sz="8" w:color="auto"/>
            </w:tcBorders>
          </w:tcPr>
          <w:p>
            <w:pPr>
              <w:jc w:val="right"/>
              <w:ind w:right="752"/>
              <w:spacing w:after="0"/>
              <w:rPr>
                <w:sz w:val="20"/>
                <w:szCs w:val="20"/>
                <w:color w:val="auto"/>
              </w:rPr>
            </w:pPr>
            <w:r>
              <w:rPr>
                <w:rFonts w:ascii="Arial" w:cs="Arial" w:eastAsia="Arial" w:hAnsi="Arial"/>
                <w:sz w:val="22"/>
                <w:szCs w:val="22"/>
                <w:color w:val="auto"/>
              </w:rPr>
              <w:t>5,929,348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Pension Plan in which all NEOs except Mr. Sourisseau participate is designed and administered to qualify under Section 401(a) of the Code. For further information, see “Compensation Discussion and Analysis – Retirement Benefits.”</w:t>
      </w:r>
    </w:p>
    <w:p>
      <w:pPr>
        <w:spacing w:after="0" w:line="62"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benefit for the NEOs under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Messrs. Gifford and Sourisseau, the SERP is also reduced by their benefits under the Company’s Restoration Plan and Swiss Pension Plan, respectively. For further information, see “Compensation Discussion and Analysis – Retirement Benefits.”</w:t>
      </w:r>
    </w:p>
    <w:p>
      <w:pPr>
        <w:spacing w:after="0" w:line="8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Years of service are rounded to the nearest full year.</w:t>
      </w:r>
    </w:p>
    <w:p>
      <w:pPr>
        <w:spacing w:after="0" w:line="117"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calculation of the lump-sum present value is based on assumptions that were in accordance with the guidelines of FASB ASC Topic 715 and that are discussed in Note Q, “Pension and Other Postretirement Benefits” to the financial statements in the Company’s Annual Report on Form 10-K for the fiscal year ended December 31, 2020. </w:t>
      </w:r>
      <w:r>
        <w:rPr>
          <w:rFonts w:ascii="Arial" w:cs="Arial" w:eastAsia="Arial" w:hAnsi="Arial"/>
          <w:sz w:val="17"/>
          <w:szCs w:val="17"/>
          <w:b w:val="1"/>
          <w:bCs w:val="1"/>
          <w:color w:val="auto"/>
        </w:rPr>
        <w:t>Interest rates continue to be at historic lows which inflate the present value of such benefits. For</w:t>
      </w:r>
      <w:r>
        <w:rPr>
          <w:rFonts w:ascii="Arial" w:cs="Arial" w:eastAsia="Arial" w:hAnsi="Arial"/>
          <w:sz w:val="17"/>
          <w:szCs w:val="17"/>
          <w:color w:val="auto"/>
        </w:rPr>
        <w:t xml:space="preserve"> </w:t>
      </w:r>
      <w:r>
        <w:rPr>
          <w:rFonts w:ascii="Arial" w:cs="Arial" w:eastAsia="Arial" w:hAnsi="Arial"/>
          <w:sz w:val="17"/>
          <w:szCs w:val="17"/>
          <w:b w:val="1"/>
          <w:bCs w:val="1"/>
          <w:color w:val="auto"/>
        </w:rPr>
        <w:t>example, if, on December 31, 2020, interest rates had been 100 basis points (i.e., 1%) above their actual levels, then the actuarial lump-sum present value of defined benefit retirement plans with respect to Messrs. Donahue, Kelly, Gifford, Sourisseau and Novaes would have been lower by $3,162,596, $1,241,260, $1,341,697, $1,082,957 and $832,294, respectively. Consequently, the return to a more normal interest rate environment could cause a significant reduction in the lump-sum value of such benefits.</w:t>
      </w:r>
    </w:p>
    <w:p>
      <w:pPr>
        <w:spacing w:after="0" w:line="69" w:lineRule="exact"/>
        <w:rPr>
          <w:rFonts w:ascii="Arial" w:cs="Arial" w:eastAsia="Arial" w:hAnsi="Arial"/>
          <w:sz w:val="17"/>
          <w:szCs w:val="17"/>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benefits are vested with respect to the NEOs with exception of the SERP benefits for Mr. Sourisseau.</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annual supplemental retirement benefit for Mr. Gifford under the Restoration Plan is equal to the difference between (i) the annual benefit he would have accrued under the U.S. Pension Plan if his target bonus amount were included in compensation for purposes of calculating his benefit under such Plan and if certain statutory limitations on benefit accrual did not apply and (ii) the annual benefit he actually accrued under the U.S. Pension Plan.</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463"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Employment Agreements and Potential Payments upon Termination</w:t>
      </w:r>
    </w:p>
    <w:p>
      <w:pPr>
        <w:spacing w:after="0" w:line="34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that is limited to a one-year post-employment period prior to a change in control and two years following a change in control.</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Under the agreement for each of the NEOs, if the executive’s employment is terminated because of a voluntary termination or retirement, the Company will pay the executive his base salary through the date of termination or retirement, a pro-rated bonus payment and any vested retirement, incentive or other benefits. The pro-rated bonus payment is based on the actual bonus for all NEOs except for Mr. Gifford, whose pro-rated payment is based on his target bonus in the event of his voluntary termination or retirement, and Mr. Sourisseau, whose pro-rated payment is based on his target bonus in the event of his voluntary termination and his actual bonus in the event of his retirement. In the event of death, the compensation is identical to the above except that the pro-rated bonus payment is based on the actual bonus for Messrs. Donahue and Sourisseau, but on the target bonus for Messrs. Kelly,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Kelly, Gifford and Novaes and the actual bonus for Mr. Sourisseau.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5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Under the agreement for Mr. Donahue, if the employment of the executive is terminated by the Company without Cause or by the executive for “Good Reason” other than within the 12-month period following a “Change in Control,” in addition to the executive’s base salary through the date of termination, the Company will pay to the executive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463" w:right="339" w:bottom="1440" w:gutter="0" w:footer="0" w:header="0"/>
        </w:sectPr>
      </w:pPr>
    </w:p>
    <w:bookmarkStart w:id="61" w:name="page62"/>
    <w:bookmarkEnd w:id="61"/>
    <w:p>
      <w:pPr>
        <w:jc w:val="both"/>
        <w:ind w:firstLine="648"/>
        <w:spacing w:after="0" w:line="268" w:lineRule="auto"/>
        <w:rPr>
          <w:sz w:val="20"/>
          <w:szCs w:val="20"/>
          <w:color w:val="auto"/>
        </w:rPr>
      </w:pPr>
      <w:r>
        <w:rPr>
          <w:rFonts w:ascii="Arial" w:cs="Arial" w:eastAsia="Arial" w:hAnsi="Arial"/>
          <w:sz w:val="19"/>
          <w:szCs w:val="19"/>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955" w:right="339" w:bottom="1440" w:gutter="0" w:footer="0" w:header="0"/>
        </w:sectPr>
      </w:pPr>
    </w:p>
    <w:bookmarkStart w:id="62" w:name="page63"/>
    <w:bookmarkEnd w:id="62"/>
    <w:p>
      <w:pPr>
        <w:ind w:firstLine="648"/>
        <w:spacing w:after="0" w:line="250" w:lineRule="auto"/>
        <w:rPr>
          <w:sz w:val="20"/>
          <w:szCs w:val="20"/>
          <w:color w:val="auto"/>
        </w:rPr>
      </w:pPr>
      <w:r>
        <w:rPr>
          <w:rFonts w:ascii="Arial" w:cs="Arial" w:eastAsia="Arial" w:hAnsi="Arial"/>
          <w:sz w:val="22"/>
          <w:szCs w:val="22"/>
          <w:color w:val="auto"/>
        </w:rPr>
        <w:t>The following table provides estimates of the potential severance and other post-termination benefits each NEO would receive assuming his employment was terminated as of December 31, 2020.</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02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Resignation for</w:t>
            </w: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2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Termination without</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7"/>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8"/>
              </w:rPr>
              <w:t>Cause or</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Resignation for Good</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1"/>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89"/>
              </w:rPr>
              <w:t>Reason after a Change</w:t>
            </w:r>
          </w:p>
        </w:tc>
      </w:tr>
      <w:tr>
        <w:trPr>
          <w:trHeight w:val="216"/>
        </w:trPr>
        <w:tc>
          <w:tcPr>
            <w:tcW w:w="1720" w:type="dxa"/>
            <w:vAlign w:val="bottom"/>
            <w:tcBorders>
              <w:left w:val="single" w:sz="8" w:color="auto"/>
              <w:right w:val="single" w:sz="8" w:color="auto"/>
            </w:tcBorders>
            <w:shd w:val="clear" w:color="auto" w:fill="29650B"/>
          </w:tcPr>
          <w:p>
            <w:pPr>
              <w:ind w:left="640"/>
              <w:spacing w:after="0"/>
              <w:rPr>
                <w:sz w:val="20"/>
                <w:szCs w:val="20"/>
                <w:color w:val="auto"/>
              </w:rPr>
            </w:pPr>
            <w:r>
              <w:rPr>
                <w:rFonts w:ascii="Arial" w:cs="Arial" w:eastAsia="Arial" w:hAnsi="Arial"/>
                <w:sz w:val="18"/>
                <w:szCs w:val="18"/>
                <w:b w:val="1"/>
                <w:bCs w:val="1"/>
                <w:color w:val="FFFFFF"/>
              </w:rPr>
              <w:t>Name</w:t>
            </w:r>
          </w:p>
        </w:tc>
        <w:tc>
          <w:tcPr>
            <w:tcW w:w="2020" w:type="dxa"/>
            <w:vAlign w:val="bottom"/>
            <w:tcBorders>
              <w:right w:val="single" w:sz="8" w:color="auto"/>
            </w:tcBorders>
            <w:shd w:val="clear" w:color="auto" w:fill="29650B"/>
          </w:tcPr>
          <w:p>
            <w:pPr>
              <w:ind w:left="720"/>
              <w:spacing w:after="0"/>
              <w:rPr>
                <w:sz w:val="20"/>
                <w:szCs w:val="20"/>
                <w:color w:val="auto"/>
              </w:rPr>
            </w:pPr>
            <w:r>
              <w:rPr>
                <w:rFonts w:ascii="Arial" w:cs="Arial" w:eastAsia="Arial" w:hAnsi="Arial"/>
                <w:sz w:val="18"/>
                <w:szCs w:val="18"/>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3"/>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2"/>
              </w:rPr>
              <w:t>in Control (2)</w:t>
            </w:r>
          </w:p>
        </w:tc>
      </w:tr>
      <w:tr>
        <w:trPr>
          <w:trHeight w:val="234"/>
        </w:trPr>
        <w:tc>
          <w:tcPr>
            <w:tcW w:w="17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20" w:type="dxa"/>
            <w:vAlign w:val="bottom"/>
            <w:tcBorders>
              <w:bottom w:val="single" w:sz="8" w:color="auto"/>
              <w:right w:val="single" w:sz="8" w:color="auto"/>
            </w:tcBorders>
            <w:shd w:val="clear" w:color="auto" w:fill="29650B"/>
          </w:tcPr>
          <w:p>
            <w:pPr>
              <w:spacing w:after="0"/>
              <w:rPr>
                <w:sz w:val="20"/>
                <w:szCs w:val="20"/>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9"/>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Arial" w:cs="Arial" w:eastAsia="Arial" w:hAnsi="Arial"/>
                <w:sz w:val="18"/>
                <w:szCs w:val="18"/>
                <w:b w:val="1"/>
                <w:bCs w:val="1"/>
                <w:color w:val="FFFFFF"/>
                <w:w w:val="90"/>
              </w:rPr>
              <w:t>($)</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Timothy Donahue</w:t>
            </w:r>
          </w:p>
        </w:tc>
        <w:tc>
          <w:tcPr>
            <w:tcW w:w="20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3,600,000</w:t>
            </w: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3,600,000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3,600,000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2,880,000</w:t>
            </w:r>
          </w:p>
        </w:tc>
        <w:tc>
          <w:tcPr>
            <w:tcW w:w="15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7,200,000</w:t>
            </w: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7,200,000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5,743,110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7,184,641</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28,110,709</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10,064,641</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10,800,000</w:t>
            </w: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10,800,000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37,453,819</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Thomas Kelly</w:t>
            </w:r>
          </w:p>
        </w:tc>
        <w:tc>
          <w:tcPr>
            <w:tcW w:w="202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710,000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2,130,000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1,136,000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1,136,000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2,286,472</w:t>
            </w:r>
          </w:p>
        </w:tc>
      </w:tr>
      <w:tr>
        <w:trPr>
          <w:trHeight w:val="202"/>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spacing w:after="0" w:line="201" w:lineRule="exact"/>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0"/>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1,472,470</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5,761,098</w:t>
            </w:r>
          </w:p>
        </w:tc>
      </w:tr>
      <w:tr>
        <w:trPr>
          <w:trHeight w:val="209"/>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2,608,470</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1,846,000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10,177,570</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Gerard Gifford</w:t>
            </w:r>
          </w:p>
        </w:tc>
        <w:tc>
          <w:tcPr>
            <w:tcW w:w="20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745,000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2,235,000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707,750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707,750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2,818,322</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2,122,737</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8,319,004</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2,830,487</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1,452,750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13,372,326</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Didier Sourisseau</w:t>
            </w:r>
          </w:p>
        </w:tc>
        <w:tc>
          <w:tcPr>
            <w:tcW w:w="202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639,640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1,918,921</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1,023,424</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1,023,424</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1,451,905</w:t>
            </w:r>
          </w:p>
        </w:tc>
      </w:tr>
      <w:tr>
        <w:trPr>
          <w:trHeight w:val="202"/>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spacing w:after="0" w:line="201" w:lineRule="exact"/>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0"/>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987,269</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3,686,700</w:t>
            </w:r>
          </w:p>
        </w:tc>
      </w:tr>
      <w:tr>
        <w:trPr>
          <w:trHeight w:val="210"/>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Arial" w:cs="Arial" w:eastAsia="Arial" w:hAnsi="Arial"/>
                <w:sz w:val="18"/>
                <w:szCs w:val="18"/>
                <w:color w:val="auto"/>
              </w:rPr>
              <w:t>2,010,693</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Arial" w:cs="Arial" w:eastAsia="Arial" w:hAnsi="Arial"/>
                <w:sz w:val="18"/>
                <w:szCs w:val="18"/>
                <w:color w:val="auto"/>
              </w:rPr>
              <w:t>1,663,064</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Arial" w:cs="Arial" w:eastAsia="Arial" w:hAnsi="Arial"/>
                <w:sz w:val="18"/>
                <w:szCs w:val="18"/>
                <w:color w:val="auto"/>
              </w:rPr>
              <w:t>7,057,526</w:t>
            </w:r>
          </w:p>
        </w:tc>
      </w:tr>
      <w:tr>
        <w:trPr>
          <w:trHeight w:val="195"/>
        </w:trPr>
        <w:tc>
          <w:tcPr>
            <w:tcW w:w="1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Djalma Novaes</w:t>
            </w:r>
          </w:p>
        </w:tc>
        <w:tc>
          <w:tcPr>
            <w:tcW w:w="20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600,000</w:t>
            </w:r>
          </w:p>
        </w:tc>
        <w:tc>
          <w:tcPr>
            <w:tcW w:w="2460" w:type="dxa"/>
            <w:vAlign w:val="bottom"/>
            <w:tcBorders>
              <w:right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1,800,000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960,000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960,000</w:t>
            </w:r>
          </w:p>
        </w:tc>
        <w:tc>
          <w:tcPr>
            <w:tcW w:w="2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1,835,376</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0"/>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1,208,142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4,733,348</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2,168,142</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1,560,000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8,368,724</w:t>
            </w:r>
          </w:p>
        </w:tc>
      </w:tr>
    </w:tbl>
    <w:p>
      <w:pPr>
        <w:spacing w:after="0" w:line="202"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bonus amounts in this column assume a retirement scenario. In death or disability scenarios, the amounts for some of the NEOs would be lower because, in these cases, bonus calculations are based on target, and not actual, bonus amounts.</w:t>
      </w:r>
    </w:p>
    <w:p>
      <w:pPr>
        <w:spacing w:after="0" w:line="62"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addition, as indicated in the Pension Benefits table, each of our NEOs is a participant in the Company’s SERP. Currently, the SERP benefits of Messrs. Donahue, Gifford, Kelly and Novaes are vested, and the SERP benefits of Mr. Sourisseau are unvested. However, under the terms of the SERP, in the event of a change in control, each NEO shall become 100% vested in his SERP benefit. In addition, as soon as administratively practicable but in no event more than 10 business days after a change in control, all benefits under the SERP will be paid to each NEO in a cash lump sum.</w:t>
      </w:r>
    </w:p>
    <w:p>
      <w:pPr>
        <w:spacing w:after="0" w:line="49" w:lineRule="exact"/>
        <w:rPr>
          <w:rFonts w:ascii="Arial" w:cs="Arial" w:eastAsia="Arial" w:hAnsi="Arial"/>
          <w:sz w:val="16"/>
          <w:szCs w:val="16"/>
          <w:color w:val="auto"/>
        </w:rPr>
      </w:pPr>
    </w:p>
    <w:p>
      <w:pPr>
        <w:jc w:val="both"/>
        <w:ind w:left="340" w:hanging="332"/>
        <w:spacing w:after="0" w:line="29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retirement with Committee approval, disability or death, the vesting of time-based restricted stock awards (or issuance of deferred stock, in Mr. Sourisseau’s case)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V, “Stock-Based Compensation” to the Company’s financial statements in its Annual Report on Form 10-K for the fiscal year ended December 31, 2020.</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46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Pay Ratio Disclosure</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Federal law requires that the Company disclose the ratio of its CEO’s total compensation to the total compensation of its median employee (excluding the CEO). To determine this ratio we utilized our global workforce consisting of all U.S., non-U.S., full-time, part-time and temporary employees of the Company and its consolidated subsidiaries. As the result of strong global growth together with the Signode (Transit Packaging) acquisition in 2018, approximately 80% of the Company’s employees now are located outside of the U.S. No assumptions, cost-of-living adjustments or other estimates with respect to compensation were made, except that the compensation was annualized for all full-time employees who began employment during 2020. The Company identified its median employee by using total compensation from the Company’s payroll records as of December 31, 2019.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The median employee’s total compensation was $31,565, and the total compensation of the CEO was $17,521,039. Accordingly, the ratio of the annual total compensation of the CEO to the median of the annual total compensation of all employees of the Company, except the CEO, is 555:1.</w:t>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463" w:right="339" w:bottom="1440" w:gutter="0" w:footer="0" w:header="0"/>
        </w:sectPr>
      </w:pPr>
    </w:p>
    <w:bookmarkStart w:id="64" w:name="page65"/>
    <w:bookmarkEnd w:id="64"/>
    <w:p>
      <w:pPr>
        <w:spacing w:after="0"/>
        <w:rPr>
          <w:sz w:val="20"/>
          <w:szCs w:val="20"/>
          <w:color w:val="auto"/>
        </w:rPr>
      </w:pPr>
      <w:r>
        <w:rPr>
          <w:rFonts w:ascii="Arial" w:cs="Arial" w:eastAsia="Arial" w:hAnsi="Arial"/>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2021. PricewaterhouseCoopers perform annual audits of the Company’s financial statements and assist the Company in the preparation of various tax returns around the world. A representative or representatives of PricewaterhouseCoopers are expected to be present at the Annual Meeting and will have the opportunity to make a statement if they desire to do so. Such representatives are also expected to be available to respond to questions raised using the “Ask a Question” field at the virtual Annual Meeting or submitted in writing to the Office of the Corporate Secretary of the Company before the Annual Meeting.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Audit Committee reviewed the fees of PricewaterhouseCoopers for the fiscal years ended December 31, 2020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The Company paid fees in the following categories:</w:t>
      </w:r>
    </w:p>
    <w:p>
      <w:pPr>
        <w:spacing w:after="0" w:line="53" w:lineRule="exact"/>
        <w:rPr>
          <w:sz w:val="20"/>
          <w:szCs w:val="20"/>
          <w:color w:val="auto"/>
        </w:rPr>
      </w:pPr>
    </w:p>
    <w:p>
      <w:pPr>
        <w:jc w:val="both"/>
        <w:ind w:firstLine="656"/>
        <w:spacing w:after="0" w:line="238" w:lineRule="auto"/>
        <w:tabs>
          <w:tab w:leader="none" w:pos="954"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Audit Fees </w:t>
      </w:r>
      <w:r>
        <w:rPr>
          <w:rFonts w:ascii="Arial" w:cs="Arial" w:eastAsia="Arial" w:hAnsi="Arial"/>
          <w:sz w:val="22"/>
          <w:szCs w:val="22"/>
          <w:color w:val="auto"/>
        </w:rPr>
        <w:t>were for professional services rendered for the audits of effectiveness of the internal control over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reporting and 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36" w:lineRule="exact"/>
        <w:rPr>
          <w:rFonts w:ascii="Arial" w:cs="Arial" w:eastAsia="Arial" w:hAnsi="Arial"/>
          <w:sz w:val="22"/>
          <w:szCs w:val="22"/>
          <w:color w:val="auto"/>
        </w:rPr>
      </w:pPr>
    </w:p>
    <w:p>
      <w:pPr>
        <w:jc w:val="both"/>
        <w:ind w:firstLine="656"/>
        <w:spacing w:after="0" w:line="238" w:lineRule="auto"/>
        <w:tabs>
          <w:tab w:leader="none" w:pos="967"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Audit-Related Fees </w:t>
      </w:r>
      <w:r>
        <w:rPr>
          <w:rFonts w:ascii="Arial" w:cs="Arial" w:eastAsia="Arial" w:hAnsi="Arial"/>
          <w:sz w:val="22"/>
          <w:szCs w:val="22"/>
          <w:color w:val="auto"/>
        </w:rPr>
        <w:t>were for fees for due diligence in connection with mergers and acquisitions and other assurance-related services performed in connection with statutory requirements in various countries. In 2020, Audit-Related Fees consisted largely of accounting services performed in connection with the Company’s ongoing strategic review, specifically carve-out audits of certain of the Company’s business units.</w:t>
      </w:r>
    </w:p>
    <w:p>
      <w:pPr>
        <w:spacing w:after="0" w:line="36" w:lineRule="exact"/>
        <w:rPr>
          <w:rFonts w:ascii="Arial" w:cs="Arial" w:eastAsia="Arial" w:hAnsi="Arial"/>
          <w:sz w:val="22"/>
          <w:szCs w:val="22"/>
          <w:color w:val="auto"/>
        </w:rPr>
      </w:pPr>
    </w:p>
    <w:p>
      <w:pPr>
        <w:ind w:right="20" w:firstLine="656"/>
        <w:spacing w:after="0" w:line="250" w:lineRule="auto"/>
        <w:tabs>
          <w:tab w:leader="none" w:pos="981"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Tax Compliance Fees </w:t>
      </w:r>
      <w:r>
        <w:rPr>
          <w:rFonts w:ascii="Arial" w:cs="Arial" w:eastAsia="Arial" w:hAnsi="Arial"/>
          <w:sz w:val="22"/>
          <w:szCs w:val="22"/>
          <w:color w:val="auto"/>
        </w:rPr>
        <w:t>were for services rendered for tax compliance, including the preparation of tax returns and</w:t>
      </w:r>
      <w:r>
        <w:rPr>
          <w:rFonts w:ascii="Arial" w:cs="Arial" w:eastAsia="Arial" w:hAnsi="Arial"/>
          <w:sz w:val="22"/>
          <w:szCs w:val="22"/>
          <w:i w:val="1"/>
          <w:iCs w:val="1"/>
          <w:color w:val="auto"/>
        </w:rPr>
        <w:t xml:space="preserve"> </w:t>
      </w:r>
      <w:r>
        <w:rPr>
          <w:rFonts w:ascii="Arial" w:cs="Arial" w:eastAsia="Arial" w:hAnsi="Arial"/>
          <w:sz w:val="22"/>
          <w:szCs w:val="22"/>
          <w:color w:val="auto"/>
        </w:rPr>
        <w:t>claims for refunds.</w:t>
      </w:r>
    </w:p>
    <w:p>
      <w:pPr>
        <w:spacing w:after="0" w:line="39" w:lineRule="exact"/>
        <w:rPr>
          <w:rFonts w:ascii="Arial" w:cs="Arial" w:eastAsia="Arial" w:hAnsi="Arial"/>
          <w:sz w:val="22"/>
          <w:szCs w:val="22"/>
          <w:color w:val="auto"/>
        </w:rPr>
      </w:pPr>
    </w:p>
    <w:p>
      <w:pPr>
        <w:ind w:left="960" w:hanging="304"/>
        <w:spacing w:after="0"/>
        <w:tabs>
          <w:tab w:leader="none" w:pos="96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Tax Advisory Services Fees </w:t>
      </w:r>
      <w:r>
        <w:rPr>
          <w:rFonts w:ascii="Arial" w:cs="Arial" w:eastAsia="Arial" w:hAnsi="Arial"/>
          <w:sz w:val="22"/>
          <w:szCs w:val="22"/>
          <w:color w:val="auto"/>
        </w:rPr>
        <w:t>were for tax planning and advice.</w:t>
      </w:r>
    </w:p>
    <w:p>
      <w:pPr>
        <w:spacing w:after="0" w:line="57" w:lineRule="exact"/>
        <w:rPr>
          <w:rFonts w:ascii="Arial" w:cs="Arial" w:eastAsia="Arial" w:hAnsi="Arial"/>
          <w:sz w:val="22"/>
          <w:szCs w:val="22"/>
          <w:color w:val="auto"/>
        </w:rPr>
      </w:pPr>
    </w:p>
    <w:p>
      <w:pPr>
        <w:ind w:left="960" w:hanging="304"/>
        <w:spacing w:after="0"/>
        <w:tabs>
          <w:tab w:leader="none" w:pos="96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All Other Fees </w:t>
      </w:r>
      <w:r>
        <w:rPr>
          <w:rFonts w:ascii="Arial" w:cs="Arial" w:eastAsia="Arial" w:hAnsi="Arial"/>
          <w:sz w:val="22"/>
          <w:szCs w:val="22"/>
          <w:color w:val="auto"/>
        </w:rPr>
        <w:t>were for services rendered for assistance provided primarily to non-U.S.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The amount of fees for each category in 2020 and 2019 are set forth below.</w:t>
      </w:r>
    </w:p>
    <w:p>
      <w:pPr>
        <w:spacing w:after="0" w:line="72" w:lineRule="exact"/>
        <w:rPr>
          <w:sz w:val="20"/>
          <w:szCs w:val="20"/>
          <w:color w:val="auto"/>
        </w:rPr>
      </w:pPr>
    </w:p>
    <w:tbl>
      <w:tblPr>
        <w:tblLayout w:type="fixed"/>
        <w:tblInd w:w="2270" w:type="dxa"/>
        <w:tblCellMar>
          <w:top w:w="0" w:type="dxa"/>
          <w:left w:w="0" w:type="dxa"/>
          <w:bottom w:w="0" w:type="dxa"/>
          <w:right w:w="0" w:type="dxa"/>
        </w:tblCellMar>
      </w:tblPr>
      <w:tr>
        <w:trPr>
          <w:trHeight w:val="355"/>
        </w:trPr>
        <w:tc>
          <w:tcPr>
            <w:tcW w:w="26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080" w:type="dxa"/>
            <w:vAlign w:val="bottom"/>
            <w:tcBorders>
              <w:top w:val="single" w:sz="8" w:color="auto"/>
              <w:right w:val="single" w:sz="8" w:color="auto"/>
            </w:tcBorders>
            <w:shd w:val="clear" w:color="auto" w:fill="29650B"/>
          </w:tcPr>
          <w:p>
            <w:pPr>
              <w:jc w:val="right"/>
              <w:ind w:right="761"/>
              <w:spacing w:after="0"/>
              <w:rPr>
                <w:sz w:val="20"/>
                <w:szCs w:val="20"/>
                <w:color w:val="auto"/>
              </w:rPr>
            </w:pPr>
            <w:r>
              <w:rPr>
                <w:rFonts w:ascii="Arial" w:cs="Arial" w:eastAsia="Arial" w:hAnsi="Arial"/>
                <w:sz w:val="20"/>
                <w:szCs w:val="20"/>
                <w:b w:val="1"/>
                <w:bCs w:val="1"/>
                <w:color w:val="FFFFFF"/>
              </w:rPr>
              <w:t>2020</w:t>
            </w:r>
          </w:p>
        </w:tc>
        <w:tc>
          <w:tcPr>
            <w:tcW w:w="2000" w:type="dxa"/>
            <w:vAlign w:val="bottom"/>
            <w:tcBorders>
              <w:top w:val="single" w:sz="8" w:color="auto"/>
              <w:right w:val="single" w:sz="8" w:color="auto"/>
            </w:tcBorders>
            <w:shd w:val="clear" w:color="auto" w:fill="29650B"/>
          </w:tcPr>
          <w:p>
            <w:pPr>
              <w:jc w:val="right"/>
              <w:ind w:right="721"/>
              <w:spacing w:after="0"/>
              <w:rPr>
                <w:sz w:val="20"/>
                <w:szCs w:val="20"/>
                <w:color w:val="auto"/>
              </w:rPr>
            </w:pPr>
            <w:r>
              <w:rPr>
                <w:rFonts w:ascii="Arial" w:cs="Arial" w:eastAsia="Arial" w:hAnsi="Arial"/>
                <w:sz w:val="20"/>
                <w:szCs w:val="20"/>
                <w:b w:val="1"/>
                <w:bCs w:val="1"/>
                <w:color w:val="FFFFFF"/>
              </w:rPr>
              <w:t>2019</w:t>
            </w:r>
          </w:p>
        </w:tc>
      </w:tr>
      <w:tr>
        <w:trPr>
          <w:trHeight w:val="118"/>
        </w:trPr>
        <w:tc>
          <w:tcPr>
            <w:tcW w:w="266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2080" w:type="dxa"/>
            <w:vAlign w:val="bottom"/>
            <w:tcBorders>
              <w:bottom w:val="single" w:sz="8" w:color="auto"/>
              <w:right w:val="single" w:sz="8" w:color="auto"/>
            </w:tcBorders>
            <w:shd w:val="clear" w:color="auto" w:fill="29650B"/>
          </w:tcPr>
          <w:p>
            <w:pPr>
              <w:spacing w:after="0"/>
              <w:rPr>
                <w:sz w:val="10"/>
                <w:szCs w:val="10"/>
                <w:color w:val="auto"/>
              </w:rPr>
            </w:pPr>
          </w:p>
        </w:tc>
        <w:tc>
          <w:tcPr>
            <w:tcW w:w="2000" w:type="dxa"/>
            <w:vAlign w:val="bottom"/>
            <w:tcBorders>
              <w:bottom w:val="single" w:sz="8" w:color="auto"/>
              <w:right w:val="single" w:sz="8" w:color="auto"/>
            </w:tcBorders>
            <w:shd w:val="clear" w:color="auto" w:fill="29650B"/>
          </w:tcPr>
          <w:p>
            <w:pPr>
              <w:spacing w:after="0"/>
              <w:rPr>
                <w:sz w:val="10"/>
                <w:szCs w:val="10"/>
                <w:color w:val="auto"/>
              </w:rPr>
            </w:pPr>
          </w:p>
        </w:tc>
      </w:tr>
      <w:tr>
        <w:trPr>
          <w:trHeight w:val="223"/>
        </w:trPr>
        <w:tc>
          <w:tcPr>
            <w:tcW w:w="266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Audit Fees</w:t>
            </w:r>
          </w:p>
        </w:tc>
        <w:tc>
          <w:tcPr>
            <w:tcW w:w="2080" w:type="dxa"/>
            <w:vAlign w:val="bottom"/>
            <w:tcBorders>
              <w:right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$9,408,000</w:t>
            </w:r>
          </w:p>
        </w:tc>
        <w:tc>
          <w:tcPr>
            <w:tcW w:w="2000" w:type="dxa"/>
            <w:vAlign w:val="bottom"/>
            <w:tcBorders>
              <w:right w:val="single" w:sz="8" w:color="auto"/>
            </w:tcBorders>
          </w:tcPr>
          <w:p>
            <w:pPr>
              <w:jc w:val="right"/>
              <w:ind w:right="221"/>
              <w:spacing w:after="0" w:line="223" w:lineRule="exact"/>
              <w:rPr>
                <w:sz w:val="20"/>
                <w:szCs w:val="20"/>
                <w:color w:val="auto"/>
              </w:rPr>
            </w:pPr>
            <w:r>
              <w:rPr>
                <w:rFonts w:ascii="Arial" w:cs="Arial" w:eastAsia="Arial" w:hAnsi="Arial"/>
                <w:sz w:val="20"/>
                <w:szCs w:val="20"/>
                <w:color w:val="auto"/>
              </w:rPr>
              <w:t>$10,148,000</w:t>
            </w:r>
          </w:p>
        </w:tc>
      </w:tr>
      <w:tr>
        <w:trPr>
          <w:trHeight w:val="229"/>
        </w:trPr>
        <w:tc>
          <w:tcPr>
            <w:tcW w:w="26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Audit-Related Fees</w:t>
            </w:r>
          </w:p>
        </w:tc>
        <w:tc>
          <w:tcPr>
            <w:tcW w:w="2080" w:type="dxa"/>
            <w:vAlign w:val="bottom"/>
            <w:tcBorders>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6,315,000</w:t>
            </w:r>
          </w:p>
        </w:tc>
        <w:tc>
          <w:tcPr>
            <w:tcW w:w="2000" w:type="dxa"/>
            <w:vAlign w:val="bottom"/>
            <w:tcBorders>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714,000</w:t>
            </w:r>
          </w:p>
        </w:tc>
      </w:tr>
      <w:tr>
        <w:trPr>
          <w:trHeight w:val="230"/>
        </w:trPr>
        <w:tc>
          <w:tcPr>
            <w:tcW w:w="26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Tax Compliance Fees</w:t>
            </w:r>
          </w:p>
        </w:tc>
        <w:tc>
          <w:tcPr>
            <w:tcW w:w="20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320,000</w:t>
            </w:r>
          </w:p>
        </w:tc>
        <w:tc>
          <w:tcPr>
            <w:tcW w:w="200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388,000</w:t>
            </w:r>
          </w:p>
        </w:tc>
      </w:tr>
      <w:tr>
        <w:trPr>
          <w:trHeight w:val="230"/>
        </w:trPr>
        <w:tc>
          <w:tcPr>
            <w:tcW w:w="26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color w:val="auto"/>
              </w:rPr>
              <w:t>Tax Advisory Services Fees</w:t>
            </w:r>
          </w:p>
        </w:tc>
        <w:tc>
          <w:tcPr>
            <w:tcW w:w="2080" w:type="dxa"/>
            <w:vAlign w:val="bottom"/>
            <w:tcBorders>
              <w:right w:val="single" w:sz="8" w:color="auto"/>
            </w:tcBorders>
            <w:shd w:val="clear" w:color="auto" w:fill="D9D9D9"/>
          </w:tcPr>
          <w:p>
            <w:pPr>
              <w:jc w:val="right"/>
              <w:ind w:right="241"/>
              <w:spacing w:after="0"/>
              <w:rPr>
                <w:sz w:val="20"/>
                <w:szCs w:val="20"/>
                <w:color w:val="auto"/>
              </w:rPr>
            </w:pPr>
            <w:r>
              <w:rPr>
                <w:rFonts w:ascii="Arial" w:cs="Arial" w:eastAsia="Arial" w:hAnsi="Arial"/>
                <w:sz w:val="20"/>
                <w:szCs w:val="20"/>
                <w:color w:val="auto"/>
              </w:rPr>
              <w:t>1,148,000</w:t>
            </w:r>
          </w:p>
        </w:tc>
        <w:tc>
          <w:tcPr>
            <w:tcW w:w="2000" w:type="dxa"/>
            <w:vAlign w:val="bottom"/>
            <w:tcBorders>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color w:val="auto"/>
              </w:rPr>
              <w:t>1,307,000</w:t>
            </w:r>
          </w:p>
        </w:tc>
      </w:tr>
      <w:tr>
        <w:trPr>
          <w:trHeight w:val="230"/>
        </w:trPr>
        <w:tc>
          <w:tcPr>
            <w:tcW w:w="26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All Other Fees</w:t>
            </w:r>
          </w:p>
        </w:tc>
        <w:tc>
          <w:tcPr>
            <w:tcW w:w="2080" w:type="dxa"/>
            <w:vAlign w:val="bottom"/>
            <w:tcBorders>
              <w:bottom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21,000</w:t>
            </w:r>
          </w:p>
        </w:tc>
        <w:tc>
          <w:tcPr>
            <w:tcW w:w="200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20"/>
                <w:szCs w:val="20"/>
                <w:color w:val="auto"/>
              </w:rPr>
              <w:t>40,000</w:t>
            </w:r>
          </w:p>
        </w:tc>
      </w:tr>
    </w:tbl>
    <w:p>
      <w:pPr>
        <w:spacing w:after="0" w:line="3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2020 the Chair reviewed and approved $350,000 of such services.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449"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fulfilling its responsibilities, the Audit Committee has reviewed and discussed with the Company’s management and its independent auditors the audited financial statements for the fiscal year ended December 31, 2020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2020.</w:t>
      </w:r>
    </w:p>
    <w:p>
      <w:pPr>
        <w:spacing w:after="0" w:line="15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Based on the reviews and discussions referred to above, the Audit Committee recommended to the Board of Directors that the audited financial statements be included in the Company’s Annual Report on Form 10-K for the fiscal year ended December 31, 2020.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report is respectfully submitted on February 24, 2021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 xml:space="preserve">Caesar Sweitzer, </w:t>
      </w:r>
      <w:r>
        <w:rPr>
          <w:rFonts w:ascii="Arial" w:cs="Arial" w:eastAsia="Arial" w:hAnsi="Arial"/>
          <w:sz w:val="22"/>
          <w:szCs w:val="22"/>
          <w:i w:val="1"/>
          <w:iCs w:val="1"/>
          <w:color w:val="auto"/>
        </w:rPr>
        <w:t>Chair</w:t>
      </w:r>
    </w:p>
    <w:p>
      <w:pPr>
        <w:ind w:left="5620"/>
        <w:spacing w:after="0" w:line="238" w:lineRule="auto"/>
        <w:rPr>
          <w:sz w:val="20"/>
          <w:szCs w:val="20"/>
          <w:color w:val="auto"/>
        </w:rPr>
      </w:pPr>
      <w:r>
        <w:rPr>
          <w:rFonts w:ascii="Arial" w:cs="Arial" w:eastAsia="Arial" w:hAnsi="Arial"/>
          <w:sz w:val="22"/>
          <w:szCs w:val="22"/>
          <w:color w:val="auto"/>
        </w:rPr>
        <w:t>Andrea Funk</w:t>
      </w:r>
    </w:p>
    <w:p>
      <w:pPr>
        <w:ind w:left="5620"/>
        <w:spacing w:after="0" w:line="230" w:lineRule="auto"/>
        <w:rPr>
          <w:sz w:val="20"/>
          <w:szCs w:val="20"/>
          <w:color w:val="auto"/>
        </w:rPr>
      </w:pPr>
      <w:r>
        <w:rPr>
          <w:rFonts w:ascii="Arial" w:cs="Arial" w:eastAsia="Arial" w:hAnsi="Arial"/>
          <w:sz w:val="22"/>
          <w:szCs w:val="22"/>
          <w:color w:val="auto"/>
        </w:rPr>
        <w:t>Josef Müller</w:t>
      </w:r>
    </w:p>
    <w:p>
      <w:pPr>
        <w:ind w:left="5620"/>
        <w:spacing w:after="0" w:line="231" w:lineRule="auto"/>
        <w:rPr>
          <w:sz w:val="20"/>
          <w:szCs w:val="20"/>
          <w:color w:val="auto"/>
        </w:rPr>
      </w:pPr>
      <w:r>
        <w:rPr>
          <w:rFonts w:ascii="Arial" w:cs="Arial" w:eastAsia="Arial" w:hAnsi="Arial"/>
          <w:sz w:val="22"/>
          <w:szCs w:val="22"/>
          <w:color w:val="auto"/>
        </w:rPr>
        <w:t>B. Craig Owens</w:t>
      </w:r>
    </w:p>
    <w:p>
      <w:pPr>
        <w:ind w:left="5620"/>
        <w:spacing w:after="0" w:line="230" w:lineRule="auto"/>
        <w:rPr>
          <w:sz w:val="20"/>
          <w:szCs w:val="20"/>
          <w:color w:val="auto"/>
        </w:rPr>
      </w:pPr>
      <w:r>
        <w:rPr>
          <w:rFonts w:ascii="Arial" w:cs="Arial" w:eastAsia="Arial" w:hAnsi="Arial"/>
          <w:sz w:val="22"/>
          <w:szCs w:val="22"/>
          <w:color w:val="auto"/>
        </w:rPr>
        <w:t>William Urkiel</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Dwayne Wilson</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449" w:right="339" w:bottom="1440" w:gutter="0" w:footer="0" w:header="0"/>
          <w:type w:val="continuous"/>
        </w:sectPr>
      </w:pPr>
    </w:p>
    <w:bookmarkStart w:id="66" w:name="page67"/>
    <w:bookmarkEnd w:id="66"/>
    <w:p>
      <w:pPr>
        <w:ind w:right="640"/>
        <w:spacing w:after="0" w:line="272" w:lineRule="auto"/>
        <w:rPr>
          <w:sz w:val="20"/>
          <w:szCs w:val="20"/>
          <w:color w:val="auto"/>
        </w:rPr>
      </w:pPr>
      <w:r>
        <w:rPr>
          <w:rFonts w:ascii="Arial" w:cs="Arial" w:eastAsia="Arial" w:hAnsi="Arial"/>
          <w:sz w:val="32"/>
          <w:szCs w:val="32"/>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Audit Committee has appointed the firm of PricewaterhouseCoopers LLP, an independent registered public accounting firm, as independent auditors to audit and report on the Company’s financial statements for 2021.</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271780</wp:posOffset>
            </wp:positionV>
            <wp:extent cx="7110730" cy="449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1760"/>
        <w:spacing w:after="0"/>
        <w:rPr>
          <w:sz w:val="20"/>
          <w:szCs w:val="20"/>
          <w:color w:val="auto"/>
        </w:rPr>
      </w:pPr>
      <w:r>
        <w:rPr>
          <w:rFonts w:ascii="Arial" w:cs="Arial" w:eastAsia="Arial" w:hAnsi="Arial"/>
          <w:sz w:val="25"/>
          <w:szCs w:val="25"/>
          <w:b w:val="1"/>
          <w:bCs w:val="1"/>
          <w:color w:val="auto"/>
        </w:rPr>
        <w:t>The Board of Directors Recommends a Vote FOR the Ratification of the</w:t>
      </w:r>
    </w:p>
    <w:p>
      <w:pPr>
        <w:spacing w:after="0" w:line="38"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auto"/>
        </w:rPr>
        <w:t>Appointment of PricewaterhouseCoopers LLP as Independent Auditors.</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449" w:right="339" w:bottom="1440" w:gutter="0" w:footer="0" w:header="0"/>
        </w:sectPr>
      </w:pPr>
    </w:p>
    <w:bookmarkStart w:id="67" w:name="page68"/>
    <w:bookmarkEnd w:id="67"/>
    <w:p>
      <w:pPr>
        <w:ind w:right="2140"/>
        <w:spacing w:after="0" w:line="272" w:lineRule="auto"/>
        <w:rPr>
          <w:sz w:val="20"/>
          <w:szCs w:val="20"/>
          <w:color w:val="auto"/>
        </w:rPr>
      </w:pPr>
      <w:r>
        <w:rPr>
          <w:rFonts w:ascii="Arial" w:cs="Arial" w:eastAsia="Arial" w:hAnsi="Arial"/>
          <w:sz w:val="32"/>
          <w:szCs w:val="32"/>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2022 Annual Meeting of Shareholders.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2020 compensation of Named Executive Officers.</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2021 Annual Meeting.</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272415</wp:posOffset>
            </wp:positionV>
            <wp:extent cx="7110730" cy="449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Board of Directors Recommends a Vote FOR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Approval of this Advisory Resolution on Executive Compensation.</w:t>
      </w: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185" w:lineRule="exact"/>
        <w:rPr>
          <w:sz w:val="20"/>
          <w:szCs w:val="20"/>
          <w:color w:val="auto"/>
        </w:rPr>
      </w:pPr>
    </w:p>
    <w:p>
      <w:pPr>
        <w:jc w:val="center"/>
        <w:ind w:left="4040"/>
        <w:spacing w:after="0"/>
        <w:rPr>
          <w:sz w:val="20"/>
          <w:szCs w:val="20"/>
          <w:color w:val="auto"/>
        </w:rPr>
      </w:pPr>
      <w:r>
        <w:rPr>
          <w:rFonts w:ascii="Arial" w:cs="Arial" w:eastAsia="Arial" w:hAnsi="Arial"/>
          <w:sz w:val="22"/>
          <w:szCs w:val="22"/>
          <w:color w:val="auto"/>
        </w:rPr>
        <w:t>ADAM J. DICKSTEIN</w:t>
      </w:r>
    </w:p>
    <w:p>
      <w:pPr>
        <w:spacing w:after="0" w:line="8" w:lineRule="exact"/>
        <w:rPr>
          <w:sz w:val="20"/>
          <w:szCs w:val="20"/>
          <w:color w:val="auto"/>
        </w:rPr>
      </w:pPr>
    </w:p>
    <w:p>
      <w:pPr>
        <w:jc w:val="center"/>
        <w:ind w:left="4040"/>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31" w:lineRule="exact"/>
        <w:rPr>
          <w:sz w:val="20"/>
          <w:szCs w:val="20"/>
          <w:color w:val="auto"/>
        </w:rPr>
      </w:pPr>
    </w:p>
    <w:p>
      <w:pPr>
        <w:jc w:val="center"/>
        <w:ind w:left="4040"/>
        <w:spacing w:after="0"/>
        <w:rPr>
          <w:sz w:val="20"/>
          <w:szCs w:val="20"/>
          <w:color w:val="auto"/>
        </w:rPr>
      </w:pPr>
      <w:r>
        <w:rPr>
          <w:rFonts w:ascii="Arial" w:cs="Arial" w:eastAsia="Arial" w:hAnsi="Arial"/>
          <w:sz w:val="22"/>
          <w:szCs w:val="22"/>
          <w:color w:val="auto"/>
        </w:rPr>
        <w:t>Yardley, Pennsylvania 19067</w:t>
      </w:r>
    </w:p>
    <w:p>
      <w:pPr>
        <w:spacing w:after="0" w:line="8" w:lineRule="exact"/>
        <w:rPr>
          <w:sz w:val="20"/>
          <w:szCs w:val="20"/>
          <w:color w:val="auto"/>
        </w:rPr>
      </w:pPr>
    </w:p>
    <w:p>
      <w:pPr>
        <w:jc w:val="center"/>
        <w:ind w:left="4040"/>
        <w:spacing w:after="0"/>
        <w:rPr>
          <w:sz w:val="20"/>
          <w:szCs w:val="20"/>
          <w:color w:val="auto"/>
        </w:rPr>
      </w:pPr>
      <w:r>
        <w:rPr>
          <w:rFonts w:ascii="Arial" w:cs="Arial" w:eastAsia="Arial" w:hAnsi="Arial"/>
          <w:sz w:val="22"/>
          <w:szCs w:val="22"/>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1572895</wp:posOffset>
            </wp:positionV>
            <wp:extent cx="2571750" cy="702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466090</wp:posOffset>
            </wp:positionV>
            <wp:extent cx="1311275"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9"/>
          <w:szCs w:val="9"/>
          <w:i w:val="1"/>
          <w:iCs w:val="1"/>
          <w:color w:val="363435"/>
        </w:rPr>
        <w:t>CROWN HOLDINGS, INC.</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9"/>
          <w:szCs w:val="9"/>
          <w:i w:val="1"/>
          <w:iCs w:val="1"/>
          <w:color w:val="363435"/>
        </w:rPr>
        <w:t>770 TOWNSHIP LINE ROAD</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9"/>
          <w:szCs w:val="9"/>
          <w:i w:val="1"/>
          <w:iCs w:val="1"/>
          <w:color w:val="363435"/>
        </w:rPr>
        <w:t>YARDLEY, PENNSYLVANIA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363435"/>
        </w:rPr>
        <w:t>TO VOTE, MARK BLOCKS BELOW IN BLUE OR BLACK INK AS FOLLOWS: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3"/>
          <w:szCs w:val="13"/>
          <w:b w:val="1"/>
          <w:bCs w:val="1"/>
          <w:color w:val="363435"/>
        </w:rPr>
        <w:t>VOTE BY INTERNET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363435"/>
        </w:rPr>
        <w:t xml:space="preserve">Before The Meeting </w:t>
      </w:r>
      <w:r>
        <w:rPr>
          <w:rFonts w:ascii="Arial" w:cs="Arial" w:eastAsia="Arial" w:hAnsi="Arial"/>
          <w:sz w:val="13"/>
          <w:szCs w:val="13"/>
          <w:color w:val="363435"/>
        </w:rPr>
        <w:t>- Go to</w:t>
      </w:r>
      <w:r>
        <w:rPr>
          <w:rFonts w:ascii="Arial" w:cs="Arial" w:eastAsia="Arial" w:hAnsi="Arial"/>
          <w:sz w:val="13"/>
          <w:szCs w:val="13"/>
          <w:i w:val="1"/>
          <w:iCs w:val="1"/>
          <w:color w:val="363435"/>
        </w:rPr>
        <w:t xml:space="preserve"> </w:t>
      </w:r>
      <w:r>
        <w:rPr>
          <w:rFonts w:ascii="Arial" w:cs="Arial" w:eastAsia="Arial" w:hAnsi="Arial"/>
          <w:sz w:val="13"/>
          <w:szCs w:val="13"/>
          <w:b w:val="1"/>
          <w:bCs w:val="1"/>
          <w:u w:val="single" w:color="auto"/>
          <w:color w:val="363435"/>
        </w:rPr>
        <w:t>www.proxyvote.com</w:t>
      </w:r>
    </w:p>
    <w:p>
      <w:pPr>
        <w:spacing w:after="0" w:line="121" w:lineRule="exact"/>
        <w:rPr>
          <w:sz w:val="20"/>
          <w:szCs w:val="20"/>
          <w:color w:val="auto"/>
        </w:rPr>
      </w:pPr>
    </w:p>
    <w:p>
      <w:pPr>
        <w:jc w:val="both"/>
        <w:ind w:left="20" w:right="100"/>
        <w:spacing w:after="0" w:line="223" w:lineRule="auto"/>
        <w:rPr>
          <w:sz w:val="20"/>
          <w:szCs w:val="20"/>
          <w:color w:val="auto"/>
        </w:rPr>
      </w:pPr>
      <w:r>
        <w:rPr>
          <w:rFonts w:ascii="Arial" w:cs="Arial" w:eastAsia="Arial" w:hAnsi="Arial"/>
          <w:sz w:val="13"/>
          <w:szCs w:val="13"/>
          <w:color w:val="363435"/>
        </w:rPr>
        <w:t>Use the Internet to transmit your voting instructions and for electronic delivery of information up until 11:59 p.m. Eastern Time on April 21, 2021. Have your proxy card in hand when you access the web site and follow the instructions to obtain your records and to create an electronic voting instruction form.</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363435"/>
        </w:rPr>
        <w:t xml:space="preserve">During The Meeting </w:t>
      </w:r>
      <w:r>
        <w:rPr>
          <w:rFonts w:ascii="Arial" w:cs="Arial" w:eastAsia="Arial" w:hAnsi="Arial"/>
          <w:sz w:val="13"/>
          <w:szCs w:val="13"/>
          <w:color w:val="363435"/>
        </w:rPr>
        <w:t>- Go to</w:t>
      </w:r>
      <w:r>
        <w:rPr>
          <w:rFonts w:ascii="Arial" w:cs="Arial" w:eastAsia="Arial" w:hAnsi="Arial"/>
          <w:sz w:val="13"/>
          <w:szCs w:val="13"/>
          <w:i w:val="1"/>
          <w:iCs w:val="1"/>
          <w:color w:val="363435"/>
        </w:rPr>
        <w:t xml:space="preserve"> </w:t>
      </w:r>
      <w:r>
        <w:rPr>
          <w:rFonts w:ascii="Arial" w:cs="Arial" w:eastAsia="Arial" w:hAnsi="Arial"/>
          <w:sz w:val="13"/>
          <w:szCs w:val="13"/>
          <w:b w:val="1"/>
          <w:bCs w:val="1"/>
          <w:u w:val="single" w:color="auto"/>
          <w:color w:val="363435"/>
        </w:rPr>
        <w:t>www.virtualshareholdermeeting.com/CCK2021</w:t>
      </w:r>
    </w:p>
    <w:p>
      <w:pPr>
        <w:spacing w:after="0" w:line="218" w:lineRule="exact"/>
        <w:rPr>
          <w:sz w:val="20"/>
          <w:szCs w:val="20"/>
          <w:color w:val="auto"/>
        </w:rPr>
      </w:pPr>
    </w:p>
    <w:p>
      <w:pPr>
        <w:ind w:left="20" w:right="260"/>
        <w:spacing w:after="0" w:line="259" w:lineRule="auto"/>
        <w:rPr>
          <w:sz w:val="20"/>
          <w:szCs w:val="20"/>
          <w:color w:val="auto"/>
        </w:rPr>
      </w:pPr>
      <w:r>
        <w:rPr>
          <w:rFonts w:ascii="Arial" w:cs="Arial" w:eastAsia="Arial" w:hAnsi="Arial"/>
          <w:sz w:val="12"/>
          <w:szCs w:val="12"/>
          <w:color w:val="363435"/>
        </w:rPr>
        <w:t>You may attend the meeting via the Internet and vote during the meeting. Have the information that is printed in the box marked by the arrow available and follow the instructions.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363435"/>
        </w:rPr>
        <w:t>VOTE BY PHONE - 1-800-690-6903</w:t>
      </w:r>
    </w:p>
    <w:p>
      <w:pPr>
        <w:spacing w:after="0" w:line="2" w:lineRule="exact"/>
        <w:rPr>
          <w:sz w:val="20"/>
          <w:szCs w:val="20"/>
          <w:color w:val="auto"/>
        </w:rPr>
      </w:pPr>
    </w:p>
    <w:p>
      <w:pPr>
        <w:ind w:left="20" w:right="360"/>
        <w:spacing w:after="0" w:line="225" w:lineRule="auto"/>
        <w:rPr>
          <w:sz w:val="20"/>
          <w:szCs w:val="20"/>
          <w:color w:val="auto"/>
        </w:rPr>
      </w:pPr>
      <w:r>
        <w:rPr>
          <w:rFonts w:ascii="Arial" w:cs="Arial" w:eastAsia="Arial" w:hAnsi="Arial"/>
          <w:sz w:val="13"/>
          <w:szCs w:val="13"/>
          <w:color w:val="363435"/>
        </w:rPr>
        <w:t>Use any touch-tone telephone to transmit your voting instructions up until 11:59 p.m. Eastern Time on April 21, 2021. Have your proxy card in hand when you call and then follow the instructions.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363435"/>
        </w:rPr>
        <w:t>VOTE BY MAIL</w:t>
      </w:r>
    </w:p>
    <w:p>
      <w:pPr>
        <w:spacing w:after="0" w:line="2"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363435"/>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spacing w:after="0"/>
        <w:tabs>
          <w:tab w:leader="none" w:pos="2760" w:val="left"/>
        </w:tabs>
        <w:rPr>
          <w:sz w:val="20"/>
          <w:szCs w:val="20"/>
          <w:color w:val="auto"/>
        </w:rPr>
      </w:pPr>
      <w:r>
        <w:rPr>
          <w:rFonts w:ascii="Arial" w:cs="Arial" w:eastAsia="Arial" w:hAnsi="Arial"/>
          <w:sz w:val="13"/>
          <w:szCs w:val="13"/>
          <w:color w:val="363435"/>
        </w:rPr>
        <w:t>D33408-P49191</w:t>
      </w:r>
      <w:r>
        <w:rPr>
          <w:sz w:val="20"/>
          <w:szCs w:val="20"/>
          <w:color w:val="auto"/>
        </w:rPr>
        <w:tab/>
      </w:r>
      <w:r>
        <w:rPr>
          <w:rFonts w:ascii="Arial" w:cs="Arial" w:eastAsia="Arial" w:hAnsi="Arial"/>
          <w:sz w:val="12"/>
          <w:szCs w:val="12"/>
          <w:color w:val="363435"/>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-5080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3"/>
          <w:szCs w:val="13"/>
          <w:color w:val="363435"/>
        </w:rPr>
        <w:t>DETACH AND RETURN THIS PORTION ONLY</w:t>
      </w:r>
    </w:p>
    <w:p>
      <w:pPr>
        <w:spacing w:after="0" w:line="100" w:lineRule="exact"/>
        <w:rPr>
          <w:sz w:val="20"/>
          <w:szCs w:val="20"/>
          <w:color w:val="auto"/>
        </w:rPr>
      </w:pPr>
    </w:p>
    <w:p>
      <w:pPr>
        <w:sectPr>
          <w:pgSz w:w="11900" w:h="16838" w:orient="portrait"/>
          <w:cols w:equalWidth="0" w:num="2">
            <w:col w:w="4980" w:space="720"/>
            <w:col w:w="5540"/>
          </w:cols>
          <w:pgMar w:left="320" w:top="712" w:right="339" w:bottom="1440" w:gutter="0" w:footer="0" w:header="0"/>
        </w:sectPr>
      </w:pPr>
    </w:p>
    <w:p>
      <w:pPr>
        <w:jc w:val="center"/>
        <w:spacing w:after="0"/>
        <w:rPr>
          <w:sz w:val="20"/>
          <w:szCs w:val="20"/>
          <w:color w:val="auto"/>
        </w:rPr>
      </w:pPr>
      <w:r>
        <w:rPr>
          <w:rFonts w:ascii="Arial" w:cs="Arial" w:eastAsia="Arial" w:hAnsi="Arial"/>
          <w:sz w:val="14"/>
          <w:szCs w:val="14"/>
          <w:b w:val="1"/>
          <w:bCs w:val="1"/>
          <w:color w:val="363435"/>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7118985" cy="397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8985" cy="3973195"/>
                    </a:xfrm>
                    <a:prstGeom prst="rect">
                      <a:avLst/>
                    </a:prstGeom>
                    <a:noFill/>
                  </pic:spPr>
                </pic:pic>
              </a:graphicData>
            </a:graphic>
          </wp:anchor>
        </w:drawing>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0" w:type="dxa"/>
            <w:vAlign w:val="bottom"/>
            <w:gridSpan w:val="3"/>
          </w:tcPr>
          <w:p>
            <w:pPr>
              <w:spacing w:after="0"/>
              <w:rPr>
                <w:sz w:val="20"/>
                <w:szCs w:val="20"/>
                <w:color w:val="auto"/>
              </w:rPr>
            </w:pPr>
            <w:r>
              <w:rPr>
                <w:rFonts w:ascii="Arial" w:cs="Arial" w:eastAsia="Arial" w:hAnsi="Arial"/>
                <w:sz w:val="13"/>
                <w:szCs w:val="13"/>
                <w:b w:val="1"/>
                <w:bCs w:val="1"/>
                <w:color w:val="363435"/>
              </w:rPr>
              <w:t>CROWN HOLDINGS, INC.</w:t>
            </w:r>
          </w:p>
        </w:tc>
        <w:tc>
          <w:tcPr>
            <w:tcW w:w="740" w:type="dxa"/>
            <w:vAlign w:val="bottom"/>
          </w:tcPr>
          <w:p>
            <w:pPr>
              <w:spacing w:after="0"/>
              <w:rPr>
                <w:sz w:val="13"/>
                <w:szCs w:val="13"/>
                <w:color w:val="auto"/>
              </w:rPr>
            </w:pPr>
          </w:p>
        </w:tc>
        <w:tc>
          <w:tcPr>
            <w:tcW w:w="2580" w:type="dxa"/>
            <w:vAlign w:val="bottom"/>
          </w:tcPr>
          <w:p>
            <w:pPr>
              <w:ind w:left="2320"/>
              <w:spacing w:after="0"/>
              <w:rPr>
                <w:sz w:val="20"/>
                <w:szCs w:val="20"/>
                <w:color w:val="auto"/>
              </w:rPr>
            </w:pPr>
            <w:r>
              <w:rPr>
                <w:rFonts w:ascii="Arial" w:cs="Arial" w:eastAsia="Arial" w:hAnsi="Arial"/>
                <w:sz w:val="13"/>
                <w:szCs w:val="13"/>
                <w:b w:val="1"/>
                <w:bCs w:val="1"/>
                <w:color w:val="auto"/>
              </w:rPr>
              <w:t>For</w:t>
            </w: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Withhold For All</w:t>
            </w:r>
          </w:p>
        </w:tc>
        <w:tc>
          <w:tcPr>
            <w:tcW w:w="2380" w:type="dxa"/>
            <w:vAlign w:val="bottom"/>
            <w:gridSpan w:val="2"/>
          </w:tcPr>
          <w:p>
            <w:pPr>
              <w:ind w:left="60"/>
              <w:spacing w:after="0"/>
              <w:rPr>
                <w:sz w:val="20"/>
                <w:szCs w:val="20"/>
                <w:color w:val="auto"/>
              </w:rPr>
            </w:pPr>
            <w:r>
              <w:rPr>
                <w:rFonts w:ascii="Arial" w:cs="Arial" w:eastAsia="Arial" w:hAnsi="Arial"/>
                <w:sz w:val="13"/>
                <w:szCs w:val="13"/>
                <w:color w:val="auto"/>
              </w:rPr>
              <w:t>To withhold authority to vote for any</w:t>
            </w:r>
          </w:p>
        </w:tc>
        <w:tc>
          <w:tcPr>
            <w:tcW w:w="0" w:type="dxa"/>
            <w:vAlign w:val="bottom"/>
          </w:tcPr>
          <w:p>
            <w:pPr>
              <w:spacing w:after="0"/>
              <w:rPr>
                <w:sz w:val="1"/>
                <w:szCs w:val="1"/>
                <w:color w:val="auto"/>
              </w:rPr>
            </w:pPr>
          </w:p>
        </w:tc>
      </w:tr>
      <w:tr>
        <w:trPr>
          <w:trHeight w:val="68"/>
        </w:trPr>
        <w:tc>
          <w:tcPr>
            <w:tcW w:w="33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363435"/>
              </w:rPr>
              <w:t>The Board of Directors Recommends a Vote FOR the</w:t>
            </w:r>
          </w:p>
        </w:tc>
        <w:tc>
          <w:tcPr>
            <w:tcW w:w="2580" w:type="dxa"/>
            <w:vAlign w:val="bottom"/>
            <w:vMerge w:val="restart"/>
          </w:tcPr>
          <w:p>
            <w:pPr>
              <w:ind w:left="2340"/>
              <w:spacing w:after="0"/>
              <w:rPr>
                <w:sz w:val="20"/>
                <w:szCs w:val="20"/>
                <w:color w:val="auto"/>
              </w:rPr>
            </w:pPr>
            <w:r>
              <w:rPr>
                <w:rFonts w:ascii="Arial" w:cs="Arial" w:eastAsia="Arial" w:hAnsi="Arial"/>
                <w:sz w:val="13"/>
                <w:szCs w:val="13"/>
                <w:b w:val="1"/>
                <w:bCs w:val="1"/>
                <w:color w:val="auto"/>
              </w:rPr>
              <w:t>All</w:t>
            </w:r>
          </w:p>
        </w:tc>
        <w:tc>
          <w:tcPr>
            <w:tcW w:w="5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All</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Except</w:t>
            </w:r>
          </w:p>
        </w:tc>
        <w:tc>
          <w:tcPr>
            <w:tcW w:w="2380" w:type="dxa"/>
            <w:vAlign w:val="bottom"/>
            <w:gridSpan w:val="2"/>
          </w:tcPr>
          <w:p>
            <w:pPr>
              <w:ind w:left="60"/>
              <w:spacing w:after="0" w:line="68" w:lineRule="exact"/>
              <w:rPr>
                <w:sz w:val="20"/>
                <w:szCs w:val="20"/>
                <w:color w:val="auto"/>
              </w:rPr>
            </w:pPr>
            <w:r>
              <w:rPr>
                <w:rFonts w:ascii="Arial" w:cs="Arial" w:eastAsia="Arial" w:hAnsi="Arial"/>
                <w:sz w:val="7"/>
                <w:szCs w:val="7"/>
                <w:color w:val="auto"/>
              </w:rPr>
              <w:t>individual nominee(s), mark "For All</w:t>
            </w:r>
          </w:p>
        </w:tc>
        <w:tc>
          <w:tcPr>
            <w:tcW w:w="0" w:type="dxa"/>
            <w:vAlign w:val="bottom"/>
          </w:tcPr>
          <w:p>
            <w:pPr>
              <w:spacing w:after="0"/>
              <w:rPr>
                <w:sz w:val="1"/>
                <w:szCs w:val="1"/>
                <w:color w:val="auto"/>
              </w:rPr>
            </w:pPr>
          </w:p>
        </w:tc>
      </w:tr>
      <w:tr>
        <w:trPr>
          <w:trHeight w:val="95"/>
        </w:trPr>
        <w:tc>
          <w:tcPr>
            <w:tcW w:w="3340" w:type="dxa"/>
            <w:vAlign w:val="bottom"/>
            <w:gridSpan w:val="4"/>
            <w:vMerge w:val="continue"/>
          </w:tcPr>
          <w:p>
            <w:pPr>
              <w:spacing w:after="0"/>
              <w:rPr>
                <w:sz w:val="8"/>
                <w:szCs w:val="8"/>
                <w:color w:val="auto"/>
              </w:rPr>
            </w:pPr>
          </w:p>
        </w:tc>
        <w:tc>
          <w:tcPr>
            <w:tcW w:w="25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380" w:type="dxa"/>
            <w:vAlign w:val="bottom"/>
            <w:gridSpan w:val="2"/>
          </w:tcPr>
          <w:p>
            <w:pPr>
              <w:ind w:left="60"/>
              <w:spacing w:after="0" w:line="95" w:lineRule="exact"/>
              <w:rPr>
                <w:sz w:val="20"/>
                <w:szCs w:val="20"/>
                <w:color w:val="auto"/>
              </w:rPr>
            </w:pPr>
            <w:r>
              <w:rPr>
                <w:rFonts w:ascii="Arial" w:cs="Arial" w:eastAsia="Arial" w:hAnsi="Arial"/>
                <w:sz w:val="10"/>
                <w:szCs w:val="10"/>
                <w:color w:val="auto"/>
              </w:rPr>
              <w:t>Except" and write the number(s) of the</w:t>
            </w:r>
          </w:p>
        </w:tc>
        <w:tc>
          <w:tcPr>
            <w:tcW w:w="0" w:type="dxa"/>
            <w:vAlign w:val="bottom"/>
          </w:tcPr>
          <w:p>
            <w:pPr>
              <w:spacing w:after="0"/>
              <w:rPr>
                <w:sz w:val="1"/>
                <w:szCs w:val="1"/>
                <w:color w:val="auto"/>
              </w:rPr>
            </w:pPr>
          </w:p>
        </w:tc>
      </w:tr>
      <w:tr>
        <w:trPr>
          <w:trHeight w:val="129"/>
        </w:trPr>
        <w:tc>
          <w:tcPr>
            <w:tcW w:w="2600" w:type="dxa"/>
            <w:vAlign w:val="bottom"/>
            <w:gridSpan w:val="3"/>
          </w:tcPr>
          <w:p>
            <w:pPr>
              <w:ind w:left="160"/>
              <w:spacing w:after="0" w:line="129" w:lineRule="exact"/>
              <w:rPr>
                <w:sz w:val="20"/>
                <w:szCs w:val="20"/>
                <w:color w:val="auto"/>
              </w:rPr>
            </w:pPr>
            <w:r>
              <w:rPr>
                <w:rFonts w:ascii="Arial" w:cs="Arial" w:eastAsia="Arial" w:hAnsi="Arial"/>
                <w:sz w:val="13"/>
                <w:szCs w:val="13"/>
                <w:b w:val="1"/>
                <w:bCs w:val="1"/>
                <w:color w:val="363435"/>
              </w:rPr>
              <w:t>Election of all Nominees.</w:t>
            </w:r>
          </w:p>
        </w:tc>
        <w:tc>
          <w:tcPr>
            <w:tcW w:w="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38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nominee(s) on the line below.</w:t>
            </w:r>
          </w:p>
        </w:tc>
        <w:tc>
          <w:tcPr>
            <w:tcW w:w="0" w:type="dxa"/>
            <w:vAlign w:val="bottom"/>
          </w:tcPr>
          <w:p>
            <w:pPr>
              <w:spacing w:after="0"/>
              <w:rPr>
                <w:sz w:val="1"/>
                <w:szCs w:val="1"/>
                <w:color w:val="auto"/>
              </w:rPr>
            </w:pPr>
          </w:p>
        </w:tc>
      </w:tr>
      <w:tr>
        <w:trPr>
          <w:trHeight w:val="152"/>
        </w:trPr>
        <w:tc>
          <w:tcPr>
            <w:tcW w:w="56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2040" w:type="dxa"/>
            <w:vAlign w:val="bottom"/>
            <w:gridSpan w:val="2"/>
          </w:tcPr>
          <w:p>
            <w:pPr>
              <w:ind w:left="160"/>
              <w:spacing w:after="0"/>
              <w:rPr>
                <w:sz w:val="20"/>
                <w:szCs w:val="20"/>
                <w:color w:val="auto"/>
              </w:rPr>
            </w:pPr>
            <w:r>
              <w:rPr>
                <w:rFonts w:ascii="Arial" w:cs="Arial" w:eastAsia="Arial" w:hAnsi="Arial"/>
                <w:sz w:val="13"/>
                <w:szCs w:val="13"/>
                <w:color w:val="auto"/>
              </w:rPr>
              <w:t>Election of Directors</w:t>
            </w:r>
          </w:p>
        </w:tc>
        <w:tc>
          <w:tcPr>
            <w:tcW w:w="740" w:type="dxa"/>
            <w:vAlign w:val="bottom"/>
          </w:tcPr>
          <w:p>
            <w:pPr>
              <w:spacing w:after="0"/>
              <w:rPr>
                <w:sz w:val="13"/>
                <w:szCs w:val="13"/>
                <w:color w:val="auto"/>
              </w:rPr>
            </w:pPr>
          </w:p>
        </w:tc>
        <w:tc>
          <w:tcPr>
            <w:tcW w:w="2580" w:type="dxa"/>
            <w:vAlign w:val="bottom"/>
            <w:vMerge w:val="restart"/>
          </w:tcPr>
          <w:p>
            <w:pPr>
              <w:ind w:left="2360"/>
              <w:spacing w:after="0"/>
              <w:rPr>
                <w:sz w:val="20"/>
                <w:szCs w:val="20"/>
                <w:color w:val="auto"/>
              </w:rPr>
            </w:pPr>
            <w:r>
              <w:rPr>
                <w:rFonts w:ascii="Arial" w:cs="Arial" w:eastAsia="Arial" w:hAnsi="Arial"/>
                <w:sz w:val="25"/>
                <w:szCs w:val="25"/>
                <w:color w:val="auto"/>
              </w:rPr>
              <w:t>□</w:t>
            </w:r>
          </w:p>
        </w:tc>
        <w:tc>
          <w:tcPr>
            <w:tcW w:w="520" w:type="dxa"/>
            <w:vAlign w:val="bottom"/>
            <w:vMerge w:val="restart"/>
          </w:tcPr>
          <w:p>
            <w:pPr>
              <w:ind w:left="260"/>
              <w:spacing w:after="0"/>
              <w:rPr>
                <w:sz w:val="20"/>
                <w:szCs w:val="20"/>
                <w:color w:val="auto"/>
              </w:rPr>
            </w:pPr>
            <w:r>
              <w:rPr>
                <w:rFonts w:ascii="Arial" w:cs="Arial" w:eastAsia="Arial" w:hAnsi="Arial"/>
                <w:sz w:val="25"/>
                <w:szCs w:val="25"/>
                <w:color w:val="auto"/>
              </w:rPr>
              <w:t>□</w:t>
            </w:r>
          </w:p>
        </w:tc>
        <w:tc>
          <w:tcPr>
            <w:tcW w:w="560" w:type="dxa"/>
            <w:vAlign w:val="bottom"/>
            <w:vMerge w:val="restart"/>
          </w:tcPr>
          <w:p>
            <w:pPr>
              <w:jc w:val="center"/>
              <w:spacing w:after="0"/>
              <w:rPr>
                <w:sz w:val="20"/>
                <w:szCs w:val="20"/>
                <w:color w:val="auto"/>
              </w:rPr>
            </w:pPr>
            <w:r>
              <w:rPr>
                <w:rFonts w:ascii="Arial" w:cs="Arial" w:eastAsia="Arial" w:hAnsi="Arial"/>
                <w:sz w:val="25"/>
                <w:szCs w:val="25"/>
                <w:color w:val="auto"/>
              </w:rPr>
              <w:t>□</w:t>
            </w: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0" w:type="dxa"/>
            <w:vAlign w:val="bottom"/>
          </w:tcPr>
          <w:p>
            <w:pPr>
              <w:spacing w:after="0"/>
              <w:rPr>
                <w:sz w:val="13"/>
                <w:szCs w:val="13"/>
                <w:color w:val="auto"/>
              </w:rPr>
            </w:pPr>
          </w:p>
        </w:tc>
        <w:tc>
          <w:tcPr>
            <w:tcW w:w="20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Nominees:</w:t>
            </w:r>
          </w:p>
        </w:tc>
        <w:tc>
          <w:tcPr>
            <w:tcW w:w="74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56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01)</w:t>
            </w:r>
          </w:p>
        </w:tc>
        <w:tc>
          <w:tcPr>
            <w:tcW w:w="1680" w:type="dxa"/>
            <w:vAlign w:val="bottom"/>
          </w:tcPr>
          <w:p>
            <w:pPr>
              <w:ind w:left="20"/>
              <w:spacing w:after="0"/>
              <w:rPr>
                <w:sz w:val="20"/>
                <w:szCs w:val="20"/>
                <w:color w:val="auto"/>
              </w:rPr>
            </w:pPr>
            <w:r>
              <w:rPr>
                <w:rFonts w:ascii="Arial" w:cs="Arial" w:eastAsia="Arial" w:hAnsi="Arial"/>
                <w:sz w:val="13"/>
                <w:szCs w:val="13"/>
                <w:color w:val="auto"/>
              </w:rPr>
              <w:t>John W. Conway</w:t>
            </w:r>
          </w:p>
        </w:tc>
        <w:tc>
          <w:tcPr>
            <w:tcW w:w="740" w:type="dxa"/>
            <w:vAlign w:val="bottom"/>
          </w:tcPr>
          <w:p>
            <w:pPr>
              <w:jc w:val="right"/>
              <w:spacing w:after="0"/>
              <w:rPr>
                <w:sz w:val="20"/>
                <w:szCs w:val="20"/>
                <w:color w:val="auto"/>
              </w:rPr>
            </w:pPr>
            <w:r>
              <w:rPr>
                <w:rFonts w:ascii="Arial" w:cs="Arial" w:eastAsia="Arial" w:hAnsi="Arial"/>
                <w:sz w:val="13"/>
                <w:szCs w:val="13"/>
                <w:color w:val="auto"/>
              </w:rPr>
              <w:t>08)</w:t>
            </w:r>
          </w:p>
        </w:tc>
        <w:tc>
          <w:tcPr>
            <w:tcW w:w="2580" w:type="dxa"/>
            <w:vAlign w:val="bottom"/>
          </w:tcPr>
          <w:p>
            <w:pPr>
              <w:ind w:left="20"/>
              <w:spacing w:after="0"/>
              <w:rPr>
                <w:sz w:val="20"/>
                <w:szCs w:val="20"/>
                <w:color w:val="auto"/>
              </w:rPr>
            </w:pPr>
            <w:r>
              <w:rPr>
                <w:rFonts w:ascii="Arial" w:cs="Arial" w:eastAsia="Arial" w:hAnsi="Arial"/>
                <w:sz w:val="13"/>
                <w:szCs w:val="13"/>
                <w:color w:val="auto"/>
              </w:rPr>
              <w:t>Josef M. Müller</w:t>
            </w: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02)</w:t>
            </w:r>
          </w:p>
        </w:tc>
        <w:tc>
          <w:tcPr>
            <w:tcW w:w="1680" w:type="dxa"/>
            <w:vAlign w:val="bottom"/>
          </w:tcPr>
          <w:p>
            <w:pPr>
              <w:ind w:left="20"/>
              <w:spacing w:after="0"/>
              <w:rPr>
                <w:sz w:val="20"/>
                <w:szCs w:val="20"/>
                <w:color w:val="auto"/>
              </w:rPr>
            </w:pPr>
            <w:r>
              <w:rPr>
                <w:rFonts w:ascii="Arial" w:cs="Arial" w:eastAsia="Arial" w:hAnsi="Arial"/>
                <w:sz w:val="13"/>
                <w:szCs w:val="13"/>
                <w:color w:val="auto"/>
              </w:rPr>
              <w:t>Timothy J. Donahue</w:t>
            </w:r>
          </w:p>
        </w:tc>
        <w:tc>
          <w:tcPr>
            <w:tcW w:w="740" w:type="dxa"/>
            <w:vAlign w:val="bottom"/>
          </w:tcPr>
          <w:p>
            <w:pPr>
              <w:jc w:val="right"/>
              <w:spacing w:after="0"/>
              <w:rPr>
                <w:sz w:val="20"/>
                <w:szCs w:val="20"/>
                <w:color w:val="auto"/>
              </w:rPr>
            </w:pPr>
            <w:r>
              <w:rPr>
                <w:rFonts w:ascii="Arial" w:cs="Arial" w:eastAsia="Arial" w:hAnsi="Arial"/>
                <w:sz w:val="13"/>
                <w:szCs w:val="13"/>
                <w:color w:val="auto"/>
              </w:rPr>
              <w:t>09)</w:t>
            </w:r>
          </w:p>
        </w:tc>
        <w:tc>
          <w:tcPr>
            <w:tcW w:w="2580" w:type="dxa"/>
            <w:vAlign w:val="bottom"/>
          </w:tcPr>
          <w:p>
            <w:pPr>
              <w:ind w:left="20"/>
              <w:spacing w:after="0"/>
              <w:rPr>
                <w:sz w:val="20"/>
                <w:szCs w:val="20"/>
                <w:color w:val="auto"/>
              </w:rPr>
            </w:pPr>
            <w:r>
              <w:rPr>
                <w:rFonts w:ascii="Arial" w:cs="Arial" w:eastAsia="Arial" w:hAnsi="Arial"/>
                <w:sz w:val="13"/>
                <w:szCs w:val="13"/>
                <w:color w:val="auto"/>
              </w:rPr>
              <w:t>B. Craig Owens</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03)</w:t>
            </w:r>
          </w:p>
        </w:tc>
        <w:tc>
          <w:tcPr>
            <w:tcW w:w="1680" w:type="dxa"/>
            <w:vAlign w:val="bottom"/>
          </w:tcPr>
          <w:p>
            <w:pPr>
              <w:ind w:left="20"/>
              <w:spacing w:after="0"/>
              <w:rPr>
                <w:sz w:val="20"/>
                <w:szCs w:val="20"/>
                <w:color w:val="auto"/>
              </w:rPr>
            </w:pPr>
            <w:r>
              <w:rPr>
                <w:rFonts w:ascii="Arial" w:cs="Arial" w:eastAsia="Arial" w:hAnsi="Arial"/>
                <w:sz w:val="13"/>
                <w:szCs w:val="13"/>
                <w:color w:val="auto"/>
              </w:rPr>
              <w:t>Richard H. Fearon</w:t>
            </w: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2580" w:type="dxa"/>
            <w:vAlign w:val="bottom"/>
          </w:tcPr>
          <w:p>
            <w:pPr>
              <w:ind w:left="20"/>
              <w:spacing w:after="0"/>
              <w:rPr>
                <w:sz w:val="20"/>
                <w:szCs w:val="20"/>
                <w:color w:val="auto"/>
              </w:rPr>
            </w:pPr>
            <w:r>
              <w:rPr>
                <w:rFonts w:ascii="Arial" w:cs="Arial" w:eastAsia="Arial" w:hAnsi="Arial"/>
                <w:sz w:val="13"/>
                <w:szCs w:val="13"/>
                <w:color w:val="auto"/>
              </w:rPr>
              <w:t>Caesar F. Sweitzer</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04)</w:t>
            </w:r>
          </w:p>
        </w:tc>
        <w:tc>
          <w:tcPr>
            <w:tcW w:w="1680" w:type="dxa"/>
            <w:vAlign w:val="bottom"/>
          </w:tcPr>
          <w:p>
            <w:pPr>
              <w:ind w:left="20"/>
              <w:spacing w:after="0"/>
              <w:rPr>
                <w:sz w:val="20"/>
                <w:szCs w:val="20"/>
                <w:color w:val="auto"/>
              </w:rPr>
            </w:pPr>
            <w:r>
              <w:rPr>
                <w:rFonts w:ascii="Arial" w:cs="Arial" w:eastAsia="Arial" w:hAnsi="Arial"/>
                <w:sz w:val="13"/>
                <w:szCs w:val="13"/>
                <w:color w:val="auto"/>
              </w:rPr>
              <w:t>Andrea J. Funk</w:t>
            </w:r>
          </w:p>
        </w:tc>
        <w:tc>
          <w:tcPr>
            <w:tcW w:w="740" w:type="dxa"/>
            <w:vAlign w:val="bottom"/>
          </w:tcPr>
          <w:p>
            <w:pPr>
              <w:jc w:val="right"/>
              <w:spacing w:after="0"/>
              <w:rPr>
                <w:sz w:val="20"/>
                <w:szCs w:val="20"/>
                <w:color w:val="auto"/>
              </w:rPr>
            </w:pPr>
            <w:r>
              <w:rPr>
                <w:rFonts w:ascii="Arial" w:cs="Arial" w:eastAsia="Arial" w:hAnsi="Arial"/>
                <w:sz w:val="13"/>
                <w:szCs w:val="13"/>
                <w:color w:val="auto"/>
              </w:rPr>
              <w:t>11)</w:t>
            </w:r>
          </w:p>
        </w:tc>
        <w:tc>
          <w:tcPr>
            <w:tcW w:w="2580" w:type="dxa"/>
            <w:vAlign w:val="bottom"/>
          </w:tcPr>
          <w:p>
            <w:pPr>
              <w:ind w:left="20"/>
              <w:spacing w:after="0"/>
              <w:rPr>
                <w:sz w:val="20"/>
                <w:szCs w:val="20"/>
                <w:color w:val="auto"/>
              </w:rPr>
            </w:pPr>
            <w:r>
              <w:rPr>
                <w:rFonts w:ascii="Arial" w:cs="Arial" w:eastAsia="Arial" w:hAnsi="Arial"/>
                <w:sz w:val="13"/>
                <w:szCs w:val="13"/>
                <w:color w:val="auto"/>
              </w:rPr>
              <w:t>Jim L. Turner</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05)</w:t>
            </w:r>
          </w:p>
        </w:tc>
        <w:tc>
          <w:tcPr>
            <w:tcW w:w="1680" w:type="dxa"/>
            <w:vAlign w:val="bottom"/>
          </w:tcPr>
          <w:p>
            <w:pPr>
              <w:ind w:left="20"/>
              <w:spacing w:after="0"/>
              <w:rPr>
                <w:sz w:val="20"/>
                <w:szCs w:val="20"/>
                <w:color w:val="auto"/>
              </w:rPr>
            </w:pPr>
            <w:r>
              <w:rPr>
                <w:rFonts w:ascii="Arial" w:cs="Arial" w:eastAsia="Arial" w:hAnsi="Arial"/>
                <w:sz w:val="13"/>
                <w:szCs w:val="13"/>
                <w:color w:val="auto"/>
              </w:rPr>
              <w:t>Stephen J. Hagge</w:t>
            </w: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2580" w:type="dxa"/>
            <w:vAlign w:val="bottom"/>
          </w:tcPr>
          <w:p>
            <w:pPr>
              <w:ind w:left="20"/>
              <w:spacing w:after="0"/>
              <w:rPr>
                <w:sz w:val="20"/>
                <w:szCs w:val="20"/>
                <w:color w:val="auto"/>
              </w:rPr>
            </w:pPr>
            <w:r>
              <w:rPr>
                <w:rFonts w:ascii="Arial" w:cs="Arial" w:eastAsia="Arial" w:hAnsi="Arial"/>
                <w:sz w:val="13"/>
                <w:szCs w:val="13"/>
                <w:color w:val="auto"/>
              </w:rPr>
              <w:t>William S. Urkiel</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06)</w:t>
            </w:r>
          </w:p>
        </w:tc>
        <w:tc>
          <w:tcPr>
            <w:tcW w:w="1680" w:type="dxa"/>
            <w:vAlign w:val="bottom"/>
          </w:tcPr>
          <w:p>
            <w:pPr>
              <w:ind w:left="20"/>
              <w:spacing w:after="0"/>
              <w:rPr>
                <w:sz w:val="20"/>
                <w:szCs w:val="20"/>
                <w:color w:val="auto"/>
              </w:rPr>
            </w:pPr>
            <w:r>
              <w:rPr>
                <w:rFonts w:ascii="Arial" w:cs="Arial" w:eastAsia="Arial" w:hAnsi="Arial"/>
                <w:sz w:val="13"/>
                <w:szCs w:val="13"/>
                <w:color w:val="auto"/>
              </w:rPr>
              <w:t>Rose Lee</w:t>
            </w:r>
          </w:p>
        </w:tc>
        <w:tc>
          <w:tcPr>
            <w:tcW w:w="740" w:type="dxa"/>
            <w:vAlign w:val="bottom"/>
          </w:tcPr>
          <w:p>
            <w:pPr>
              <w:jc w:val="right"/>
              <w:spacing w:after="0"/>
              <w:rPr>
                <w:sz w:val="20"/>
                <w:szCs w:val="20"/>
                <w:color w:val="auto"/>
              </w:rPr>
            </w:pPr>
            <w:r>
              <w:rPr>
                <w:rFonts w:ascii="Arial" w:cs="Arial" w:eastAsia="Arial" w:hAnsi="Arial"/>
                <w:sz w:val="13"/>
                <w:szCs w:val="13"/>
                <w:color w:val="auto"/>
              </w:rPr>
              <w:t>13)</w:t>
            </w:r>
          </w:p>
        </w:tc>
        <w:tc>
          <w:tcPr>
            <w:tcW w:w="2580" w:type="dxa"/>
            <w:vAlign w:val="bottom"/>
          </w:tcPr>
          <w:p>
            <w:pPr>
              <w:ind w:left="20"/>
              <w:spacing w:after="0"/>
              <w:rPr>
                <w:sz w:val="20"/>
                <w:szCs w:val="20"/>
                <w:color w:val="auto"/>
              </w:rPr>
            </w:pPr>
            <w:r>
              <w:rPr>
                <w:rFonts w:ascii="Arial" w:cs="Arial" w:eastAsia="Arial" w:hAnsi="Arial"/>
                <w:sz w:val="13"/>
                <w:szCs w:val="13"/>
                <w:color w:val="auto"/>
              </w:rPr>
              <w:t>Dwayne A. Wilson</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w w:val="95"/>
              </w:rPr>
              <w:t>07)</w:t>
            </w:r>
          </w:p>
        </w:tc>
        <w:tc>
          <w:tcPr>
            <w:tcW w:w="1680" w:type="dxa"/>
            <w:vAlign w:val="bottom"/>
          </w:tcPr>
          <w:p>
            <w:pPr>
              <w:ind w:left="20"/>
              <w:spacing w:after="0"/>
              <w:rPr>
                <w:sz w:val="20"/>
                <w:szCs w:val="20"/>
                <w:color w:val="auto"/>
              </w:rPr>
            </w:pPr>
            <w:r>
              <w:rPr>
                <w:rFonts w:ascii="Arial" w:cs="Arial" w:eastAsia="Arial" w:hAnsi="Arial"/>
                <w:sz w:val="13"/>
                <w:szCs w:val="13"/>
                <w:color w:val="auto"/>
              </w:rPr>
              <w:t>James H. Miller</w:t>
            </w:r>
          </w:p>
        </w:tc>
        <w:tc>
          <w:tcPr>
            <w:tcW w:w="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tbl>
      <w:tblPr>
        <w:tblLayout w:type="fixed"/>
        <w:tblInd w:w="110" w:type="dxa"/>
        <w:tblCellMar>
          <w:top w:w="0" w:type="dxa"/>
          <w:left w:w="0" w:type="dxa"/>
          <w:bottom w:w="0" w:type="dxa"/>
          <w:right w:w="0" w:type="dxa"/>
        </w:tblCellMar>
      </w:tblPr>
      <w:tr>
        <w:trPr>
          <w:trHeight w:val="168"/>
        </w:trPr>
        <w:tc>
          <w:tcPr>
            <w:tcW w:w="5740" w:type="dxa"/>
            <w:vAlign w:val="bottom"/>
            <w:gridSpan w:val="5"/>
          </w:tcPr>
          <w:p>
            <w:pPr>
              <w:spacing w:after="0"/>
              <w:rPr>
                <w:sz w:val="20"/>
                <w:szCs w:val="20"/>
                <w:color w:val="auto"/>
              </w:rPr>
            </w:pPr>
            <w:r>
              <w:rPr>
                <w:rFonts w:ascii="Arial" w:cs="Arial" w:eastAsia="Arial" w:hAnsi="Arial"/>
                <w:sz w:val="13"/>
                <w:szCs w:val="13"/>
                <w:b w:val="1"/>
                <w:bCs w:val="1"/>
                <w:color w:val="363435"/>
              </w:rPr>
              <w:t>The Board of Directors Recommends a Vote FOR Items 2 and 3.</w:t>
            </w: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center"/>
              <w:ind w:left="57"/>
              <w:spacing w:after="0"/>
              <w:rPr>
                <w:sz w:val="20"/>
                <w:szCs w:val="20"/>
                <w:color w:val="auto"/>
              </w:rPr>
            </w:pPr>
            <w:r>
              <w:rPr>
                <w:rFonts w:ascii="Arial" w:cs="Arial" w:eastAsia="Arial" w:hAnsi="Arial"/>
                <w:sz w:val="13"/>
                <w:szCs w:val="13"/>
                <w:color w:val="auto"/>
                <w:w w:val="92"/>
              </w:rPr>
              <w:t>For</w:t>
            </w:r>
          </w:p>
        </w:tc>
        <w:tc>
          <w:tcPr>
            <w:tcW w:w="640" w:type="dxa"/>
            <w:vAlign w:val="bottom"/>
            <w:gridSpan w:val="2"/>
          </w:tcPr>
          <w:p>
            <w:pPr>
              <w:jc w:val="center"/>
              <w:ind w:right="20"/>
              <w:spacing w:after="0"/>
              <w:rPr>
                <w:sz w:val="20"/>
                <w:szCs w:val="20"/>
                <w:color w:val="auto"/>
              </w:rPr>
            </w:pPr>
            <w:r>
              <w:rPr>
                <w:rFonts w:ascii="Arial" w:cs="Arial" w:eastAsia="Arial" w:hAnsi="Arial"/>
                <w:sz w:val="13"/>
                <w:szCs w:val="13"/>
                <w:color w:val="auto"/>
                <w:w w:val="96"/>
              </w:rPr>
              <w:t>Against</w:t>
            </w:r>
          </w:p>
        </w:tc>
        <w:tc>
          <w:tcPr>
            <w:tcW w:w="540" w:type="dxa"/>
            <w:vAlign w:val="bottom"/>
          </w:tcPr>
          <w:p>
            <w:pPr>
              <w:jc w:val="center"/>
              <w:ind w:left="57"/>
              <w:spacing w:after="0"/>
              <w:rPr>
                <w:sz w:val="20"/>
                <w:szCs w:val="20"/>
                <w:color w:val="auto"/>
              </w:rPr>
            </w:pPr>
            <w:r>
              <w:rPr>
                <w:rFonts w:ascii="Arial" w:cs="Arial" w:eastAsia="Arial" w:hAnsi="Arial"/>
                <w:sz w:val="13"/>
                <w:szCs w:val="13"/>
                <w:color w:val="auto"/>
                <w:w w:val="96"/>
              </w:rPr>
              <w:t>Abstain</w:t>
            </w:r>
          </w:p>
        </w:tc>
        <w:tc>
          <w:tcPr>
            <w:tcW w:w="0" w:type="dxa"/>
            <w:vAlign w:val="bottom"/>
          </w:tcPr>
          <w:p>
            <w:pPr>
              <w:spacing w:after="0"/>
              <w:rPr>
                <w:sz w:val="1"/>
                <w:szCs w:val="1"/>
                <w:color w:val="auto"/>
              </w:rPr>
            </w:pPr>
          </w:p>
        </w:tc>
      </w:tr>
      <w:tr>
        <w:trPr>
          <w:trHeight w:val="324"/>
        </w:trPr>
        <w:tc>
          <w:tcPr>
            <w:tcW w:w="220" w:type="dxa"/>
            <w:vAlign w:val="bottom"/>
            <w:vMerge w:val="restart"/>
          </w:tcPr>
          <w:p>
            <w:pPr>
              <w:spacing w:after="0"/>
              <w:rPr>
                <w:sz w:val="20"/>
                <w:szCs w:val="20"/>
                <w:color w:val="auto"/>
              </w:rPr>
            </w:pPr>
            <w:r>
              <w:rPr>
                <w:rFonts w:ascii="Arial" w:cs="Arial" w:eastAsia="Arial" w:hAnsi="Arial"/>
                <w:sz w:val="13"/>
                <w:szCs w:val="13"/>
                <w:b w:val="1"/>
                <w:bCs w:val="1"/>
                <w:color w:val="auto"/>
              </w:rPr>
              <w:t>2.</w:t>
            </w:r>
          </w:p>
        </w:tc>
        <w:tc>
          <w:tcPr>
            <w:tcW w:w="7940" w:type="dxa"/>
            <w:vAlign w:val="bottom"/>
            <w:gridSpan w:val="6"/>
            <w:vMerge w:val="restart"/>
          </w:tcPr>
          <w:p>
            <w:pPr>
              <w:ind w:left="120"/>
              <w:spacing w:after="0"/>
              <w:rPr>
                <w:sz w:val="20"/>
                <w:szCs w:val="20"/>
                <w:color w:val="auto"/>
              </w:rPr>
            </w:pPr>
            <w:r>
              <w:rPr>
                <w:rFonts w:ascii="Arial" w:cs="Arial" w:eastAsia="Arial" w:hAnsi="Arial"/>
                <w:sz w:val="13"/>
                <w:szCs w:val="13"/>
                <w:color w:val="auto"/>
              </w:rPr>
              <w:t>Ratification of the appointment of independent auditors for the fiscal year ending December 31, 2020</w:t>
            </w:r>
          </w:p>
        </w:tc>
        <w:tc>
          <w:tcPr>
            <w:tcW w:w="1040" w:type="dxa"/>
            <w:vAlign w:val="bottom"/>
          </w:tcPr>
          <w:p>
            <w:pPr>
              <w:spacing w:after="0"/>
              <w:rPr>
                <w:sz w:val="24"/>
                <w:szCs w:val="24"/>
                <w:color w:val="auto"/>
              </w:rPr>
            </w:pPr>
          </w:p>
        </w:tc>
        <w:tc>
          <w:tcPr>
            <w:tcW w:w="500" w:type="dxa"/>
            <w:vAlign w:val="bottom"/>
          </w:tcPr>
          <w:p>
            <w:pPr>
              <w:jc w:val="center"/>
              <w:ind w:left="57"/>
              <w:spacing w:after="0"/>
              <w:rPr>
                <w:sz w:val="20"/>
                <w:szCs w:val="20"/>
                <w:color w:val="auto"/>
              </w:rPr>
            </w:pPr>
            <w:r>
              <w:rPr>
                <w:rFonts w:ascii="Arial" w:cs="Arial" w:eastAsia="Arial" w:hAnsi="Arial"/>
                <w:sz w:val="13"/>
                <w:szCs w:val="13"/>
                <w:color w:val="auto"/>
                <w:w w:val="75"/>
              </w:rPr>
              <w:t>□</w:t>
            </w:r>
          </w:p>
        </w:tc>
        <w:tc>
          <w:tcPr>
            <w:tcW w:w="64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540" w:type="dxa"/>
            <w:vAlign w:val="bottom"/>
          </w:tcPr>
          <w:p>
            <w:pPr>
              <w:jc w:val="center"/>
              <w:ind w:lef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7940" w:type="dxa"/>
            <w:vAlign w:val="bottom"/>
            <w:gridSpan w:val="6"/>
            <w:vMerge w:val="continue"/>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restart"/>
          </w:tcPr>
          <w:p>
            <w:pPr>
              <w:spacing w:after="0"/>
              <w:rPr>
                <w:sz w:val="20"/>
                <w:szCs w:val="20"/>
                <w:color w:val="auto"/>
              </w:rPr>
            </w:pPr>
            <w:r>
              <w:rPr>
                <w:rFonts w:ascii="Arial" w:cs="Arial" w:eastAsia="Arial" w:hAnsi="Arial"/>
                <w:sz w:val="13"/>
                <w:szCs w:val="13"/>
                <w:b w:val="1"/>
                <w:bCs w:val="1"/>
                <w:color w:val="auto"/>
              </w:rPr>
              <w:t>3.</w:t>
            </w:r>
          </w:p>
        </w:tc>
        <w:tc>
          <w:tcPr>
            <w:tcW w:w="7940" w:type="dxa"/>
            <w:vAlign w:val="bottom"/>
            <w:gridSpan w:val="6"/>
            <w:vMerge w:val="restart"/>
          </w:tcPr>
          <w:p>
            <w:pPr>
              <w:ind w:left="120"/>
              <w:spacing w:after="0"/>
              <w:rPr>
                <w:sz w:val="20"/>
                <w:szCs w:val="20"/>
                <w:color w:val="auto"/>
              </w:rPr>
            </w:pPr>
            <w:r>
              <w:rPr>
                <w:rFonts w:ascii="Arial" w:cs="Arial" w:eastAsia="Arial" w:hAnsi="Arial"/>
                <w:sz w:val="13"/>
                <w:szCs w:val="13"/>
                <w:color w:val="auto"/>
              </w:rPr>
              <w:t>Approval by advisory vote of the resolution on executive compensation as described in the Proxy Statement.</w:t>
            </w:r>
          </w:p>
        </w:tc>
        <w:tc>
          <w:tcPr>
            <w:tcW w:w="1040" w:type="dxa"/>
            <w:vAlign w:val="bottom"/>
          </w:tcPr>
          <w:p>
            <w:pPr>
              <w:spacing w:after="0"/>
              <w:rPr>
                <w:sz w:val="18"/>
                <w:szCs w:val="18"/>
                <w:color w:val="auto"/>
              </w:rPr>
            </w:pPr>
          </w:p>
        </w:tc>
        <w:tc>
          <w:tcPr>
            <w:tcW w:w="500" w:type="dxa"/>
            <w:vAlign w:val="bottom"/>
          </w:tcPr>
          <w:p>
            <w:pPr>
              <w:jc w:val="center"/>
              <w:ind w:left="57"/>
              <w:spacing w:after="0"/>
              <w:rPr>
                <w:sz w:val="20"/>
                <w:szCs w:val="20"/>
                <w:color w:val="auto"/>
              </w:rPr>
            </w:pPr>
            <w:r>
              <w:rPr>
                <w:rFonts w:ascii="Arial" w:cs="Arial" w:eastAsia="Arial" w:hAnsi="Arial"/>
                <w:sz w:val="13"/>
                <w:szCs w:val="13"/>
                <w:color w:val="auto"/>
                <w:w w:val="75"/>
              </w:rPr>
              <w:t>□</w:t>
            </w:r>
          </w:p>
        </w:tc>
        <w:tc>
          <w:tcPr>
            <w:tcW w:w="64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540" w:type="dxa"/>
            <w:vAlign w:val="bottom"/>
          </w:tcPr>
          <w:p>
            <w:pPr>
              <w:jc w:val="center"/>
              <w:ind w:lef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20" w:type="dxa"/>
            <w:vAlign w:val="bottom"/>
            <w:vMerge w:val="continue"/>
          </w:tcPr>
          <w:p>
            <w:pPr>
              <w:spacing w:after="0"/>
              <w:rPr>
                <w:sz w:val="9"/>
                <w:szCs w:val="9"/>
                <w:color w:val="auto"/>
              </w:rPr>
            </w:pPr>
          </w:p>
        </w:tc>
        <w:tc>
          <w:tcPr>
            <w:tcW w:w="7940" w:type="dxa"/>
            <w:vAlign w:val="bottom"/>
            <w:gridSpan w:val="6"/>
            <w:vMerge w:val="continue"/>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700" w:type="dxa"/>
            <w:vAlign w:val="bottom"/>
            <w:gridSpan w:val="9"/>
          </w:tcPr>
          <w:p>
            <w:pPr>
              <w:spacing w:after="0"/>
              <w:rPr>
                <w:sz w:val="20"/>
                <w:szCs w:val="20"/>
                <w:color w:val="auto"/>
              </w:rPr>
            </w:pPr>
            <w:r>
              <w:rPr>
                <w:rFonts w:ascii="Arial" w:cs="Arial" w:eastAsia="Arial" w:hAnsi="Arial"/>
                <w:sz w:val="13"/>
                <w:szCs w:val="13"/>
                <w:b w:val="1"/>
                <w:bCs w:val="1"/>
                <w:color w:val="auto"/>
              </w:rPr>
              <w:t>THIS PROXY, WHEN PROPERLY EXECUTED, WILL BE VOTED AS DIRECTED OR, IF NO DIRECTION IS GIVEN, WILL BE VOTED FOR ITEMS 1 THROUGH 3.</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5740" w:type="dxa"/>
            <w:vAlign w:val="bottom"/>
            <w:gridSpan w:val="5"/>
          </w:tcPr>
          <w:p>
            <w:pPr>
              <w:ind w:left="20"/>
              <w:spacing w:after="0"/>
              <w:rPr>
                <w:sz w:val="20"/>
                <w:szCs w:val="20"/>
                <w:color w:val="auto"/>
              </w:rPr>
            </w:pPr>
            <w:r>
              <w:rPr>
                <w:rFonts w:ascii="Arial" w:cs="Arial" w:eastAsia="Arial" w:hAnsi="Arial"/>
                <w:sz w:val="13"/>
                <w:szCs w:val="13"/>
                <w:color w:val="363435"/>
                <w:w w:val="96"/>
              </w:rPr>
              <w:t>Please sign exactly as your name(s) appear(s) on the Proxy. If held in joint tenancy, all persons should</w:t>
            </w: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740" w:type="dxa"/>
            <w:vAlign w:val="bottom"/>
            <w:gridSpan w:val="5"/>
          </w:tcPr>
          <w:p>
            <w:pPr>
              <w:ind w:left="20"/>
              <w:spacing w:after="0" w:line="122" w:lineRule="exact"/>
              <w:rPr>
                <w:sz w:val="20"/>
                <w:szCs w:val="20"/>
                <w:color w:val="auto"/>
              </w:rPr>
            </w:pPr>
            <w:r>
              <w:rPr>
                <w:rFonts w:ascii="Arial" w:cs="Arial" w:eastAsia="Arial" w:hAnsi="Arial"/>
                <w:sz w:val="13"/>
                <w:szCs w:val="13"/>
                <w:color w:val="363435"/>
                <w:w w:val="97"/>
              </w:rPr>
              <w:t>sign. Trustees, administrators, etc., should include title and authority. Corporations should provide full</w:t>
            </w:r>
          </w:p>
        </w:tc>
        <w:tc>
          <w:tcPr>
            <w:tcW w:w="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5740" w:type="dxa"/>
            <w:vAlign w:val="bottom"/>
            <w:gridSpan w:val="5"/>
          </w:tcPr>
          <w:p>
            <w:pPr>
              <w:ind w:left="20"/>
              <w:spacing w:after="0"/>
              <w:rPr>
                <w:sz w:val="20"/>
                <w:szCs w:val="20"/>
                <w:color w:val="auto"/>
              </w:rPr>
            </w:pPr>
            <w:r>
              <w:rPr>
                <w:rFonts w:ascii="Arial" w:cs="Arial" w:eastAsia="Arial" w:hAnsi="Arial"/>
                <w:sz w:val="13"/>
                <w:szCs w:val="13"/>
                <w:color w:val="363435"/>
              </w:rPr>
              <w:t>name of corporation and title of authorized officer signing the Proxy.</w:t>
            </w:r>
          </w:p>
        </w:tc>
        <w:tc>
          <w:tcPr>
            <w:tcW w:w="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0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20" w:type="dxa"/>
            <w:vAlign w:val="bottom"/>
            <w:tcBorders>
              <w:left w:val="single" w:sz="8" w:color="auto"/>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020" w:type="dxa"/>
            <w:vAlign w:val="bottom"/>
            <w:gridSpan w:val="2"/>
          </w:tcPr>
          <w:p>
            <w:pPr>
              <w:spacing w:after="0"/>
              <w:rPr>
                <w:sz w:val="20"/>
                <w:szCs w:val="20"/>
                <w:color w:val="auto"/>
              </w:rPr>
            </w:pPr>
            <w:r>
              <w:rPr>
                <w:rFonts w:ascii="Arial" w:cs="Arial" w:eastAsia="Arial" w:hAnsi="Arial"/>
                <w:sz w:val="13"/>
                <w:szCs w:val="13"/>
                <w:color w:val="363435"/>
              </w:rPr>
              <w:t>Signature [PLEASE SIGN WITHIN BOX]</w:t>
            </w:r>
          </w:p>
        </w:tc>
        <w:tc>
          <w:tcPr>
            <w:tcW w:w="2720" w:type="dxa"/>
            <w:vAlign w:val="bottom"/>
            <w:gridSpan w:val="3"/>
          </w:tcPr>
          <w:p>
            <w:pPr>
              <w:ind w:left="740"/>
              <w:spacing w:after="0"/>
              <w:rPr>
                <w:sz w:val="20"/>
                <w:szCs w:val="20"/>
                <w:color w:val="auto"/>
              </w:rPr>
            </w:pPr>
            <w:r>
              <w:rPr>
                <w:rFonts w:ascii="Arial" w:cs="Arial" w:eastAsia="Arial" w:hAnsi="Arial"/>
                <w:sz w:val="13"/>
                <w:szCs w:val="13"/>
                <w:color w:val="auto"/>
              </w:rPr>
              <w:t>Date</w:t>
            </w:r>
          </w:p>
        </w:tc>
        <w:tc>
          <w:tcPr>
            <w:tcW w:w="2420" w:type="dxa"/>
            <w:vAlign w:val="bottom"/>
            <w:gridSpan w:val="2"/>
          </w:tcPr>
          <w:p>
            <w:pPr>
              <w:ind w:left="20"/>
              <w:spacing w:after="0"/>
              <w:rPr>
                <w:sz w:val="20"/>
                <w:szCs w:val="20"/>
                <w:color w:val="auto"/>
              </w:rPr>
            </w:pPr>
            <w:r>
              <w:rPr>
                <w:rFonts w:ascii="Arial" w:cs="Arial" w:eastAsia="Arial" w:hAnsi="Arial"/>
                <w:sz w:val="13"/>
                <w:szCs w:val="13"/>
                <w:color w:val="363435"/>
              </w:rPr>
              <w:t>Signature (Joint Owners)</w:t>
            </w:r>
          </w:p>
        </w:tc>
        <w:tc>
          <w:tcPr>
            <w:tcW w:w="1540" w:type="dxa"/>
            <w:vAlign w:val="bottom"/>
            <w:gridSpan w:val="2"/>
          </w:tcPr>
          <w:p>
            <w:pPr>
              <w:ind w:left="1020"/>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2" w:right="339" w:bottom="1440" w:gutter="0" w:footer="0" w:header="0"/>
          <w:type w:val="continuous"/>
        </w:sectPr>
      </w:pPr>
    </w:p>
    <w:bookmarkStart w:id="70" w:name="page71"/>
    <w:bookmarkEnd w:id="70"/>
    <w:p>
      <w:pPr>
        <w:jc w:val="center"/>
        <w:ind w:right="180"/>
        <w:spacing w:after="0"/>
        <w:rPr>
          <w:sz w:val="20"/>
          <w:szCs w:val="20"/>
          <w:color w:val="auto"/>
        </w:rPr>
      </w:pPr>
      <w:r>
        <w:rPr>
          <w:rFonts w:ascii="Arial" w:cs="Arial" w:eastAsia="Arial" w:hAnsi="Arial"/>
          <w:sz w:val="22"/>
          <w:szCs w:val="22"/>
          <w:b w:val="1"/>
          <w:bCs w:val="1"/>
          <w:color w:val="363435"/>
        </w:rPr>
        <w:t>CROWN HOLDINGS, INC.</w:t>
      </w:r>
    </w:p>
    <w:p>
      <w:pPr>
        <w:spacing w:after="0" w:line="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363435"/>
        </w:rPr>
        <w:t>The 2021 Annual Meeting of Shareholders will be held</w:t>
      </w:r>
    </w:p>
    <w:p>
      <w:pPr>
        <w:jc w:val="center"/>
        <w:ind w:right="240"/>
        <w:spacing w:after="0" w:line="230" w:lineRule="auto"/>
        <w:rPr>
          <w:sz w:val="20"/>
          <w:szCs w:val="20"/>
          <w:color w:val="auto"/>
        </w:rPr>
      </w:pPr>
      <w:r>
        <w:rPr>
          <w:rFonts w:ascii="Arial" w:cs="Arial" w:eastAsia="Arial" w:hAnsi="Arial"/>
          <w:sz w:val="22"/>
          <w:szCs w:val="22"/>
          <w:b w:val="1"/>
          <w:bCs w:val="1"/>
          <w:color w:val="363435"/>
        </w:rPr>
        <w:t>on April 22, 2021 at 9:30 a.m. at:</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363435"/>
        </w:rPr>
        <w:t>www.virtualshareholdermeeting.com/CCK2021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363435"/>
        </w:rPr>
        <w:t>Important Notice Regarding the Availability of Proxy Materials for the Annual Meeting:</w:t>
      </w:r>
    </w:p>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363435"/>
        </w:rPr>
        <w:t>The Proxy Statement relating to the Annual Meeting of Shareholders, Proxy Card and Annual Report to</w:t>
      </w:r>
    </w:p>
    <w:p>
      <w:pPr>
        <w:jc w:val="center"/>
        <w:ind w:right="180"/>
        <w:spacing w:after="0"/>
        <w:rPr>
          <w:sz w:val="20"/>
          <w:szCs w:val="20"/>
          <w:color w:val="auto"/>
        </w:rPr>
      </w:pPr>
      <w:r>
        <w:rPr>
          <w:rFonts w:ascii="Arial" w:cs="Arial" w:eastAsia="Arial" w:hAnsi="Arial"/>
          <w:sz w:val="18"/>
          <w:szCs w:val="18"/>
          <w:color w:val="363435"/>
        </w:rPr>
        <w:t>Shareholders are available at www.crowncork.com/investors/proxy-online.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1789430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D33409-P49191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18415</wp:posOffset>
            </wp:positionV>
            <wp:extent cx="7118985" cy="3741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985" cy="3741420"/>
                    </a:xfrm>
                    <a:prstGeom prst="rect">
                      <a:avLst/>
                    </a:prstGeom>
                    <a:noFill/>
                  </pic:spPr>
                </pic:pic>
              </a:graphicData>
            </a:graphic>
          </wp:anchor>
        </w:drawing>
      </w:r>
    </w:p>
    <w:p>
      <w:pPr>
        <w:spacing w:after="0" w:line="35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363435"/>
        </w:rPr>
        <w:t>Crown Holdings, Inc.</w:t>
      </w:r>
    </w:p>
    <w:p>
      <w:pPr>
        <w:ind w:left="3560"/>
        <w:spacing w:after="0" w:line="196" w:lineRule="auto"/>
        <w:tabs>
          <w:tab w:leader="none" w:pos="10160" w:val="left"/>
        </w:tabs>
        <w:rPr>
          <w:sz w:val="20"/>
          <w:szCs w:val="20"/>
          <w:color w:val="auto"/>
        </w:rPr>
      </w:pPr>
      <w:r>
        <w:rPr>
          <w:rFonts w:ascii="Arial" w:cs="Arial" w:eastAsia="Arial" w:hAnsi="Arial"/>
          <w:sz w:val="17"/>
          <w:szCs w:val="17"/>
          <w:b w:val="1"/>
          <w:bCs w:val="1"/>
          <w:color w:val="363435"/>
        </w:rPr>
        <w:t>www.virtualshareholdermeeting.com/CCK2021</w:t>
      </w:r>
      <w:r>
        <w:rPr>
          <w:sz w:val="20"/>
          <w:szCs w:val="20"/>
          <w:color w:val="auto"/>
        </w:rPr>
        <w:tab/>
      </w:r>
      <w:r>
        <w:rPr>
          <w:rFonts w:ascii="Arial" w:cs="Arial" w:eastAsia="Arial" w:hAnsi="Arial"/>
          <w:sz w:val="35"/>
          <w:szCs w:val="35"/>
          <w:b w:val="1"/>
          <w:bCs w:val="1"/>
          <w:color w:val="363435"/>
          <w:vertAlign w:val="subscript"/>
        </w:rPr>
        <w:t>PROXY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363435"/>
        </w:rPr>
        <w:t>Proxy for Annual Meeting of Shareholders to be held on April 22, 2021</w:t>
      </w:r>
    </w:p>
    <w:p>
      <w:pPr>
        <w:spacing w:after="0" w:line="260"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363435"/>
        </w:rPr>
        <w:t>This proxy is solicited on behalf of the Board of Directors.</w:t>
      </w:r>
    </w:p>
    <w:p>
      <w:pPr>
        <w:spacing w:after="0" w:line="224" w:lineRule="exact"/>
        <w:rPr>
          <w:sz w:val="20"/>
          <w:szCs w:val="20"/>
          <w:color w:val="auto"/>
        </w:rPr>
      </w:pPr>
    </w:p>
    <w:p>
      <w:pPr>
        <w:jc w:val="both"/>
        <w:ind w:right="200"/>
        <w:spacing w:after="0" w:line="211" w:lineRule="auto"/>
        <w:rPr>
          <w:sz w:val="20"/>
          <w:szCs w:val="20"/>
          <w:color w:val="auto"/>
        </w:rPr>
      </w:pPr>
      <w:r>
        <w:rPr>
          <w:rFonts w:ascii="Arial" w:cs="Arial" w:eastAsia="Arial" w:hAnsi="Arial"/>
          <w:sz w:val="18"/>
          <w:szCs w:val="18"/>
          <w:color w:val="363435"/>
        </w:rPr>
        <w:t xml:space="preserve">The undersigned hereby appoints Timothy J. Donahue, Thomas A. Kelly and Adam J. Dickstein as Proxy Holders, each with the power to appoint his substitute, and hereby authorizes them to represent and to vote, as designated on the reverse side, all the shares of stock of Crown Holdings, Inc. held of record by the undersigned on March 2, 2021 at the Annual Meeting of Shareholders to be held at </w:t>
      </w:r>
      <w:r>
        <w:rPr>
          <w:rFonts w:ascii="Arial" w:cs="Arial" w:eastAsia="Arial" w:hAnsi="Arial"/>
          <w:sz w:val="18"/>
          <w:szCs w:val="18"/>
          <w:u w:val="single" w:color="auto"/>
          <w:color w:val="363435"/>
        </w:rPr>
        <w:t>www.virtualshareholdermeeting.com/CCK2021</w:t>
      </w:r>
      <w:r>
        <w:rPr>
          <w:rFonts w:ascii="Arial" w:cs="Arial" w:eastAsia="Arial" w:hAnsi="Arial"/>
          <w:sz w:val="18"/>
          <w:szCs w:val="18"/>
          <w:color w:val="363435"/>
        </w:rPr>
        <w:t xml:space="preserve"> on April 22, 2021 at 9:30 a.m., or any adjournments thereof, for the items shown on the reverse side and, in the discretion of the Proxy Holders, on any other matter that may properly come before the meeting or any adjournments thereof.</w:t>
      </w:r>
    </w:p>
    <w:p>
      <w:pPr>
        <w:spacing w:after="0" w:line="191"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color w:val="363435"/>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363435"/>
        </w:rPr>
        <w:t>See reverse for voting instructions.</w:t>
      </w:r>
    </w:p>
    <w:sectPr>
      <w:pgSz w:w="11900" w:h="16838" w:orient="portrait"/>
      <w:cols w:equalWidth="0" w:num="1">
        <w:col w:w="11040"/>
      </w:cols>
      <w:pgMar w:left="5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2)"/>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endash "/>
      <w:numFmt w:val="bullet"/>
      <w:start w:val="1"/>
    </w:lvl>
  </w:abstractNum>
  <w:abstractNum w:abstractNumId="8">
    <w:nsid w:val="836C40E"/>
    <w:multiLevelType w:val="hybridMultilevel"/>
    <w:lvl w:ilvl="0">
      <w:lvlJc w:val="left"/>
      <w:lvlText w:val="1"/>
      <w:numFmt w:val="bullet"/>
      <w:start w:val="1"/>
    </w:lvl>
  </w:abstractNum>
  <w:abstractNum w:abstractNumId="9">
    <w:nsid w:val="2901D82"/>
    <w:multiLevelType w:val="hybridMultilevel"/>
    <w:lvl w:ilvl="0">
      <w:lvlJc w:val="left"/>
      <w:lvlText w:val="ü"/>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ü"/>
      <w:numFmt w:val="bullet"/>
      <w:start w:val="1"/>
    </w:lvl>
  </w:abstractNum>
  <w:abstractNum w:abstractNumId="15">
    <w:nsid w:val="6CEAF087"/>
    <w:multiLevelType w:val="hybridMultilevel"/>
    <w:lvl w:ilvl="0">
      <w:lvlJc w:val="left"/>
      <w:lvlText w:val="û"/>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4"/>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3"/>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2021-03-15T12:05:33Z</dcterms:created>
  <dcterms:modified xsi:type="dcterms:W3CDTF">2021-03-15T12:05:33Z</dcterms:modified>
</cp:coreProperties>
</file>