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820" w:type="dxa"/>
        <w:tblCellMar>
          <w:top w:w="0" w:type="dxa"/>
          <w:left w:w="0" w:type="dxa"/>
          <w:bottom w:w="0" w:type="dxa"/>
          <w:right w:w="0" w:type="dxa"/>
        </w:tblCellMar>
      </w:tblPr>
      <w:tr>
        <w:trPr>
          <w:trHeight w:val="212"/>
        </w:trPr>
        <w:tc>
          <w:tcPr>
            <w:tcW w:w="3240" w:type="dxa"/>
            <w:vAlign w:val="bottom"/>
          </w:tcPr>
          <w:p>
            <w:pPr>
              <w:jc w:val="center"/>
              <w:ind w:right="1062"/>
              <w:spacing w:after="0"/>
              <w:rPr>
                <w:sz w:val="20"/>
                <w:szCs w:val="20"/>
                <w:color w:val="auto"/>
              </w:rPr>
            </w:pPr>
            <w:r>
              <w:rPr>
                <w:rFonts w:ascii="Arial" w:cs="Arial" w:eastAsia="Arial" w:hAnsi="Arial"/>
                <w:sz w:val="18"/>
                <w:szCs w:val="18"/>
                <w:b w:val="1"/>
                <w:bCs w:val="1"/>
                <w:color w:val="auto"/>
                <w:w w:val="88"/>
              </w:rPr>
              <w:t>Pennsylvania</w:t>
            </w:r>
          </w:p>
        </w:tc>
        <w:tc>
          <w:tcPr>
            <w:tcW w:w="3300" w:type="dxa"/>
            <w:vAlign w:val="bottom"/>
          </w:tcPr>
          <w:p>
            <w:pPr>
              <w:ind w:left="1160"/>
              <w:spacing w:after="0"/>
              <w:rPr>
                <w:sz w:val="20"/>
                <w:szCs w:val="20"/>
                <w:color w:val="auto"/>
              </w:rPr>
            </w:pPr>
            <w:r>
              <w:rPr>
                <w:rFonts w:ascii="Arial" w:cs="Arial" w:eastAsia="Arial" w:hAnsi="Arial"/>
                <w:sz w:val="18"/>
                <w:szCs w:val="18"/>
                <w:b w:val="1"/>
                <w:bCs w:val="1"/>
                <w:color w:val="auto"/>
              </w:rPr>
              <w:t>001-41550</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75-3099507</w:t>
            </w:r>
          </w:p>
        </w:tc>
      </w:tr>
      <w:tr>
        <w:trPr>
          <w:trHeight w:val="148"/>
        </w:trPr>
        <w:tc>
          <w:tcPr>
            <w:tcW w:w="3240" w:type="dxa"/>
            <w:vAlign w:val="bottom"/>
          </w:tcPr>
          <w:p>
            <w:pPr>
              <w:jc w:val="center"/>
              <w:ind w:right="10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00" w:type="dxa"/>
            <w:vAlign w:val="bottom"/>
          </w:tcPr>
          <w:p>
            <w:pPr>
              <w:ind w:left="1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40" w:type="dxa"/>
            <w:vAlign w:val="bottom"/>
          </w:tcPr>
          <w:p>
            <w:pPr>
              <w:jc w:val="center"/>
              <w:ind w:right="1062"/>
              <w:spacing w:after="0"/>
              <w:rPr>
                <w:sz w:val="20"/>
                <w:szCs w:val="20"/>
                <w:color w:val="auto"/>
              </w:rPr>
            </w:pPr>
            <w:r>
              <w:rPr>
                <w:rFonts w:ascii="Arial" w:cs="Arial" w:eastAsia="Arial" w:hAnsi="Arial"/>
                <w:sz w:val="14"/>
                <w:szCs w:val="14"/>
                <w:b w:val="1"/>
                <w:bCs w:val="1"/>
                <w:color w:val="auto"/>
                <w:w w:val="95"/>
              </w:rPr>
              <w:t>of Incorporation or Organization)</w:t>
            </w:r>
          </w:p>
        </w:tc>
        <w:tc>
          <w:tcPr>
            <w:tcW w:w="3300" w:type="dxa"/>
            <w:vAlign w:val="bottom"/>
          </w:tcPr>
          <w:p>
            <w:pPr>
              <w:ind w:left="1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14025 Riveredge Drive, Suite 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$5.00 Par Value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9"/>
              </w:rPr>
              <w:t>CCK</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7 3/8% Debentures Due 2026</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CCK26</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7 1/2% Debentures Due 2096</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CCK96</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May 18, 2023, Crown European Holdings S.A. (the “</w:t>
      </w:r>
      <w:r>
        <w:rPr>
          <w:rFonts w:ascii="Arial" w:cs="Arial" w:eastAsia="Arial" w:hAnsi="Arial"/>
          <w:sz w:val="17"/>
          <w:szCs w:val="17"/>
          <w:u w:val="single" w:color="auto"/>
          <w:color w:val="auto"/>
        </w:rPr>
        <w:t>Issuer</w:t>
      </w:r>
      <w:r>
        <w:rPr>
          <w:rFonts w:ascii="Arial" w:cs="Arial" w:eastAsia="Arial" w:hAnsi="Arial"/>
          <w:sz w:val="17"/>
          <w:szCs w:val="17"/>
          <w:color w:val="auto"/>
        </w:rPr>
        <w:t>”), a wholly-owned subsidiary of 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completed its note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€500,000,000 aggregate principal amount of 5.000% senior unsecured notes due 2028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4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Notes will mature on May 15, 2028 and will accrue interest at a rate of 5.000% per year. Interest on the Notes will be payable semi-annually on May 15 and November 15 of each year, beginning on November 15, 2023. The Issuer may redeem some or all of the Notes, at its option, at any time prior to April 15, 2028 by paying 100% of the principal amount, plus accrued and unpaid interest, if any, to, but excluding, the redemption date, and a make-whole premium. The Issuer may redeem some or all of the Notes, at its option, at any time on or after April 15, 2028 by paying 100% of the principal amount, plus accrued and unpaid interest, if any, to, but excluding, the redemption date.</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Notes were sold in a private placement and resold by the initial purchasers to persons reasonably believed to be qualified institutional buyers pursuant to Rule 144A promulgated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to non-U.S. persons pursuant to Regulation S of the Securities Act. The Notes have not been registered under the Securities Act and may not be offered or sold in the United States absent registration or an applicable exemption from the registration requirements. The net proceeds from the Offering will be used for the temporary repayment of indebtedness under the Company’s senior secured revolving credit facility.</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the Issuer or the Company experiences a change of control repurchase event, the Issuer may be required to offer to purchase the Notes at a purchase price equal to 101% of their principal amount, plus accrued and unpaid interest, if any, to, but excluding, the repurchase date.</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 Canada, United Kingdom, France, Germany, Luxembourg, Mexico, the Netherlands and Switzerland that are obligors under the Company’s senior secured credit facilities or that guarantees or otherwise becomes liable with respect to any other indebtedness of the Company, the Issuer or another guarantor, and subject to applicable law and exceptions, each of the Issuer’s subsidiaries that guarantees or otherwise becomes liable with respect to any indebtedness of the Company, the Issuer or another guarantor or is otherwise an obligor under the Company’s senior secured credit facilities.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have been issued under an indenture with U.S. Bank Trust Company, National Association as trustee. The indenture governing the Notes contain covenants that will limit the ability of the Company and the ability of its subsidiaries (including the Issuers) to, among other things, create liens, engage in sale and leaseback transactions or merge or consolidate with or into other companies. If an event of default, as specified in the indentures governing the Notes, shall occur and be continuing, either the trustee or the holders of a specified percentage of the Notes may accelerate the maturity of all the Notes. The covenants, events of default and acceleration rights described in this paragraph are subject to important exceptions and qualifications, which are described in the indenture filed herewith.</w:t>
      </w:r>
    </w:p>
    <w:p>
      <w:pPr>
        <w:sectPr>
          <w:pgSz w:w="11900" w:h="16838" w:orient="portrait"/>
          <w:cols w:equalWidth="0" w:num="1">
            <w:col w:w="10980"/>
          </w:cols>
          <w:pgMar w:left="440" w:top="513"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description set forth above is qualified in its entirety by the indenture governing the Notes filed herewith as Exhibit 4.1.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w:t>
      </w:r>
    </w:p>
    <w:p>
      <w:pPr>
        <w:spacing w:after="0" w:line="18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important factors that could cause the statements made in this Form 8-K or the actual results of operations or financial condition of the Company to differ are discussed under the caption “Forward Looking Statements” in the Company’s Form 10-K Annual Report for the year ended December 31, 2022 and in subsequent filings made prior to or after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review or revise any particular forward-looking statement in light of future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880" w:hanging="444"/>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100" w:lineRule="exact"/>
        <w:rPr>
          <w:sz w:val="20"/>
          <w:szCs w:val="20"/>
          <w:color w:val="auto"/>
        </w:rPr>
      </w:pPr>
    </w:p>
    <w:p>
      <w:pPr>
        <w:ind w:left="1280" w:hanging="1281"/>
        <w:spacing w:after="0" w:line="259" w:lineRule="auto"/>
        <w:tabs>
          <w:tab w:leader="none" w:pos="1260" w:val="left"/>
        </w:tabs>
        <w:rPr>
          <w:sz w:val="20"/>
          <w:szCs w:val="20"/>
          <w:color w:val="auto"/>
        </w:rPr>
      </w:pPr>
      <w:r>
        <w:rPr>
          <w:rFonts w:ascii="Arial" w:cs="Arial" w:eastAsia="Arial" w:hAnsi="Arial"/>
          <w:sz w:val="18"/>
          <w:szCs w:val="18"/>
          <w:color w:val="auto"/>
        </w:rPr>
        <w:t>Exhibit 4.1</w:t>
      </w:r>
      <w:r>
        <w:rPr>
          <w:sz w:val="20"/>
          <w:szCs w:val="20"/>
          <w:color w:val="auto"/>
        </w:rPr>
        <w:tab/>
      </w:r>
      <w:r>
        <w:rPr>
          <w:rFonts w:ascii="Arial" w:cs="Arial" w:eastAsia="Arial" w:hAnsi="Arial"/>
          <w:sz w:val="18"/>
          <w:szCs w:val="18"/>
          <w:u w:val="single" w:color="auto"/>
          <w:color w:val="0000EE"/>
        </w:rPr>
        <w:t>Indenture, dated as of May 18, 2023, among the Issuer, the Company, the other guarantors party thereto, BNP Paribas, as representative of the several initial purchases party thereto, U.S. Bank Trust Company, National Association, as Trustee, Elavon Financial Services DAC, as paying agent, registrar and transfer agent, relating to the €500,000,000 5.000% senior unsecured notes due 2028.</w:t>
      </w:r>
    </w:p>
    <w:p>
      <w:pPr>
        <w:spacing w:after="0" w:line="7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980"/>
          </w:cols>
          <w:pgMar w:left="440" w:top="517" w:right="47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2023</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Christy L. Kalaus</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Vice President and Corporate Controller</w:t>
      </w:r>
    </w:p>
    <w:p>
      <w:pPr>
        <w:sectPr>
          <w:pgSz w:w="11900" w:h="16838" w:orient="portrait"/>
          <w:cols w:equalWidth="0" w:num="1">
            <w:col w:w="10560"/>
          </w:cols>
          <w:pgMar w:left="440" w:top="513" w:right="8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CROWN EUROPEAN HOLDINGS S.A.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Issuer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named herein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U.S. BANK TRUST COMPANY, NATIONAL ASSOCIATION</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ELAVON FINANCIAL SERVICES DAC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as Paying Agent, 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May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5.000%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229235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0" w:type="dxa"/>
            <w:vAlign w:val="bottom"/>
            <w:gridSpan w:val="2"/>
          </w:tcPr>
          <w:p>
            <w:pPr>
              <w:ind w:left="1360"/>
              <w:spacing w:after="0"/>
              <w:rPr>
                <w:sz w:val="20"/>
                <w:szCs w:val="20"/>
                <w:color w:val="auto"/>
              </w:rPr>
            </w:pPr>
            <w:r>
              <w:rPr>
                <w:rFonts w:ascii="Arial" w:cs="Arial" w:eastAsia="Arial" w:hAnsi="Arial"/>
                <w:sz w:val="18"/>
                <w:szCs w:val="18"/>
                <w:color w:val="auto"/>
              </w:rPr>
              <w:t>CROSS-REFERENCE TABLE</w:t>
            </w:r>
          </w:p>
        </w:tc>
      </w:tr>
      <w:tr>
        <w:trPr>
          <w:trHeight w:val="378"/>
        </w:trPr>
        <w:tc>
          <w:tcPr>
            <w:tcW w:w="340" w:type="dxa"/>
            <w:vAlign w:val="bottom"/>
          </w:tcPr>
          <w:p>
            <w:pPr>
              <w:ind w:left="60"/>
              <w:spacing w:after="0"/>
              <w:rPr>
                <w:sz w:val="20"/>
                <w:szCs w:val="20"/>
                <w:color w:val="auto"/>
              </w:rPr>
            </w:pPr>
            <w:r>
              <w:rPr>
                <w:rFonts w:ascii="Arial" w:cs="Arial" w:eastAsia="Arial" w:hAnsi="Arial"/>
                <w:sz w:val="14"/>
                <w:szCs w:val="14"/>
                <w:color w:val="auto"/>
              </w:rPr>
              <w:t>TIA</w:t>
            </w: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Arial" w:cs="Arial" w:eastAsia="Arial" w:hAnsi="Arial"/>
                <w:sz w:val="14"/>
                <w:szCs w:val="14"/>
                <w:color w:val="auto"/>
              </w:rPr>
              <w:t>Indenture</w:t>
            </w:r>
          </w:p>
        </w:tc>
      </w:tr>
      <w:tr>
        <w:trPr>
          <w:trHeight w:val="175"/>
        </w:trPr>
        <w:tc>
          <w:tcPr>
            <w:tcW w:w="3020" w:type="dxa"/>
            <w:vAlign w:val="bottom"/>
            <w:gridSpan w:val="3"/>
          </w:tcPr>
          <w:p>
            <w:pPr>
              <w:spacing w:after="0"/>
              <w:rPr>
                <w:sz w:val="20"/>
                <w:szCs w:val="20"/>
                <w:color w:val="auto"/>
              </w:rPr>
            </w:pPr>
            <w:r>
              <w:rPr>
                <w:rFonts w:ascii="Arial" w:cs="Arial" w:eastAsia="Arial" w:hAnsi="Arial"/>
                <w:sz w:val="14"/>
                <w:szCs w:val="14"/>
                <w:color w:val="auto"/>
              </w:rPr>
              <w:t>Section</w:t>
            </w:r>
          </w:p>
        </w:tc>
        <w:tc>
          <w:tcPr>
            <w:tcW w:w="6460" w:type="dxa"/>
            <w:vAlign w:val="bottom"/>
          </w:tcPr>
          <w:p>
            <w:pPr>
              <w:spacing w:after="0"/>
              <w:rPr>
                <w:sz w:val="15"/>
                <w:szCs w:val="15"/>
                <w:color w:val="auto"/>
              </w:rPr>
            </w:pPr>
          </w:p>
        </w:tc>
        <w:tc>
          <w:tcPr>
            <w:tcW w:w="1540" w:type="dxa"/>
            <w:vAlign w:val="bottom"/>
          </w:tcPr>
          <w:p>
            <w:pPr>
              <w:ind w:left="540"/>
              <w:spacing w:after="0"/>
              <w:rPr>
                <w:sz w:val="20"/>
                <w:szCs w:val="20"/>
                <w:color w:val="auto"/>
              </w:rPr>
            </w:pPr>
            <w:r>
              <w:rPr>
                <w:rFonts w:ascii="Arial" w:cs="Arial" w:eastAsia="Arial" w:hAnsi="Arial"/>
                <w:sz w:val="14"/>
                <w:szCs w:val="14"/>
                <w:color w:val="auto"/>
              </w:rPr>
              <w:t>Section</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310</w:t>
            </w:r>
          </w:p>
        </w:tc>
        <w:tc>
          <w:tcPr>
            <w:tcW w:w="80" w:type="dxa"/>
            <w:vAlign w:val="bottom"/>
            <w:tcBorders>
              <w:top w:val="single" w:sz="8" w:color="auto"/>
            </w:tcBorders>
          </w:tcPr>
          <w:p>
            <w:pPr>
              <w:spacing w:after="0"/>
              <w:rPr>
                <w:sz w:val="16"/>
                <w:szCs w:val="16"/>
                <w:color w:val="auto"/>
              </w:rPr>
            </w:pP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(a)(1)</w:t>
            </w:r>
          </w:p>
        </w:tc>
        <w:tc>
          <w:tcPr>
            <w:tcW w:w="6460" w:type="dxa"/>
            <w:vAlign w:val="bottom"/>
          </w:tcPr>
          <w:p>
            <w:pPr>
              <w:spacing w:after="0"/>
              <w:rPr>
                <w:sz w:val="16"/>
                <w:szCs w:val="16"/>
                <w:color w:val="auto"/>
              </w:rPr>
            </w:pPr>
          </w:p>
        </w:tc>
        <w:tc>
          <w:tcPr>
            <w:tcW w:w="1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7.10</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7.10</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(a)(3)</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(a)(4)</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(a)(5)</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7.08; 7.10; 11.02</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(b)(1)</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7.10</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311</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7.11</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7.11</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312</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2.06</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11.03</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11.03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313</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7.06</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(b)(1)</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(b)(2)</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7.06</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7.06; 11.02</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7.06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314</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4.06; 4.16; 11.02</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(c)(1)</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11.04</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(c)(2)</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11.04</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(c)(3)</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11.05</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(f)</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315</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7.05; 11.02</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7.01(a)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7.01(c)</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(e)</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6.12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316</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 (last sentence)</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2.10</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(a)(1)(A)</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6.05</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(a)(1)(B)</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6.04</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64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6.08</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8.04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317</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(a)(1)</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6.09</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6.10</w:t>
            </w:r>
          </w:p>
        </w:tc>
      </w:tr>
      <w:tr>
        <w:trPr>
          <w:trHeight w:val="216"/>
        </w:trPr>
        <w:tc>
          <w:tcPr>
            <w:tcW w:w="340" w:type="dxa"/>
            <w:vAlign w:val="bottom"/>
          </w:tcPr>
          <w:p>
            <w:pPr>
              <w:spacing w:after="0"/>
              <w:rPr>
                <w:sz w:val="18"/>
                <w:szCs w:val="18"/>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2.05; 7.12</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318</w:t>
            </w: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8000" w:type="dxa"/>
            <w:vAlign w:val="bottom"/>
            <w:gridSpan w:val="2"/>
          </w:tcPr>
          <w:p>
            <w:pPr>
              <w:ind w:left="6460"/>
              <w:spacing w:after="0"/>
              <w:rPr>
                <w:sz w:val="20"/>
                <w:szCs w:val="20"/>
                <w:color w:val="auto"/>
              </w:rPr>
            </w:pPr>
            <w:r>
              <w:rPr>
                <w:rFonts w:ascii="Arial" w:cs="Arial" w:eastAsia="Arial" w:hAnsi="Arial"/>
                <w:sz w:val="18"/>
                <w:szCs w:val="18"/>
                <w:color w:val="auto"/>
              </w:rPr>
              <w:t>11.01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This Cross-Reference Table shall not, for any purpose, be deemed to be a part of this Indenture</w:t>
      </w:r>
    </w:p>
    <w:p>
      <w:pPr>
        <w:sectPr>
          <w:pgSz w:w="11900" w:h="16838" w:orient="portrait"/>
          <w:cols w:equalWidth="0" w:num="1">
            <w:col w:w="11020"/>
          </w:cols>
          <w:pgMar w:left="440" w:top="490"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4"/>
                <w:szCs w:val="14"/>
                <w:color w:val="auto"/>
              </w:rPr>
              <w:t>Page</w:t>
            </w:r>
          </w:p>
        </w:tc>
      </w:tr>
      <w:tr>
        <w:trPr>
          <w:trHeight w:val="318"/>
        </w:trPr>
        <w:tc>
          <w:tcPr>
            <w:tcW w:w="1280" w:type="dxa"/>
            <w:vAlign w:val="bottom"/>
          </w:tcPr>
          <w:p>
            <w:pPr>
              <w:spacing w:after="0"/>
              <w:rPr>
                <w:sz w:val="24"/>
                <w:szCs w:val="24"/>
                <w:color w:val="auto"/>
              </w:rPr>
            </w:pPr>
          </w:p>
        </w:tc>
        <w:tc>
          <w:tcPr>
            <w:tcW w:w="7800" w:type="dxa"/>
            <w:vAlign w:val="bottom"/>
          </w:tcPr>
          <w:p>
            <w:pPr>
              <w:jc w:val="center"/>
              <w:ind w:left="110"/>
              <w:spacing w:after="0"/>
              <w:rPr>
                <w:sz w:val="20"/>
                <w:szCs w:val="20"/>
                <w:color w:val="auto"/>
              </w:rPr>
            </w:pPr>
            <w:r>
              <w:rPr>
                <w:rFonts w:ascii="Arial" w:cs="Arial" w:eastAsia="Arial" w:hAnsi="Arial"/>
                <w:sz w:val="18"/>
                <w:szCs w:val="18"/>
                <w:color w:val="auto"/>
                <w:w w:val="96"/>
              </w:rPr>
              <w:t>ARTICLE ONE</w:t>
            </w:r>
          </w:p>
        </w:tc>
        <w:tc>
          <w:tcPr>
            <w:tcW w:w="16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7800" w:type="dxa"/>
            <w:vAlign w:val="bottom"/>
          </w:tcPr>
          <w:p>
            <w:pPr>
              <w:jc w:val="center"/>
              <w:ind w:left="110"/>
              <w:spacing w:after="0"/>
              <w:rPr>
                <w:sz w:val="20"/>
                <w:szCs w:val="20"/>
                <w:color w:val="auto"/>
              </w:rPr>
            </w:pPr>
            <w:r>
              <w:rPr>
                <w:rFonts w:ascii="Arial" w:cs="Arial" w:eastAsia="Arial" w:hAnsi="Arial"/>
                <w:sz w:val="18"/>
                <w:szCs w:val="18"/>
                <w:color w:val="auto"/>
                <w:w w:val="95"/>
              </w:rPr>
              <w:t>DEFINITIONS AND INCORPORATION BY REFERENCE</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780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1.02.   Incorporation by Reference of Trust Indenture Act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SECTION 1.03.   Rules of Construction</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324"/>
        </w:trPr>
        <w:tc>
          <w:tcPr>
            <w:tcW w:w="1280" w:type="dxa"/>
            <w:vAlign w:val="bottom"/>
          </w:tcPr>
          <w:p>
            <w:pPr>
              <w:spacing w:after="0"/>
              <w:rPr>
                <w:sz w:val="24"/>
                <w:szCs w:val="24"/>
                <w:color w:val="auto"/>
              </w:rPr>
            </w:pPr>
          </w:p>
        </w:tc>
        <w:tc>
          <w:tcPr>
            <w:tcW w:w="7800" w:type="dxa"/>
            <w:vAlign w:val="bottom"/>
          </w:tcPr>
          <w:p>
            <w:pPr>
              <w:jc w:val="center"/>
              <w:ind w:left="110"/>
              <w:spacing w:after="0"/>
              <w:rPr>
                <w:sz w:val="20"/>
                <w:szCs w:val="20"/>
                <w:color w:val="auto"/>
              </w:rPr>
            </w:pPr>
            <w:r>
              <w:rPr>
                <w:rFonts w:ascii="Arial" w:cs="Arial" w:eastAsia="Arial" w:hAnsi="Arial"/>
                <w:sz w:val="18"/>
                <w:szCs w:val="18"/>
                <w:color w:val="auto"/>
                <w:w w:val="97"/>
              </w:rPr>
              <w:t>ARTICLE TWO</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7800" w:type="dxa"/>
            <w:vAlign w:val="bottom"/>
          </w:tcPr>
          <w:p>
            <w:pPr>
              <w:jc w:val="center"/>
              <w:ind w:left="130"/>
              <w:spacing w:after="0"/>
              <w:rPr>
                <w:sz w:val="20"/>
                <w:szCs w:val="20"/>
                <w:color w:val="auto"/>
              </w:rPr>
            </w:pPr>
            <w:r>
              <w:rPr>
                <w:rFonts w:ascii="Arial" w:cs="Arial" w:eastAsia="Arial" w:hAnsi="Arial"/>
                <w:sz w:val="18"/>
                <w:szCs w:val="18"/>
                <w:color w:val="auto"/>
                <w:w w:val="95"/>
              </w:rPr>
              <w:t>THE SECURITIES</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2.01.</w:t>
            </w:r>
          </w:p>
        </w:tc>
        <w:tc>
          <w:tcPr>
            <w:tcW w:w="7800" w:type="dxa"/>
            <w:vAlign w:val="bottom"/>
          </w:tcPr>
          <w:p>
            <w:pPr>
              <w:ind w:left="140"/>
              <w:spacing w:after="0"/>
              <w:rPr>
                <w:sz w:val="20"/>
                <w:szCs w:val="20"/>
                <w:color w:val="auto"/>
              </w:rPr>
            </w:pPr>
            <w:r>
              <w:rPr>
                <w:rFonts w:ascii="Arial" w:cs="Arial" w:eastAsia="Arial" w:hAnsi="Arial"/>
                <w:sz w:val="18"/>
                <w:szCs w:val="18"/>
                <w:color w:val="auto"/>
              </w:rPr>
              <w:t>Amount of Notes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2.02.   Form and Dating; Legends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2.03.</w:t>
            </w:r>
          </w:p>
        </w:tc>
        <w:tc>
          <w:tcPr>
            <w:tcW w:w="780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2.04.   Registrar, Paying Agent and Transfer Agent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2.05.   Paying Agent To Hold Money</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2.06.</w:t>
            </w:r>
          </w:p>
        </w:tc>
        <w:tc>
          <w:tcPr>
            <w:tcW w:w="7800" w:type="dxa"/>
            <w:vAlign w:val="bottom"/>
          </w:tcPr>
          <w:p>
            <w:pPr>
              <w:ind w:left="140"/>
              <w:spacing w:after="0"/>
              <w:rPr>
                <w:sz w:val="20"/>
                <w:szCs w:val="20"/>
                <w:color w:val="auto"/>
              </w:rPr>
            </w:pPr>
            <w:r>
              <w:rPr>
                <w:rFonts w:ascii="Arial" w:cs="Arial" w:eastAsia="Arial" w:hAnsi="Arial"/>
                <w:sz w:val="18"/>
                <w:szCs w:val="18"/>
                <w:color w:val="auto"/>
              </w:rPr>
              <w:t>Noteholder Lists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2.07.   Transfer and Exchange</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2.08.</w:t>
            </w:r>
          </w:p>
        </w:tc>
        <w:tc>
          <w:tcPr>
            <w:tcW w:w="7800" w:type="dxa"/>
            <w:vAlign w:val="bottom"/>
          </w:tcPr>
          <w:p>
            <w:pPr>
              <w:ind w:left="140"/>
              <w:spacing w:after="0"/>
              <w:rPr>
                <w:sz w:val="20"/>
                <w:szCs w:val="20"/>
                <w:color w:val="auto"/>
              </w:rPr>
            </w:pPr>
            <w:r>
              <w:rPr>
                <w:rFonts w:ascii="Arial" w:cs="Arial" w:eastAsia="Arial" w:hAnsi="Arial"/>
                <w:sz w:val="18"/>
                <w:szCs w:val="18"/>
                <w:color w:val="auto"/>
              </w:rPr>
              <w:t>Replacement Notes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2.09.</w:t>
            </w:r>
          </w:p>
        </w:tc>
        <w:tc>
          <w:tcPr>
            <w:tcW w:w="7800" w:type="dxa"/>
            <w:vAlign w:val="bottom"/>
          </w:tcPr>
          <w:p>
            <w:pPr>
              <w:ind w:left="140"/>
              <w:spacing w:after="0"/>
              <w:rPr>
                <w:sz w:val="20"/>
                <w:szCs w:val="20"/>
                <w:color w:val="auto"/>
              </w:rPr>
            </w:pPr>
            <w:r>
              <w:rPr>
                <w:rFonts w:ascii="Arial" w:cs="Arial" w:eastAsia="Arial" w:hAnsi="Arial"/>
                <w:sz w:val="18"/>
                <w:szCs w:val="18"/>
                <w:color w:val="auto"/>
              </w:rPr>
              <w:t>Outstanding Notes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2.10.</w:t>
            </w:r>
          </w:p>
        </w:tc>
        <w:tc>
          <w:tcPr>
            <w:tcW w:w="7800" w:type="dxa"/>
            <w:vAlign w:val="bottom"/>
          </w:tcPr>
          <w:p>
            <w:pPr>
              <w:ind w:left="140"/>
              <w:spacing w:after="0"/>
              <w:rPr>
                <w:sz w:val="20"/>
                <w:szCs w:val="20"/>
                <w:color w:val="auto"/>
              </w:rPr>
            </w:pPr>
            <w:r>
              <w:rPr>
                <w:rFonts w:ascii="Arial" w:cs="Arial" w:eastAsia="Arial" w:hAnsi="Arial"/>
                <w:sz w:val="18"/>
                <w:szCs w:val="18"/>
                <w:color w:val="auto"/>
              </w:rPr>
              <w:t>Treasury Notes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2.11.</w:t>
            </w:r>
          </w:p>
        </w:tc>
        <w:tc>
          <w:tcPr>
            <w:tcW w:w="7800" w:type="dxa"/>
            <w:vAlign w:val="bottom"/>
          </w:tcPr>
          <w:p>
            <w:pPr>
              <w:ind w:left="140"/>
              <w:spacing w:after="0"/>
              <w:rPr>
                <w:sz w:val="20"/>
                <w:szCs w:val="20"/>
                <w:color w:val="auto"/>
              </w:rPr>
            </w:pPr>
            <w:r>
              <w:rPr>
                <w:rFonts w:ascii="Arial" w:cs="Arial" w:eastAsia="Arial" w:hAnsi="Arial"/>
                <w:sz w:val="18"/>
                <w:szCs w:val="18"/>
                <w:color w:val="auto"/>
              </w:rPr>
              <w:t>Temporary Notes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2.12.</w:t>
            </w:r>
          </w:p>
        </w:tc>
        <w:tc>
          <w:tcPr>
            <w:tcW w:w="780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2.13.</w:t>
            </w:r>
          </w:p>
        </w:tc>
        <w:tc>
          <w:tcPr>
            <w:tcW w:w="780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2.14.   CUSIP, ISIN and Common Code Numbers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2.15.</w:t>
            </w:r>
          </w:p>
        </w:tc>
        <w:tc>
          <w:tcPr>
            <w:tcW w:w="7800" w:type="dxa"/>
            <w:vAlign w:val="bottom"/>
          </w:tcPr>
          <w:p>
            <w:pPr>
              <w:ind w:left="140"/>
              <w:spacing w:after="0"/>
              <w:rPr>
                <w:sz w:val="20"/>
                <w:szCs w:val="20"/>
                <w:color w:val="auto"/>
              </w:rPr>
            </w:pPr>
            <w:r>
              <w:rPr>
                <w:rFonts w:ascii="Arial" w:cs="Arial" w:eastAsia="Arial" w:hAnsi="Arial"/>
                <w:sz w:val="18"/>
                <w:szCs w:val="18"/>
                <w:color w:val="auto"/>
              </w:rPr>
              <w:t>Deposit of Moneys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2.16.   Book-Entry Provisions for Global Notes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2.17.   Transfer and Exchange of Notes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SECTION 2.18.   Computation of Interest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324"/>
        </w:trPr>
        <w:tc>
          <w:tcPr>
            <w:tcW w:w="1280" w:type="dxa"/>
            <w:vAlign w:val="bottom"/>
          </w:tcPr>
          <w:p>
            <w:pPr>
              <w:spacing w:after="0"/>
              <w:rPr>
                <w:sz w:val="24"/>
                <w:szCs w:val="24"/>
                <w:color w:val="auto"/>
              </w:rPr>
            </w:pPr>
          </w:p>
        </w:tc>
        <w:tc>
          <w:tcPr>
            <w:tcW w:w="7800" w:type="dxa"/>
            <w:vAlign w:val="bottom"/>
          </w:tcPr>
          <w:p>
            <w:pPr>
              <w:jc w:val="center"/>
              <w:ind w:left="130"/>
              <w:spacing w:after="0"/>
              <w:rPr>
                <w:sz w:val="20"/>
                <w:szCs w:val="20"/>
                <w:color w:val="auto"/>
              </w:rPr>
            </w:pPr>
            <w:r>
              <w:rPr>
                <w:rFonts w:ascii="Arial" w:cs="Arial" w:eastAsia="Arial" w:hAnsi="Arial"/>
                <w:sz w:val="18"/>
                <w:szCs w:val="18"/>
                <w:color w:val="auto"/>
                <w:w w:val="97"/>
              </w:rPr>
              <w:t>ARTICLE THREE</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00" w:type="dxa"/>
            <w:vAlign w:val="bottom"/>
          </w:tcPr>
          <w:p>
            <w:pPr>
              <w:jc w:val="center"/>
              <w:ind w:left="110"/>
              <w:spacing w:after="0"/>
              <w:rPr>
                <w:sz w:val="20"/>
                <w:szCs w:val="20"/>
                <w:color w:val="auto"/>
              </w:rPr>
            </w:pPr>
            <w:r>
              <w:rPr>
                <w:rFonts w:ascii="Arial" w:cs="Arial" w:eastAsia="Arial" w:hAnsi="Arial"/>
                <w:sz w:val="18"/>
                <w:szCs w:val="18"/>
                <w:color w:val="auto"/>
                <w:w w:val="96"/>
              </w:rPr>
              <w:t>REDEMPTION</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3.01.   Election To Redeem; Notices to Trustee</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3.02.   Selection by Trustee of Notes To Be Redeemed</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3.03.   Notice of Redemption</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3.04.   Effect of Notice of Redemption</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3.05.   Deposit of Redemption Price</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3.06.   Notes Redeemed in Part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3.07.</w:t>
            </w:r>
          </w:p>
        </w:tc>
        <w:tc>
          <w:tcPr>
            <w:tcW w:w="7800" w:type="dxa"/>
            <w:vAlign w:val="bottom"/>
          </w:tcPr>
          <w:p>
            <w:pPr>
              <w:ind w:left="140"/>
              <w:spacing w:after="0"/>
              <w:rPr>
                <w:sz w:val="20"/>
                <w:szCs w:val="20"/>
                <w:color w:val="auto"/>
              </w:rPr>
            </w:pPr>
            <w:r>
              <w:rPr>
                <w:rFonts w:ascii="Arial" w:cs="Arial" w:eastAsia="Arial" w:hAnsi="Arial"/>
                <w:sz w:val="18"/>
                <w:szCs w:val="18"/>
                <w:color w:val="auto"/>
              </w:rPr>
              <w:t>Mandatory Redemption</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490"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color w:val="auto"/>
              </w:rPr>
              <w:t>Page</w:t>
            </w:r>
          </w:p>
        </w:tc>
      </w:tr>
      <w:tr>
        <w:trPr>
          <w:trHeight w:val="318"/>
        </w:trPr>
        <w:tc>
          <w:tcPr>
            <w:tcW w:w="1280" w:type="dxa"/>
            <w:vAlign w:val="bottom"/>
          </w:tcPr>
          <w:p>
            <w:pPr>
              <w:spacing w:after="0"/>
              <w:rPr>
                <w:sz w:val="24"/>
                <w:szCs w:val="24"/>
                <w:color w:val="auto"/>
              </w:rPr>
            </w:pPr>
          </w:p>
        </w:tc>
        <w:tc>
          <w:tcPr>
            <w:tcW w:w="7660" w:type="dxa"/>
            <w:vAlign w:val="bottom"/>
          </w:tcPr>
          <w:p>
            <w:pPr>
              <w:jc w:val="center"/>
              <w:ind w:left="250"/>
              <w:spacing w:after="0"/>
              <w:rPr>
                <w:sz w:val="20"/>
                <w:szCs w:val="20"/>
                <w:color w:val="auto"/>
              </w:rPr>
            </w:pPr>
            <w:r>
              <w:rPr>
                <w:rFonts w:ascii="Arial" w:cs="Arial" w:eastAsia="Arial" w:hAnsi="Arial"/>
                <w:sz w:val="18"/>
                <w:szCs w:val="18"/>
                <w:color w:val="auto"/>
                <w:w w:val="96"/>
              </w:rPr>
              <w:t>ARTICLE FOUR</w:t>
            </w:r>
          </w:p>
        </w:tc>
        <w:tc>
          <w:tcPr>
            <w:tcW w:w="17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7660" w:type="dxa"/>
            <w:vAlign w:val="bottom"/>
          </w:tcPr>
          <w:p>
            <w:pPr>
              <w:jc w:val="center"/>
              <w:ind w:left="270"/>
              <w:spacing w:after="0"/>
              <w:rPr>
                <w:sz w:val="20"/>
                <w:szCs w:val="20"/>
                <w:color w:val="auto"/>
              </w:rPr>
            </w:pPr>
            <w:r>
              <w:rPr>
                <w:rFonts w:ascii="Arial" w:cs="Arial" w:eastAsia="Arial" w:hAnsi="Arial"/>
                <w:sz w:val="18"/>
                <w:szCs w:val="18"/>
                <w:color w:val="auto"/>
                <w:w w:val="98"/>
              </w:rPr>
              <w:t>COVENANTS</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4.01.</w:t>
            </w:r>
          </w:p>
        </w:tc>
        <w:tc>
          <w:tcPr>
            <w:tcW w:w="7660" w:type="dxa"/>
            <w:vAlign w:val="bottom"/>
          </w:tcPr>
          <w:p>
            <w:pPr>
              <w:ind w:left="140"/>
              <w:spacing w:after="0"/>
              <w:rPr>
                <w:sz w:val="20"/>
                <w:szCs w:val="20"/>
                <w:color w:val="auto"/>
              </w:rPr>
            </w:pPr>
            <w:r>
              <w:rPr>
                <w:rFonts w:ascii="Arial" w:cs="Arial" w:eastAsia="Arial" w:hAnsi="Arial"/>
                <w:sz w:val="18"/>
                <w:szCs w:val="18"/>
                <w:color w:val="auto"/>
              </w:rPr>
              <w:t>Payment of Notes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4.03.</w:t>
            </w:r>
          </w:p>
        </w:tc>
        <w:tc>
          <w:tcPr>
            <w:tcW w:w="7660" w:type="dxa"/>
            <w:vAlign w:val="bottom"/>
          </w:tcPr>
          <w:p>
            <w:pPr>
              <w:ind w:left="140"/>
              <w:spacing w:after="0"/>
              <w:rPr>
                <w:sz w:val="20"/>
                <w:szCs w:val="20"/>
                <w:color w:val="auto"/>
              </w:rPr>
            </w:pPr>
            <w:r>
              <w:rPr>
                <w:rFonts w:ascii="Arial" w:cs="Arial" w:eastAsia="Arial" w:hAnsi="Arial"/>
                <w:sz w:val="18"/>
                <w:szCs w:val="18"/>
                <w:color w:val="auto"/>
              </w:rPr>
              <w:t>Legal Existence</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4.04.   Compliance with Law</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4.05.   Waiver of Stay, Extension or Usury Laws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4.06.</w:t>
            </w:r>
          </w:p>
        </w:tc>
        <w:tc>
          <w:tcPr>
            <w:tcW w:w="766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4.07.</w:t>
            </w:r>
          </w:p>
        </w:tc>
        <w:tc>
          <w:tcPr>
            <w:tcW w:w="7660" w:type="dxa"/>
            <w:vAlign w:val="bottom"/>
          </w:tcPr>
          <w:p>
            <w:pPr>
              <w:ind w:left="140"/>
              <w:spacing w:after="0"/>
              <w:rPr>
                <w:sz w:val="20"/>
                <w:szCs w:val="20"/>
                <w:color w:val="auto"/>
              </w:rPr>
            </w:pPr>
            <w:r>
              <w:rPr>
                <w:rFonts w:ascii="Arial" w:cs="Arial" w:eastAsia="Arial" w:hAnsi="Arial"/>
                <w:sz w:val="18"/>
                <w:szCs w:val="18"/>
                <w:color w:val="auto"/>
              </w:rPr>
              <w:t>Taxes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4.08.   Repurchase at the Option of Holders upon Change of Control Repurchase Event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4.09.</w:t>
            </w:r>
          </w:p>
        </w:tc>
        <w:tc>
          <w:tcPr>
            <w:tcW w:w="76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4.10.</w:t>
            </w:r>
          </w:p>
        </w:tc>
        <w:tc>
          <w:tcPr>
            <w:tcW w:w="76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4.11.   Limitation on Liens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4.12.</w:t>
            </w:r>
          </w:p>
        </w:tc>
        <w:tc>
          <w:tcPr>
            <w:tcW w:w="76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4.13.</w:t>
            </w:r>
          </w:p>
        </w:tc>
        <w:tc>
          <w:tcPr>
            <w:tcW w:w="76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4.14.</w:t>
            </w:r>
          </w:p>
        </w:tc>
        <w:tc>
          <w:tcPr>
            <w:tcW w:w="76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4.15.   Limitation on Sale and Leaseback Transactions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4.16.</w:t>
            </w:r>
          </w:p>
        </w:tc>
        <w:tc>
          <w:tcPr>
            <w:tcW w:w="7660" w:type="dxa"/>
            <w:vAlign w:val="bottom"/>
          </w:tcPr>
          <w:p>
            <w:pPr>
              <w:ind w:left="140"/>
              <w:spacing w:after="0"/>
              <w:rPr>
                <w:sz w:val="20"/>
                <w:szCs w:val="20"/>
                <w:color w:val="auto"/>
              </w:rPr>
            </w:pPr>
            <w:r>
              <w:rPr>
                <w:rFonts w:ascii="Arial" w:cs="Arial" w:eastAsia="Arial" w:hAnsi="Arial"/>
                <w:sz w:val="18"/>
                <w:szCs w:val="18"/>
                <w:color w:val="auto"/>
              </w:rPr>
              <w:t>Reports to Holders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4.17.   Additional Note Guarantees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4.18.</w:t>
            </w:r>
          </w:p>
        </w:tc>
        <w:tc>
          <w:tcPr>
            <w:tcW w:w="76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4.19.   Maintenance of Listing</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4.20.</w:t>
            </w:r>
          </w:p>
        </w:tc>
        <w:tc>
          <w:tcPr>
            <w:tcW w:w="7660" w:type="dxa"/>
            <w:vAlign w:val="bottom"/>
          </w:tcPr>
          <w:p>
            <w:pPr>
              <w:ind w:left="140"/>
              <w:spacing w:after="0"/>
              <w:rPr>
                <w:sz w:val="20"/>
                <w:szCs w:val="20"/>
                <w:color w:val="auto"/>
              </w:rPr>
            </w:pPr>
            <w:r>
              <w:rPr>
                <w:rFonts w:ascii="Arial" w:cs="Arial" w:eastAsia="Arial" w:hAnsi="Arial"/>
                <w:sz w:val="18"/>
                <w:szCs w:val="18"/>
                <w:color w:val="auto"/>
              </w:rPr>
              <w:t>Payment of Additional Amounts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324"/>
        </w:trPr>
        <w:tc>
          <w:tcPr>
            <w:tcW w:w="1280" w:type="dxa"/>
            <w:vAlign w:val="bottom"/>
          </w:tcPr>
          <w:p>
            <w:pPr>
              <w:spacing w:after="0"/>
              <w:rPr>
                <w:sz w:val="24"/>
                <w:szCs w:val="24"/>
                <w:color w:val="auto"/>
              </w:rPr>
            </w:pPr>
          </w:p>
        </w:tc>
        <w:tc>
          <w:tcPr>
            <w:tcW w:w="7660" w:type="dxa"/>
            <w:vAlign w:val="bottom"/>
          </w:tcPr>
          <w:p>
            <w:pPr>
              <w:jc w:val="center"/>
              <w:ind w:left="250"/>
              <w:spacing w:after="0"/>
              <w:rPr>
                <w:sz w:val="20"/>
                <w:szCs w:val="20"/>
                <w:color w:val="auto"/>
              </w:rPr>
            </w:pPr>
            <w:r>
              <w:rPr>
                <w:rFonts w:ascii="Arial" w:cs="Arial" w:eastAsia="Arial" w:hAnsi="Arial"/>
                <w:sz w:val="18"/>
                <w:szCs w:val="18"/>
                <w:color w:val="auto"/>
                <w:w w:val="99"/>
              </w:rPr>
              <w:t>ARTICLE FIVE</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660" w:type="dxa"/>
            <w:vAlign w:val="bottom"/>
          </w:tcPr>
          <w:p>
            <w:pPr>
              <w:jc w:val="center"/>
              <w:ind w:left="270"/>
              <w:spacing w:after="0"/>
              <w:rPr>
                <w:sz w:val="20"/>
                <w:szCs w:val="20"/>
                <w:color w:val="auto"/>
              </w:rPr>
            </w:pPr>
            <w:r>
              <w:rPr>
                <w:rFonts w:ascii="Arial" w:cs="Arial" w:eastAsia="Arial" w:hAnsi="Arial"/>
                <w:sz w:val="18"/>
                <w:szCs w:val="18"/>
                <w:color w:val="auto"/>
                <w:w w:val="92"/>
              </w:rPr>
              <w:t>SUCCESSOR CORPORATION</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8940" w:type="dxa"/>
            <w:vAlign w:val="bottom"/>
            <w:gridSpan w:val="2"/>
          </w:tcPr>
          <w:p>
            <w:pPr>
              <w:spacing w:after="0"/>
              <w:rPr>
                <w:sz w:val="20"/>
                <w:szCs w:val="20"/>
                <w:color w:val="auto"/>
              </w:rPr>
            </w:pPr>
            <w:r>
              <w:rPr>
                <w:rFonts w:ascii="Arial" w:cs="Arial" w:eastAsia="Arial" w:hAnsi="Arial"/>
                <w:sz w:val="18"/>
                <w:szCs w:val="18"/>
                <w:color w:val="auto"/>
              </w:rPr>
              <w:t>SECTION 5.01.   Consolidation, Merger and Sale of Assets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5.02.   Successor Person Substituted</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1280" w:type="dxa"/>
            <w:vAlign w:val="bottom"/>
          </w:tcPr>
          <w:p>
            <w:pPr>
              <w:spacing w:after="0"/>
              <w:rPr>
                <w:sz w:val="18"/>
                <w:szCs w:val="18"/>
                <w:color w:val="auto"/>
              </w:rPr>
            </w:pPr>
          </w:p>
        </w:tc>
        <w:tc>
          <w:tcPr>
            <w:tcW w:w="7660" w:type="dxa"/>
            <w:vAlign w:val="bottom"/>
          </w:tcPr>
          <w:p>
            <w:pPr>
              <w:jc w:val="center"/>
              <w:ind w:left="250"/>
              <w:spacing w:after="0"/>
              <w:rPr>
                <w:sz w:val="20"/>
                <w:szCs w:val="20"/>
                <w:color w:val="auto"/>
              </w:rPr>
            </w:pPr>
            <w:r>
              <w:rPr>
                <w:rFonts w:ascii="Arial" w:cs="Arial" w:eastAsia="Arial" w:hAnsi="Arial"/>
                <w:sz w:val="18"/>
                <w:szCs w:val="18"/>
                <w:color w:val="auto"/>
                <w:w w:val="98"/>
              </w:rPr>
              <w:t>ARTICLE SIX</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660" w:type="dxa"/>
            <w:vAlign w:val="bottom"/>
          </w:tcPr>
          <w:p>
            <w:pPr>
              <w:jc w:val="center"/>
              <w:ind w:left="270"/>
              <w:spacing w:after="0"/>
              <w:rPr>
                <w:sz w:val="20"/>
                <w:szCs w:val="20"/>
                <w:color w:val="auto"/>
              </w:rPr>
            </w:pPr>
            <w:r>
              <w:rPr>
                <w:rFonts w:ascii="Arial" w:cs="Arial" w:eastAsia="Arial" w:hAnsi="Arial"/>
                <w:sz w:val="18"/>
                <w:szCs w:val="18"/>
                <w:color w:val="auto"/>
                <w:w w:val="95"/>
              </w:rPr>
              <w:t>DEFAULTS AND REMEDIES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6.01.</w:t>
            </w:r>
          </w:p>
        </w:tc>
        <w:tc>
          <w:tcPr>
            <w:tcW w:w="766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6.02.   Acceleration of Maturity; Rescission</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6.03.</w:t>
            </w:r>
          </w:p>
        </w:tc>
        <w:tc>
          <w:tcPr>
            <w:tcW w:w="7660" w:type="dxa"/>
            <w:vAlign w:val="bottom"/>
          </w:tcPr>
          <w:p>
            <w:pPr>
              <w:ind w:left="140"/>
              <w:spacing w:after="0"/>
              <w:rPr>
                <w:sz w:val="20"/>
                <w:szCs w:val="20"/>
                <w:color w:val="auto"/>
              </w:rPr>
            </w:pPr>
            <w:r>
              <w:rPr>
                <w:rFonts w:ascii="Arial" w:cs="Arial" w:eastAsia="Arial" w:hAnsi="Arial"/>
                <w:sz w:val="18"/>
                <w:szCs w:val="18"/>
                <w:color w:val="auto"/>
              </w:rPr>
              <w:t>Other Remedies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6.04.   Waiver of Existing Defaults and Events of Default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6.06.</w:t>
            </w:r>
          </w:p>
        </w:tc>
        <w:tc>
          <w:tcPr>
            <w:tcW w:w="766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485"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8900" w:type="dxa"/>
            <w:vAlign w:val="bottom"/>
            <w:gridSpan w:val="2"/>
          </w:tcPr>
          <w:p>
            <w:pPr>
              <w:spacing w:after="0"/>
              <w:rPr>
                <w:sz w:val="20"/>
                <w:szCs w:val="20"/>
                <w:color w:val="auto"/>
              </w:rPr>
            </w:pPr>
            <w:r>
              <w:rPr>
                <w:rFonts w:ascii="Arial" w:cs="Arial" w:eastAsia="Arial" w:hAnsi="Arial"/>
                <w:sz w:val="18"/>
                <w:szCs w:val="18"/>
                <w:color w:val="auto"/>
              </w:rPr>
              <w:t>SECTION 6.07.   No Personal Liability of Directors, Officers, Employees and Stockholders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6.08.   Rights of Holders To Receive Payment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6.09.   Collection Suit by Trustee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6.10.   Trustee May File Proofs of Claim</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6.11.</w:t>
            </w:r>
          </w:p>
        </w:tc>
        <w:tc>
          <w:tcPr>
            <w:tcW w:w="7620" w:type="dxa"/>
            <w:vAlign w:val="bottom"/>
          </w:tcPr>
          <w:p>
            <w:pPr>
              <w:ind w:left="140"/>
              <w:spacing w:after="0"/>
              <w:rPr>
                <w:sz w:val="20"/>
                <w:szCs w:val="20"/>
                <w:color w:val="auto"/>
              </w:rPr>
            </w:pPr>
            <w:r>
              <w:rPr>
                <w:rFonts w:ascii="Arial" w:cs="Arial" w:eastAsia="Arial" w:hAnsi="Arial"/>
                <w:sz w:val="18"/>
                <w:szCs w:val="18"/>
                <w:color w:val="auto"/>
              </w:rPr>
              <w:t>Priorities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SECTION 6.12.   Undertaking for Costs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280" w:type="dxa"/>
            <w:vAlign w:val="bottom"/>
          </w:tcPr>
          <w:p>
            <w:pPr>
              <w:spacing w:after="0"/>
              <w:rPr>
                <w:sz w:val="24"/>
                <w:szCs w:val="24"/>
                <w:color w:val="auto"/>
              </w:rPr>
            </w:pPr>
          </w:p>
        </w:tc>
        <w:tc>
          <w:tcPr>
            <w:tcW w:w="7620" w:type="dxa"/>
            <w:vAlign w:val="bottom"/>
          </w:tcPr>
          <w:p>
            <w:pPr>
              <w:jc w:val="center"/>
              <w:ind w:left="310"/>
              <w:spacing w:after="0"/>
              <w:rPr>
                <w:sz w:val="20"/>
                <w:szCs w:val="20"/>
                <w:color w:val="auto"/>
              </w:rPr>
            </w:pPr>
            <w:r>
              <w:rPr>
                <w:rFonts w:ascii="Arial" w:cs="Arial" w:eastAsia="Arial" w:hAnsi="Arial"/>
                <w:sz w:val="18"/>
                <w:szCs w:val="18"/>
                <w:color w:val="auto"/>
                <w:w w:val="97"/>
              </w:rPr>
              <w:t>ARTICLE SEVEN</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620" w:type="dxa"/>
            <w:vAlign w:val="bottom"/>
          </w:tcPr>
          <w:p>
            <w:pPr>
              <w:jc w:val="center"/>
              <w:ind w:left="310"/>
              <w:spacing w:after="0"/>
              <w:rPr>
                <w:sz w:val="20"/>
                <w:szCs w:val="20"/>
                <w:color w:val="auto"/>
              </w:rPr>
            </w:pPr>
            <w:r>
              <w:rPr>
                <w:rFonts w:ascii="Arial" w:cs="Arial" w:eastAsia="Arial" w:hAnsi="Arial"/>
                <w:sz w:val="18"/>
                <w:szCs w:val="18"/>
                <w:color w:val="auto"/>
                <w:w w:val="92"/>
              </w:rPr>
              <w:t>TRUSTEE</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7.01.</w:t>
            </w:r>
          </w:p>
        </w:tc>
        <w:tc>
          <w:tcPr>
            <w:tcW w:w="762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7.02.</w:t>
            </w:r>
          </w:p>
        </w:tc>
        <w:tc>
          <w:tcPr>
            <w:tcW w:w="762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7.03.   Individual Rights of Trustee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7.04.</w:t>
            </w:r>
          </w:p>
        </w:tc>
        <w:tc>
          <w:tcPr>
            <w:tcW w:w="762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7.05.</w:t>
            </w:r>
          </w:p>
        </w:tc>
        <w:tc>
          <w:tcPr>
            <w:tcW w:w="762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7.06.   Reports by Trustee to Holders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7.07.   Compensation and Indemnity</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7.08.   Replacement of Trustee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7.09.   Successor Trustee by Consolidation, Merger, etc.</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7.10.</w:t>
            </w:r>
          </w:p>
        </w:tc>
        <w:tc>
          <w:tcPr>
            <w:tcW w:w="762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7.11.   Preferential Collection of Claims Against Issuer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7.12.</w:t>
            </w:r>
          </w:p>
        </w:tc>
        <w:tc>
          <w:tcPr>
            <w:tcW w:w="7620" w:type="dxa"/>
            <w:vAlign w:val="bottom"/>
          </w:tcPr>
          <w:p>
            <w:pPr>
              <w:ind w:left="140"/>
              <w:spacing w:after="0"/>
              <w:rPr>
                <w:sz w:val="20"/>
                <w:szCs w:val="20"/>
                <w:color w:val="auto"/>
              </w:rPr>
            </w:pPr>
            <w:r>
              <w:rPr>
                <w:rFonts w:ascii="Arial" w:cs="Arial" w:eastAsia="Arial" w:hAnsi="Arial"/>
                <w:sz w:val="18"/>
                <w:szCs w:val="18"/>
                <w:color w:val="auto"/>
              </w:rPr>
              <w:t>Paying Agents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7.13.</w:t>
            </w:r>
          </w:p>
        </w:tc>
        <w:tc>
          <w:tcPr>
            <w:tcW w:w="762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280" w:type="dxa"/>
            <w:vAlign w:val="bottom"/>
          </w:tcPr>
          <w:p>
            <w:pPr>
              <w:spacing w:after="0"/>
              <w:rPr>
                <w:sz w:val="24"/>
                <w:szCs w:val="24"/>
                <w:color w:val="auto"/>
              </w:rPr>
            </w:pPr>
          </w:p>
        </w:tc>
        <w:tc>
          <w:tcPr>
            <w:tcW w:w="7620" w:type="dxa"/>
            <w:vAlign w:val="bottom"/>
          </w:tcPr>
          <w:p>
            <w:pPr>
              <w:jc w:val="center"/>
              <w:ind w:left="310"/>
              <w:spacing w:after="0"/>
              <w:rPr>
                <w:sz w:val="20"/>
                <w:szCs w:val="20"/>
                <w:color w:val="auto"/>
              </w:rPr>
            </w:pPr>
            <w:r>
              <w:rPr>
                <w:rFonts w:ascii="Arial" w:cs="Arial" w:eastAsia="Arial" w:hAnsi="Arial"/>
                <w:sz w:val="18"/>
                <w:szCs w:val="18"/>
                <w:color w:val="auto"/>
                <w:w w:val="98"/>
              </w:rPr>
              <w:t>ARTICLE EIGHT</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620" w:type="dxa"/>
            <w:vAlign w:val="bottom"/>
          </w:tcPr>
          <w:p>
            <w:pPr>
              <w:jc w:val="center"/>
              <w:ind w:left="310"/>
              <w:spacing w:after="0"/>
              <w:rPr>
                <w:sz w:val="20"/>
                <w:szCs w:val="20"/>
                <w:color w:val="auto"/>
              </w:rPr>
            </w:pPr>
            <w:r>
              <w:rPr>
                <w:rFonts w:ascii="Arial" w:cs="Arial" w:eastAsia="Arial" w:hAnsi="Arial"/>
                <w:sz w:val="18"/>
                <w:szCs w:val="18"/>
                <w:color w:val="auto"/>
                <w:w w:val="97"/>
              </w:rPr>
              <w:t>AMENDMENT, SUPPLEMENT AND WAIVER</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SECTION 8.01.   Without Consent of Noteholders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8.02.   With Consent of Noteholders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8.03.   Compliance with Trust Indenture Act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8.04.   Revocation and Effect of Consents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SECTION 8.05.   Notation on or Exchange of Notes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SECTION 8.06.   Trustee To Sign Amendments, etc.</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280" w:type="dxa"/>
            <w:vAlign w:val="bottom"/>
          </w:tcPr>
          <w:p>
            <w:pPr>
              <w:spacing w:after="0"/>
              <w:rPr>
                <w:sz w:val="24"/>
                <w:szCs w:val="24"/>
                <w:color w:val="auto"/>
              </w:rPr>
            </w:pPr>
          </w:p>
        </w:tc>
        <w:tc>
          <w:tcPr>
            <w:tcW w:w="7620" w:type="dxa"/>
            <w:vAlign w:val="bottom"/>
          </w:tcPr>
          <w:p>
            <w:pPr>
              <w:jc w:val="center"/>
              <w:ind w:left="310"/>
              <w:spacing w:after="0"/>
              <w:rPr>
                <w:sz w:val="20"/>
                <w:szCs w:val="20"/>
                <w:color w:val="auto"/>
              </w:rPr>
            </w:pPr>
            <w:r>
              <w:rPr>
                <w:rFonts w:ascii="Arial" w:cs="Arial" w:eastAsia="Arial" w:hAnsi="Arial"/>
                <w:sz w:val="18"/>
                <w:szCs w:val="18"/>
                <w:color w:val="auto"/>
                <w:w w:val="98"/>
              </w:rPr>
              <w:t>ARTICLE NINE</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620" w:type="dxa"/>
            <w:vAlign w:val="bottom"/>
          </w:tcPr>
          <w:p>
            <w:pPr>
              <w:jc w:val="center"/>
              <w:ind w:left="290"/>
              <w:spacing w:after="0"/>
              <w:rPr>
                <w:sz w:val="20"/>
                <w:szCs w:val="20"/>
                <w:color w:val="auto"/>
              </w:rPr>
            </w:pPr>
            <w:r>
              <w:rPr>
                <w:rFonts w:ascii="Arial" w:cs="Arial" w:eastAsia="Arial" w:hAnsi="Arial"/>
                <w:sz w:val="18"/>
                <w:szCs w:val="18"/>
                <w:color w:val="auto"/>
                <w:w w:val="96"/>
              </w:rPr>
              <w:t>DISCHARGE OF INDENTURE; DEFEASANCE</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SECTION 9.01.   Discharge of Indenture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9.02.</w:t>
            </w:r>
          </w:p>
        </w:tc>
        <w:tc>
          <w:tcPr>
            <w:tcW w:w="7620" w:type="dxa"/>
            <w:vAlign w:val="bottom"/>
          </w:tcPr>
          <w:p>
            <w:pPr>
              <w:ind w:left="140"/>
              <w:spacing w:after="0"/>
              <w:rPr>
                <w:sz w:val="20"/>
                <w:szCs w:val="20"/>
                <w:color w:val="auto"/>
              </w:rPr>
            </w:pPr>
            <w:r>
              <w:rPr>
                <w:rFonts w:ascii="Arial" w:cs="Arial" w:eastAsia="Arial" w:hAnsi="Arial"/>
                <w:sz w:val="18"/>
                <w:szCs w:val="18"/>
                <w:color w:val="auto"/>
              </w:rPr>
              <w:t>Legal Defeasance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9.03.</w:t>
            </w:r>
          </w:p>
        </w:tc>
        <w:tc>
          <w:tcPr>
            <w:tcW w:w="762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485"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7"/>
        </w:trPr>
        <w:tc>
          <w:tcPr>
            <w:tcW w:w="134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1340" w:type="dxa"/>
            <w:vAlign w:val="bottom"/>
          </w:tcPr>
          <w:p>
            <w:pPr>
              <w:spacing w:after="0"/>
              <w:rPr>
                <w:sz w:val="20"/>
                <w:szCs w:val="20"/>
                <w:color w:val="auto"/>
              </w:rPr>
            </w:pPr>
            <w:r>
              <w:rPr>
                <w:rFonts w:ascii="Arial" w:cs="Arial" w:eastAsia="Arial" w:hAnsi="Arial"/>
                <w:sz w:val="18"/>
                <w:szCs w:val="18"/>
                <w:color w:val="auto"/>
              </w:rPr>
              <w:t>SECTION 9.04.</w:t>
            </w:r>
          </w:p>
        </w:tc>
        <w:tc>
          <w:tcPr>
            <w:tcW w:w="7540" w:type="dxa"/>
            <w:vAlign w:val="bottom"/>
          </w:tcPr>
          <w:p>
            <w:pPr>
              <w:ind w:left="80"/>
              <w:spacing w:after="0"/>
              <w:rPr>
                <w:sz w:val="20"/>
                <w:szCs w:val="20"/>
                <w:color w:val="auto"/>
              </w:rPr>
            </w:pPr>
            <w:r>
              <w:rPr>
                <w:rFonts w:ascii="Arial" w:cs="Arial" w:eastAsia="Arial" w:hAnsi="Arial"/>
                <w:sz w:val="18"/>
                <w:szCs w:val="18"/>
                <w:color w:val="auto"/>
              </w:rPr>
              <w:t>Conditions to Defeasance or Covenant Defeasance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9.05.</w:t>
            </w:r>
          </w:p>
        </w:tc>
        <w:tc>
          <w:tcPr>
            <w:tcW w:w="7540" w:type="dxa"/>
            <w:vAlign w:val="bottom"/>
          </w:tcPr>
          <w:p>
            <w:pPr>
              <w:ind w:left="80"/>
              <w:spacing w:after="0"/>
              <w:rPr>
                <w:sz w:val="20"/>
                <w:szCs w:val="20"/>
                <w:color w:val="auto"/>
              </w:rPr>
            </w:pPr>
            <w:r>
              <w:rPr>
                <w:rFonts w:ascii="Arial" w:cs="Arial" w:eastAsia="Arial" w:hAnsi="Arial"/>
                <w:sz w:val="18"/>
                <w:szCs w:val="18"/>
                <w:color w:val="auto"/>
              </w:rPr>
              <w:t>Deposited Money and EU Government Obligations To Be Held in Trust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9.06.</w:t>
            </w:r>
          </w:p>
        </w:tc>
        <w:tc>
          <w:tcPr>
            <w:tcW w:w="7540" w:type="dxa"/>
            <w:vAlign w:val="bottom"/>
          </w:tcPr>
          <w:p>
            <w:pPr>
              <w:ind w:left="80"/>
              <w:spacing w:after="0"/>
              <w:rPr>
                <w:sz w:val="20"/>
                <w:szCs w:val="20"/>
                <w:color w:val="auto"/>
              </w:rPr>
            </w:pPr>
            <w:r>
              <w:rPr>
                <w:rFonts w:ascii="Arial" w:cs="Arial" w:eastAsia="Arial" w:hAnsi="Arial"/>
                <w:sz w:val="18"/>
                <w:szCs w:val="18"/>
                <w:color w:val="auto"/>
              </w:rPr>
              <w:t>Reinstatement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9.07.</w:t>
            </w:r>
          </w:p>
        </w:tc>
        <w:tc>
          <w:tcPr>
            <w:tcW w:w="7540" w:type="dxa"/>
            <w:vAlign w:val="bottom"/>
          </w:tcPr>
          <w:p>
            <w:pPr>
              <w:ind w:left="80"/>
              <w:spacing w:after="0"/>
              <w:rPr>
                <w:sz w:val="20"/>
                <w:szCs w:val="20"/>
                <w:color w:val="auto"/>
              </w:rPr>
            </w:pPr>
            <w:r>
              <w:rPr>
                <w:rFonts w:ascii="Arial" w:cs="Arial" w:eastAsia="Arial" w:hAnsi="Arial"/>
                <w:sz w:val="18"/>
                <w:szCs w:val="18"/>
                <w:color w:val="auto"/>
              </w:rPr>
              <w:t>Moneys Held by Paying Agent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9.08.</w:t>
            </w:r>
          </w:p>
        </w:tc>
        <w:tc>
          <w:tcPr>
            <w:tcW w:w="7540" w:type="dxa"/>
            <w:vAlign w:val="bottom"/>
          </w:tcPr>
          <w:p>
            <w:pPr>
              <w:ind w:left="80"/>
              <w:spacing w:after="0"/>
              <w:rPr>
                <w:sz w:val="20"/>
                <w:szCs w:val="20"/>
                <w:color w:val="auto"/>
              </w:rPr>
            </w:pPr>
            <w:r>
              <w:rPr>
                <w:rFonts w:ascii="Arial" w:cs="Arial" w:eastAsia="Arial" w:hAnsi="Arial"/>
                <w:sz w:val="18"/>
                <w:szCs w:val="18"/>
                <w:color w:val="auto"/>
              </w:rPr>
              <w:t>Moneys Held by Trustee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340" w:type="dxa"/>
            <w:vAlign w:val="bottom"/>
          </w:tcPr>
          <w:p>
            <w:pPr>
              <w:spacing w:after="0"/>
              <w:rPr>
                <w:sz w:val="24"/>
                <w:szCs w:val="24"/>
                <w:color w:val="auto"/>
              </w:rPr>
            </w:pPr>
          </w:p>
        </w:tc>
        <w:tc>
          <w:tcPr>
            <w:tcW w:w="7540" w:type="dxa"/>
            <w:vAlign w:val="bottom"/>
          </w:tcPr>
          <w:p>
            <w:pPr>
              <w:jc w:val="center"/>
              <w:ind w:left="270"/>
              <w:spacing w:after="0"/>
              <w:rPr>
                <w:sz w:val="20"/>
                <w:szCs w:val="20"/>
                <w:color w:val="auto"/>
              </w:rPr>
            </w:pPr>
            <w:r>
              <w:rPr>
                <w:rFonts w:ascii="Arial" w:cs="Arial" w:eastAsia="Arial" w:hAnsi="Arial"/>
                <w:sz w:val="18"/>
                <w:szCs w:val="18"/>
                <w:color w:val="auto"/>
                <w:w w:val="97"/>
              </w:rPr>
              <w:t>ARTICLE TEN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40" w:type="dxa"/>
            <w:vAlign w:val="bottom"/>
          </w:tcPr>
          <w:p>
            <w:pPr>
              <w:jc w:val="center"/>
              <w:ind w:left="250"/>
              <w:spacing w:after="0"/>
              <w:rPr>
                <w:sz w:val="20"/>
                <w:szCs w:val="20"/>
                <w:color w:val="auto"/>
              </w:rPr>
            </w:pPr>
            <w:r>
              <w:rPr>
                <w:rFonts w:ascii="Arial" w:cs="Arial" w:eastAsia="Arial" w:hAnsi="Arial"/>
                <w:sz w:val="18"/>
                <w:szCs w:val="18"/>
                <w:color w:val="auto"/>
                <w:w w:val="95"/>
              </w:rPr>
              <w:t>GUARANTEE OF SECURITIES</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w w:val="97"/>
              </w:rPr>
              <w:t>SECTION 10.01.</w:t>
            </w:r>
          </w:p>
        </w:tc>
        <w:tc>
          <w:tcPr>
            <w:tcW w:w="7540" w:type="dxa"/>
            <w:vAlign w:val="bottom"/>
          </w:tcPr>
          <w:p>
            <w:pPr>
              <w:ind w:left="80"/>
              <w:spacing w:after="0"/>
              <w:rPr>
                <w:sz w:val="20"/>
                <w:szCs w:val="20"/>
                <w:color w:val="auto"/>
              </w:rPr>
            </w:pPr>
            <w:r>
              <w:rPr>
                <w:rFonts w:ascii="Arial" w:cs="Arial" w:eastAsia="Arial" w:hAnsi="Arial"/>
                <w:sz w:val="18"/>
                <w:szCs w:val="18"/>
                <w:color w:val="auto"/>
              </w:rPr>
              <w:t>Guarantee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10.02.</w:t>
            </w:r>
          </w:p>
        </w:tc>
        <w:tc>
          <w:tcPr>
            <w:tcW w:w="7540" w:type="dxa"/>
            <w:vAlign w:val="bottom"/>
          </w:tcPr>
          <w:p>
            <w:pPr>
              <w:ind w:left="80"/>
              <w:spacing w:after="0"/>
              <w:rPr>
                <w:sz w:val="20"/>
                <w:szCs w:val="20"/>
                <w:color w:val="auto"/>
              </w:rPr>
            </w:pPr>
            <w:r>
              <w:rPr>
                <w:rFonts w:ascii="Arial" w:cs="Arial" w:eastAsia="Arial" w:hAnsi="Arial"/>
                <w:sz w:val="18"/>
                <w:szCs w:val="18"/>
                <w:color w:val="auto"/>
              </w:rPr>
              <w:t>Execution and Delivery of Note Guarantee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10.03.</w:t>
            </w:r>
          </w:p>
        </w:tc>
        <w:tc>
          <w:tcPr>
            <w:tcW w:w="7540" w:type="dxa"/>
            <w:vAlign w:val="bottom"/>
          </w:tcPr>
          <w:p>
            <w:pPr>
              <w:ind w:left="80"/>
              <w:spacing w:after="0"/>
              <w:rPr>
                <w:sz w:val="20"/>
                <w:szCs w:val="20"/>
                <w:color w:val="auto"/>
              </w:rPr>
            </w:pPr>
            <w:r>
              <w:rPr>
                <w:rFonts w:ascii="Arial" w:cs="Arial" w:eastAsia="Arial" w:hAnsi="Arial"/>
                <w:sz w:val="18"/>
                <w:szCs w:val="18"/>
                <w:color w:val="auto"/>
              </w:rPr>
              <w:t>Release of Guarantors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10.04.</w:t>
            </w:r>
          </w:p>
        </w:tc>
        <w:tc>
          <w:tcPr>
            <w:tcW w:w="7540" w:type="dxa"/>
            <w:vAlign w:val="bottom"/>
          </w:tcPr>
          <w:p>
            <w:pPr>
              <w:ind w:left="80"/>
              <w:spacing w:after="0"/>
              <w:rPr>
                <w:sz w:val="20"/>
                <w:szCs w:val="20"/>
                <w:color w:val="auto"/>
              </w:rPr>
            </w:pPr>
            <w:r>
              <w:rPr>
                <w:rFonts w:ascii="Arial" w:cs="Arial" w:eastAsia="Arial" w:hAnsi="Arial"/>
                <w:sz w:val="18"/>
                <w:szCs w:val="18"/>
                <w:color w:val="auto"/>
              </w:rPr>
              <w:t>Waiver of Subrogation</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10.05.</w:t>
            </w:r>
          </w:p>
        </w:tc>
        <w:tc>
          <w:tcPr>
            <w:tcW w:w="7540" w:type="dxa"/>
            <w:vAlign w:val="bottom"/>
          </w:tcPr>
          <w:p>
            <w:pPr>
              <w:ind w:left="80"/>
              <w:spacing w:after="0"/>
              <w:rPr>
                <w:sz w:val="20"/>
                <w:szCs w:val="20"/>
                <w:color w:val="auto"/>
              </w:rPr>
            </w:pPr>
            <w:r>
              <w:rPr>
                <w:rFonts w:ascii="Arial" w:cs="Arial" w:eastAsia="Arial" w:hAnsi="Arial"/>
                <w:sz w:val="18"/>
                <w:szCs w:val="18"/>
                <w:color w:val="auto"/>
              </w:rPr>
              <w:t>Notice to Trustee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w w:val="97"/>
              </w:rPr>
              <w:t>SECTION 10.06.</w:t>
            </w:r>
          </w:p>
        </w:tc>
        <w:tc>
          <w:tcPr>
            <w:tcW w:w="7540" w:type="dxa"/>
            <w:vAlign w:val="bottom"/>
          </w:tcPr>
          <w:p>
            <w:pPr>
              <w:ind w:left="80"/>
              <w:spacing w:after="0"/>
              <w:rPr>
                <w:sz w:val="20"/>
                <w:szCs w:val="20"/>
                <w:color w:val="auto"/>
              </w:rPr>
            </w:pPr>
            <w:r>
              <w:rPr>
                <w:rFonts w:ascii="Arial" w:cs="Arial" w:eastAsia="Arial" w:hAnsi="Arial"/>
                <w:sz w:val="18"/>
                <w:szCs w:val="18"/>
                <w:color w:val="auto"/>
              </w:rPr>
              <w:t>Limitation on Guarantor’s Liability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340" w:type="dxa"/>
            <w:vAlign w:val="bottom"/>
          </w:tcPr>
          <w:p>
            <w:pPr>
              <w:spacing w:after="0"/>
              <w:rPr>
                <w:sz w:val="24"/>
                <w:szCs w:val="24"/>
                <w:color w:val="auto"/>
              </w:rPr>
            </w:pPr>
          </w:p>
        </w:tc>
        <w:tc>
          <w:tcPr>
            <w:tcW w:w="7540" w:type="dxa"/>
            <w:vAlign w:val="bottom"/>
          </w:tcPr>
          <w:p>
            <w:pPr>
              <w:jc w:val="center"/>
              <w:ind w:left="270"/>
              <w:spacing w:after="0"/>
              <w:rPr>
                <w:sz w:val="20"/>
                <w:szCs w:val="20"/>
                <w:color w:val="auto"/>
              </w:rPr>
            </w:pPr>
            <w:r>
              <w:rPr>
                <w:rFonts w:ascii="Arial" w:cs="Arial" w:eastAsia="Arial" w:hAnsi="Arial"/>
                <w:sz w:val="18"/>
                <w:szCs w:val="18"/>
                <w:color w:val="auto"/>
                <w:w w:val="98"/>
              </w:rPr>
              <w:t>ARTICLE ELEVEN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40" w:type="dxa"/>
            <w:vAlign w:val="bottom"/>
          </w:tcPr>
          <w:p>
            <w:pPr>
              <w:jc w:val="center"/>
              <w:ind w:left="270"/>
              <w:spacing w:after="0"/>
              <w:rPr>
                <w:sz w:val="20"/>
                <w:szCs w:val="20"/>
                <w:color w:val="auto"/>
              </w:rPr>
            </w:pPr>
            <w:r>
              <w:rPr>
                <w:rFonts w:ascii="Arial" w:cs="Arial" w:eastAsia="Arial" w:hAnsi="Arial"/>
                <w:sz w:val="18"/>
                <w:szCs w:val="18"/>
                <w:color w:val="auto"/>
                <w:w w:val="97"/>
              </w:rPr>
              <w:t>MISCELLANEOUS</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w w:val="97"/>
              </w:rPr>
              <w:t>SECTION 11.01.</w:t>
            </w:r>
          </w:p>
        </w:tc>
        <w:tc>
          <w:tcPr>
            <w:tcW w:w="7540" w:type="dxa"/>
            <w:vAlign w:val="bottom"/>
          </w:tcPr>
          <w:p>
            <w:pPr>
              <w:ind w:left="80"/>
              <w:spacing w:after="0"/>
              <w:rPr>
                <w:sz w:val="20"/>
                <w:szCs w:val="20"/>
                <w:color w:val="auto"/>
              </w:rPr>
            </w:pPr>
            <w:r>
              <w:rPr>
                <w:rFonts w:ascii="Arial" w:cs="Arial" w:eastAsia="Arial" w:hAnsi="Arial"/>
                <w:sz w:val="18"/>
                <w:szCs w:val="18"/>
                <w:color w:val="auto"/>
              </w:rPr>
              <w:t>Trust Indenture Act Controls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11.02.</w:t>
            </w:r>
          </w:p>
        </w:tc>
        <w:tc>
          <w:tcPr>
            <w:tcW w:w="7540" w:type="dxa"/>
            <w:vAlign w:val="bottom"/>
          </w:tcPr>
          <w:p>
            <w:pPr>
              <w:ind w:left="80"/>
              <w:spacing w:after="0"/>
              <w:rPr>
                <w:sz w:val="20"/>
                <w:szCs w:val="20"/>
                <w:color w:val="auto"/>
              </w:rPr>
            </w:pPr>
            <w:r>
              <w:rPr>
                <w:rFonts w:ascii="Arial" w:cs="Arial" w:eastAsia="Arial" w:hAnsi="Arial"/>
                <w:sz w:val="18"/>
                <w:szCs w:val="18"/>
                <w:color w:val="auto"/>
              </w:rPr>
              <w:t>Notices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11.03.</w:t>
            </w:r>
          </w:p>
        </w:tc>
        <w:tc>
          <w:tcPr>
            <w:tcW w:w="7540" w:type="dxa"/>
            <w:vAlign w:val="bottom"/>
          </w:tcPr>
          <w:p>
            <w:pPr>
              <w:ind w:left="80"/>
              <w:spacing w:after="0"/>
              <w:rPr>
                <w:sz w:val="20"/>
                <w:szCs w:val="20"/>
                <w:color w:val="auto"/>
              </w:rPr>
            </w:pPr>
            <w:r>
              <w:rPr>
                <w:rFonts w:ascii="Arial" w:cs="Arial" w:eastAsia="Arial" w:hAnsi="Arial"/>
                <w:sz w:val="18"/>
                <w:szCs w:val="18"/>
                <w:color w:val="auto"/>
              </w:rPr>
              <w:t>Communications by Holders with Other Holders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11.04.</w:t>
            </w:r>
          </w:p>
        </w:tc>
        <w:tc>
          <w:tcPr>
            <w:tcW w:w="7540" w:type="dxa"/>
            <w:vAlign w:val="bottom"/>
          </w:tcPr>
          <w:p>
            <w:pPr>
              <w:ind w:left="80"/>
              <w:spacing w:after="0"/>
              <w:rPr>
                <w:sz w:val="20"/>
                <w:szCs w:val="20"/>
                <w:color w:val="auto"/>
              </w:rPr>
            </w:pPr>
            <w:r>
              <w:rPr>
                <w:rFonts w:ascii="Arial" w:cs="Arial" w:eastAsia="Arial" w:hAnsi="Arial"/>
                <w:sz w:val="18"/>
                <w:szCs w:val="18"/>
                <w:color w:val="auto"/>
              </w:rPr>
              <w:t>Certificate and Opinion as to Conditions Precedent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11.05.</w:t>
            </w:r>
          </w:p>
        </w:tc>
        <w:tc>
          <w:tcPr>
            <w:tcW w:w="7540" w:type="dxa"/>
            <w:vAlign w:val="bottom"/>
          </w:tcPr>
          <w:p>
            <w:pPr>
              <w:ind w:left="80"/>
              <w:spacing w:after="0"/>
              <w:rPr>
                <w:sz w:val="20"/>
                <w:szCs w:val="20"/>
                <w:color w:val="auto"/>
              </w:rPr>
            </w:pPr>
            <w:r>
              <w:rPr>
                <w:rFonts w:ascii="Arial" w:cs="Arial" w:eastAsia="Arial" w:hAnsi="Arial"/>
                <w:sz w:val="18"/>
                <w:szCs w:val="18"/>
                <w:color w:val="auto"/>
              </w:rPr>
              <w:t>Statements Required in Certificate and Opinion</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11.06.</w:t>
            </w:r>
          </w:p>
        </w:tc>
        <w:tc>
          <w:tcPr>
            <w:tcW w:w="7540" w:type="dxa"/>
            <w:vAlign w:val="bottom"/>
          </w:tcPr>
          <w:p>
            <w:pPr>
              <w:ind w:left="80"/>
              <w:spacing w:after="0"/>
              <w:rPr>
                <w:sz w:val="20"/>
                <w:szCs w:val="20"/>
                <w:color w:val="auto"/>
              </w:rPr>
            </w:pPr>
            <w:r>
              <w:rPr>
                <w:rFonts w:ascii="Arial" w:cs="Arial" w:eastAsia="Arial" w:hAnsi="Arial"/>
                <w:sz w:val="18"/>
                <w:szCs w:val="18"/>
                <w:color w:val="auto"/>
              </w:rPr>
              <w:t>Rules by Trustee and Agents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11.07.</w:t>
            </w:r>
          </w:p>
        </w:tc>
        <w:tc>
          <w:tcPr>
            <w:tcW w:w="7540" w:type="dxa"/>
            <w:vAlign w:val="bottom"/>
          </w:tcPr>
          <w:p>
            <w:pPr>
              <w:ind w:left="80"/>
              <w:spacing w:after="0"/>
              <w:rPr>
                <w:sz w:val="20"/>
                <w:szCs w:val="20"/>
                <w:color w:val="auto"/>
              </w:rPr>
            </w:pPr>
            <w:r>
              <w:rPr>
                <w:rFonts w:ascii="Arial" w:cs="Arial" w:eastAsia="Arial" w:hAnsi="Arial"/>
                <w:sz w:val="18"/>
                <w:szCs w:val="18"/>
                <w:color w:val="auto"/>
              </w:rPr>
              <w:t>Business Days; Legal Holidays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11.08.</w:t>
            </w:r>
          </w:p>
        </w:tc>
        <w:tc>
          <w:tcPr>
            <w:tcW w:w="75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11.09.</w:t>
            </w:r>
          </w:p>
        </w:tc>
        <w:tc>
          <w:tcPr>
            <w:tcW w:w="7540" w:type="dxa"/>
            <w:vAlign w:val="bottom"/>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11.10.</w:t>
            </w:r>
          </w:p>
        </w:tc>
        <w:tc>
          <w:tcPr>
            <w:tcW w:w="754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11.11.</w:t>
            </w:r>
          </w:p>
        </w:tc>
        <w:tc>
          <w:tcPr>
            <w:tcW w:w="7540" w:type="dxa"/>
            <w:vAlign w:val="bottom"/>
          </w:tcPr>
          <w:p>
            <w:pPr>
              <w:ind w:left="80"/>
              <w:spacing w:after="0"/>
              <w:rPr>
                <w:sz w:val="20"/>
                <w:szCs w:val="20"/>
                <w:color w:val="auto"/>
              </w:rPr>
            </w:pPr>
            <w:r>
              <w:rPr>
                <w:rFonts w:ascii="Arial" w:cs="Arial" w:eastAsia="Arial" w:hAnsi="Arial"/>
                <w:sz w:val="18"/>
                <w:szCs w:val="18"/>
                <w:color w:val="auto"/>
              </w:rPr>
              <w:t>Multiple Counterparts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11.12.</w:t>
            </w:r>
          </w:p>
        </w:tc>
        <w:tc>
          <w:tcPr>
            <w:tcW w:w="7540" w:type="dxa"/>
            <w:vAlign w:val="bottom"/>
          </w:tcPr>
          <w:p>
            <w:pPr>
              <w:ind w:left="80"/>
              <w:spacing w:after="0"/>
              <w:rPr>
                <w:sz w:val="20"/>
                <w:szCs w:val="20"/>
                <w:color w:val="auto"/>
              </w:rPr>
            </w:pPr>
            <w:r>
              <w:rPr>
                <w:rFonts w:ascii="Arial" w:cs="Arial" w:eastAsia="Arial" w:hAnsi="Arial"/>
                <w:sz w:val="18"/>
                <w:szCs w:val="18"/>
                <w:color w:val="auto"/>
              </w:rPr>
              <w:t>Table of Contents, Headings, etc.</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11.13.</w:t>
            </w:r>
          </w:p>
        </w:tc>
        <w:tc>
          <w:tcPr>
            <w:tcW w:w="7540" w:type="dxa"/>
            <w:vAlign w:val="bottom"/>
          </w:tcPr>
          <w:p>
            <w:pPr>
              <w:ind w:left="80"/>
              <w:spacing w:after="0"/>
              <w:rPr>
                <w:sz w:val="20"/>
                <w:szCs w:val="20"/>
                <w:color w:val="auto"/>
              </w:rPr>
            </w:pPr>
            <w:r>
              <w:rPr>
                <w:rFonts w:ascii="Arial" w:cs="Arial" w:eastAsia="Arial" w:hAnsi="Arial"/>
                <w:sz w:val="18"/>
                <w:szCs w:val="18"/>
                <w:color w:val="auto"/>
              </w:rPr>
              <w:t>Separability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11.14.</w:t>
            </w:r>
          </w:p>
        </w:tc>
        <w:tc>
          <w:tcPr>
            <w:tcW w:w="754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11.15.</w:t>
            </w:r>
          </w:p>
        </w:tc>
        <w:tc>
          <w:tcPr>
            <w:tcW w:w="754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11.16.</w:t>
            </w:r>
          </w:p>
        </w:tc>
        <w:tc>
          <w:tcPr>
            <w:tcW w:w="7540" w:type="dxa"/>
            <w:vAlign w:val="bottom"/>
          </w:tcPr>
          <w:p>
            <w:pPr>
              <w:ind w:left="80"/>
              <w:spacing w:after="0"/>
              <w:rPr>
                <w:sz w:val="20"/>
                <w:szCs w:val="20"/>
                <w:color w:val="auto"/>
              </w:rPr>
            </w:pPr>
            <w:r>
              <w:rPr>
                <w:rFonts w:ascii="Arial" w:cs="Arial" w:eastAsia="Arial" w:hAnsi="Arial"/>
                <w:sz w:val="18"/>
                <w:szCs w:val="18"/>
                <w:color w:val="auto"/>
              </w:rPr>
              <w:t>Agent for Service; Submission to Jurisdiction; Waiver of Immunities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7"/>
              </w:rPr>
              <w:t>SECTION 11.17.</w:t>
            </w:r>
          </w:p>
        </w:tc>
        <w:tc>
          <w:tcPr>
            <w:tcW w:w="7540" w:type="dxa"/>
            <w:vAlign w:val="bottom"/>
          </w:tcPr>
          <w:p>
            <w:pPr>
              <w:ind w:left="80"/>
              <w:spacing w:after="0"/>
              <w:rPr>
                <w:sz w:val="20"/>
                <w:szCs w:val="20"/>
                <w:color w:val="auto"/>
              </w:rPr>
            </w:pPr>
            <w:r>
              <w:rPr>
                <w:rFonts w:ascii="Arial" w:cs="Arial" w:eastAsia="Arial" w:hAnsi="Arial"/>
                <w:sz w:val="18"/>
                <w:szCs w:val="18"/>
                <w:color w:val="auto"/>
              </w:rPr>
              <w:t>Currency of Account; Conversion of Currency; Foreign Exchange Restrictions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w w:val="97"/>
              </w:rPr>
              <w:t>SECTION 11.18.</w:t>
            </w:r>
          </w:p>
        </w:tc>
        <w:tc>
          <w:tcPr>
            <w:tcW w:w="7540" w:type="dxa"/>
            <w:vAlign w:val="bottom"/>
          </w:tcPr>
          <w:p>
            <w:pPr>
              <w:ind w:left="80"/>
              <w:spacing w:after="0"/>
              <w:rPr>
                <w:sz w:val="20"/>
                <w:szCs w:val="20"/>
                <w:color w:val="auto"/>
              </w:rPr>
            </w:pPr>
            <w:r>
              <w:rPr>
                <w:rFonts w:ascii="Arial" w:cs="Arial" w:eastAsia="Arial" w:hAnsi="Arial"/>
                <w:sz w:val="18"/>
                <w:szCs w:val="18"/>
                <w:color w:val="auto"/>
              </w:rPr>
              <w:t>BRRD and Other Regulatory Matters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485"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320" w:type="dxa"/>
            <w:vAlign w:val="bottom"/>
          </w:tcPr>
          <w:p>
            <w:pPr>
              <w:ind w:left="4000"/>
              <w:spacing w:after="0"/>
              <w:rPr>
                <w:sz w:val="20"/>
                <w:szCs w:val="20"/>
                <w:color w:val="auto"/>
              </w:rPr>
            </w:pPr>
            <w:r>
              <w:rPr>
                <w:rFonts w:ascii="Arial" w:cs="Arial" w:eastAsia="Arial" w:hAnsi="Arial"/>
                <w:sz w:val="18"/>
                <w:szCs w:val="18"/>
                <w:color w:val="auto"/>
              </w:rPr>
              <w:t>EXHIBITS</w:t>
            </w:r>
          </w:p>
        </w:tc>
        <w:tc>
          <w:tcPr>
            <w:tcW w:w="2600" w:type="dxa"/>
            <w:vAlign w:val="bottom"/>
          </w:tcPr>
          <w:p>
            <w:pPr>
              <w:spacing w:after="0"/>
              <w:rPr>
                <w:sz w:val="20"/>
                <w:szCs w:val="20"/>
                <w:color w:val="auto"/>
              </w:rPr>
            </w:pPr>
          </w:p>
        </w:tc>
      </w:tr>
      <w:tr>
        <w:trPr>
          <w:trHeight w:val="445"/>
        </w:trPr>
        <w:tc>
          <w:tcPr>
            <w:tcW w:w="1100" w:type="dxa"/>
            <w:vAlign w:val="bottom"/>
          </w:tcPr>
          <w:p>
            <w:pPr>
              <w:spacing w:after="0"/>
              <w:rPr>
                <w:sz w:val="20"/>
                <w:szCs w:val="20"/>
                <w:color w:val="auto"/>
              </w:rPr>
            </w:pPr>
            <w:r>
              <w:rPr>
                <w:rFonts w:ascii="Arial" w:cs="Arial" w:eastAsia="Arial" w:hAnsi="Arial"/>
                <w:sz w:val="18"/>
                <w:szCs w:val="18"/>
                <w:color w:val="auto"/>
              </w:rPr>
              <w:t>Exhibit A-1.</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Restricted Note</w:t>
            </w:r>
          </w:p>
        </w:tc>
        <w:tc>
          <w:tcPr>
            <w:tcW w:w="2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A-2.</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Unrestricted Note</w:t>
            </w:r>
          </w:p>
        </w:tc>
        <w:tc>
          <w:tcPr>
            <w:tcW w:w="26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B.</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Private Placement Legend</w:t>
            </w:r>
          </w:p>
        </w:tc>
        <w:tc>
          <w:tcPr>
            <w:tcW w:w="26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C.</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Legend for Global Note</w:t>
            </w:r>
          </w:p>
        </w:tc>
        <w:tc>
          <w:tcPr>
            <w:tcW w:w="26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D.</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OID Legend</w:t>
            </w:r>
          </w:p>
        </w:tc>
        <w:tc>
          <w:tcPr>
            <w:tcW w:w="26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E.</w:t>
            </w:r>
          </w:p>
        </w:tc>
        <w:tc>
          <w:tcPr>
            <w:tcW w:w="73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60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F.</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Certificate of Transfer</w:t>
            </w:r>
          </w:p>
        </w:tc>
        <w:tc>
          <w:tcPr>
            <w:tcW w:w="26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G.</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Certificate of Exchange</w:t>
            </w:r>
          </w:p>
        </w:tc>
        <w:tc>
          <w:tcPr>
            <w:tcW w:w="2600" w:type="dxa"/>
            <w:vAlign w:val="bottom"/>
          </w:tcPr>
          <w:p>
            <w:pPr>
              <w:jc w:val="right"/>
              <w:spacing w:after="0"/>
              <w:rPr>
                <w:sz w:val="20"/>
                <w:szCs w:val="20"/>
                <w:color w:val="auto"/>
              </w:rPr>
            </w:pPr>
            <w:r>
              <w:rPr>
                <w:rFonts w:ascii="Arial" w:cs="Arial" w:eastAsia="Arial" w:hAnsi="Arial"/>
                <w:sz w:val="18"/>
                <w:szCs w:val="18"/>
                <w:color w:val="auto"/>
              </w:rPr>
              <w:t>G-1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H.</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Certificate from Acquiring Institutional Accredited Investor</w:t>
            </w:r>
          </w:p>
        </w:tc>
        <w:tc>
          <w:tcPr>
            <w:tcW w:w="2600" w:type="dxa"/>
            <w:vAlign w:val="bottom"/>
          </w:tcPr>
          <w:p>
            <w:pPr>
              <w:jc w:val="right"/>
              <w:spacing w:after="0"/>
              <w:rPr>
                <w:sz w:val="20"/>
                <w:szCs w:val="20"/>
                <w:color w:val="auto"/>
              </w:rPr>
            </w:pPr>
            <w:r>
              <w:rPr>
                <w:rFonts w:ascii="Arial" w:cs="Arial" w:eastAsia="Arial" w:hAnsi="Arial"/>
                <w:sz w:val="18"/>
                <w:szCs w:val="18"/>
                <w:color w:val="auto"/>
              </w:rPr>
              <w:t>H-1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 I.</w:t>
            </w:r>
          </w:p>
        </w:tc>
        <w:tc>
          <w:tcPr>
            <w:tcW w:w="7320" w:type="dxa"/>
            <w:vAlign w:val="bottom"/>
          </w:tcPr>
          <w:p>
            <w:pPr>
              <w:ind w:left="220"/>
              <w:spacing w:after="0"/>
              <w:rPr>
                <w:sz w:val="20"/>
                <w:szCs w:val="20"/>
                <w:color w:val="auto"/>
              </w:rPr>
            </w:pPr>
            <w:r>
              <w:rPr>
                <w:rFonts w:ascii="Arial" w:cs="Arial" w:eastAsia="Arial" w:hAnsi="Arial"/>
                <w:sz w:val="18"/>
                <w:szCs w:val="18"/>
                <w:color w:val="auto"/>
              </w:rPr>
              <w:t>Form of Guarantee</w:t>
            </w:r>
          </w:p>
        </w:tc>
        <w:tc>
          <w:tcPr>
            <w:tcW w:w="2600" w:type="dxa"/>
            <w:vAlign w:val="bottom"/>
          </w:tcPr>
          <w:p>
            <w:pPr>
              <w:jc w:val="right"/>
              <w:spacing w:after="0"/>
              <w:rPr>
                <w:sz w:val="20"/>
                <w:szCs w:val="20"/>
                <w:color w:val="auto"/>
              </w:rPr>
            </w:pPr>
            <w:r>
              <w:rPr>
                <w:rFonts w:ascii="Arial" w:cs="Arial" w:eastAsia="Arial" w:hAnsi="Arial"/>
                <w:sz w:val="18"/>
                <w:szCs w:val="18"/>
                <w:color w:val="auto"/>
              </w:rPr>
              <w:t>I-1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440" w:top="490" w:right="439" w:bottom="1440" w:gutter="0" w:footer="0" w:header="0"/>
        </w:sectPr>
      </w:pPr>
    </w:p>
    <w:bookmarkStart w:id="11" w:name="page12"/>
    <w:bookmarkEnd w:id="11"/>
    <w:p>
      <w:pPr>
        <w:jc w:val="both"/>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INDENTURE, dated as of May 18, 2023 among Crown European Holdings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(as defined), U.S. Bank Trust Company,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Elavon Financial Services DAC, as paying agent (the “</w:t>
      </w:r>
      <w:r>
        <w:rPr>
          <w:rFonts w:ascii="Arial" w:cs="Arial" w:eastAsia="Arial" w:hAnsi="Arial"/>
          <w:sz w:val="18"/>
          <w:szCs w:val="18"/>
          <w:u w:val="single" w:color="auto"/>
          <w:color w:val="auto"/>
        </w:rPr>
        <w:t>Paying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as registrar (the “</w:t>
      </w:r>
      <w:r>
        <w:rPr>
          <w:rFonts w:ascii="Arial" w:cs="Arial" w:eastAsia="Arial" w:hAnsi="Arial"/>
          <w:sz w:val="18"/>
          <w:szCs w:val="18"/>
          <w:u w:val="single" w:color="auto"/>
          <w:color w:val="auto"/>
        </w:rPr>
        <w:t>Registrar</w:t>
      </w:r>
      <w:r>
        <w:rPr>
          <w:rFonts w:ascii="Arial" w:cs="Arial" w:eastAsia="Arial" w:hAnsi="Arial"/>
          <w:sz w:val="18"/>
          <w:szCs w:val="18"/>
          <w:color w:val="auto"/>
        </w:rPr>
        <w:t>”) and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ONE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Amounts</w:t>
      </w:r>
      <w:r>
        <w:rPr>
          <w:rFonts w:ascii="Arial" w:cs="Arial" w:eastAsia="Arial" w:hAnsi="Arial"/>
          <w:sz w:val="18"/>
          <w:szCs w:val="18"/>
          <w:color w:val="auto"/>
        </w:rPr>
        <w:t>” has the meaning set forth in Section 4.20.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has the meaning set forth in Section 2.01.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Net Assets</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Transfer Agent or agent for service or notices and demands.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Members</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w:t>
      </w:r>
      <w:r>
        <w:rPr>
          <w:rFonts w:ascii="Arial" w:cs="Arial" w:eastAsia="Arial" w:hAnsi="Arial"/>
          <w:sz w:val="17"/>
          <w:szCs w:val="17"/>
          <w:color w:val="auto"/>
        </w:rPr>
        <w:t>” means to amend, supplement, restate, amend and restate or otherwise modify; and “</w:t>
      </w:r>
      <w:r>
        <w:rPr>
          <w:rFonts w:ascii="Arial" w:cs="Arial" w:eastAsia="Arial" w:hAnsi="Arial"/>
          <w:sz w:val="17"/>
          <w:szCs w:val="17"/>
          <w:u w:val="single" w:color="auto"/>
          <w:color w:val="auto"/>
        </w:rPr>
        <w:t>amendment</w:t>
      </w:r>
      <w:r>
        <w:rPr>
          <w:rFonts w:ascii="Arial" w:cs="Arial" w:eastAsia="Arial" w:hAnsi="Arial"/>
          <w:sz w:val="17"/>
          <w:szCs w:val="17"/>
          <w:color w:val="auto"/>
        </w:rPr>
        <w:t>” shall have a correlative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meaning.</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w:t>
      </w:r>
      <w:r>
        <w:rPr>
          <w:rFonts w:ascii="Arial" w:cs="Arial" w:eastAsia="Arial" w:hAnsi="Arial"/>
          <w:sz w:val="18"/>
          <w:szCs w:val="18"/>
          <w:color w:val="auto"/>
        </w:rPr>
        <w:t>” means any asset or property, whether real, personal or mixed, tangible or intangible.</w:t>
      </w:r>
    </w:p>
    <w:p>
      <w:pPr>
        <w:spacing w:after="0" w:line="225"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Debt</w:t>
      </w:r>
      <w:r>
        <w:rPr>
          <w:rFonts w:ascii="Arial" w:cs="Arial" w:eastAsia="Arial" w:hAnsi="Arial"/>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w:t>
      </w:r>
    </w:p>
    <w:p>
      <w:pPr>
        <w:sectPr>
          <w:pgSz w:w="11900" w:h="16838" w:orient="portrait"/>
          <w:cols w:equalWidth="0" w:num="1">
            <w:col w:w="10940"/>
          </w:cols>
          <w:pgMar w:left="440" w:top="490" w:right="519" w:bottom="1440" w:gutter="0" w:footer="0" w:header="0"/>
        </w:sectPr>
      </w:pPr>
    </w:p>
    <w:bookmarkStart w:id="12" w:name="page13"/>
    <w:bookmarkEnd w:id="12"/>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61"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means any person who is designated in writing by the Issuer from time to time to give Instructions to the Trustee or Agent under the terms of this Indenture.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xml:space="preserve">” means Title 11 of the United States Code, as amended, or any similar federal, state, local or foreign law for the relief of debtors, and shall include in respect of each of the Issuer and the French Guarantors, provisions of </w:t>
      </w:r>
      <w:r>
        <w:rPr>
          <w:rFonts w:ascii="Arial" w:cs="Arial" w:eastAsia="Arial" w:hAnsi="Arial"/>
          <w:sz w:val="18"/>
          <w:szCs w:val="18"/>
          <w:i w:val="1"/>
          <w:iCs w:val="1"/>
          <w:color w:val="auto"/>
        </w:rPr>
        <w:t>Livre Sixième, Des difficultés des entreprises</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Currency</w:t>
      </w:r>
      <w:r>
        <w:rPr>
          <w:rFonts w:ascii="Arial" w:cs="Arial" w:eastAsia="Arial" w:hAnsi="Arial"/>
          <w:sz w:val="18"/>
          <w:szCs w:val="18"/>
          <w:color w:val="auto"/>
        </w:rPr>
        <w:t>” has the meaning set forth in Section 11.17.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comparable governing body of such Person.</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Bund Rate</w:t>
      </w:r>
      <w:r>
        <w:rPr>
          <w:rFonts w:ascii="Arial" w:cs="Arial" w:eastAsia="Arial" w:hAnsi="Arial"/>
          <w:sz w:val="18"/>
          <w:szCs w:val="18"/>
          <w:color w:val="auto"/>
        </w:rPr>
        <w:t>” means, as of any Redemption Date, the rate per annum equal to the equivalent yield to maturity as of such Redemption Date of the Comparable German Bund Issue, assuming a price for the Comparable German Bund Issue (expressed as a percentage of its principal amount) equal to the Comparable German Bund Price for such relevant date.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has the meaning set forth in Section 11.07.</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40" w:right="720" w:firstLine="419"/>
        <w:spacing w:after="0" w:line="277" w:lineRule="auto"/>
        <w:tabs>
          <w:tab w:leader="none" w:pos="111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490" w:right="479" w:bottom="144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80" w:firstLine="419"/>
        <w:spacing w:after="0" w:line="311"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40" w:lineRule="exact"/>
        <w:rPr>
          <w:rFonts w:ascii="Arial" w:cs="Arial" w:eastAsia="Arial" w:hAnsi="Arial"/>
          <w:sz w:val="16"/>
          <w:szCs w:val="16"/>
          <w:color w:val="auto"/>
        </w:rPr>
      </w:pPr>
    </w:p>
    <w:p>
      <w:pPr>
        <w:ind w:left="680" w:hanging="26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adoption of a plan for the liquidation or dissolution of Parent or the Issuer (other than in a transaction that complies with Article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Five);</w:t>
      </w:r>
    </w:p>
    <w:p>
      <w:pPr>
        <w:spacing w:after="0" w:line="102" w:lineRule="exact"/>
        <w:rPr>
          <w:rFonts w:ascii="Arial" w:cs="Arial" w:eastAsia="Arial" w:hAnsi="Arial"/>
          <w:sz w:val="17"/>
          <w:szCs w:val="17"/>
          <w:color w:val="auto"/>
        </w:rPr>
      </w:pPr>
    </w:p>
    <w:p>
      <w:pPr>
        <w:ind w:firstLine="419"/>
        <w:spacing w:after="0" w:line="288"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transaction in which Parent becomes a Wholly Owned Subsidiary of another Person (other than a Person that is an individual) (the “</w:t>
      </w:r>
      <w:r>
        <w:rPr>
          <w:rFonts w:ascii="Arial" w:cs="Arial" w:eastAsia="Arial" w:hAnsi="Arial"/>
          <w:sz w:val="16"/>
          <w:szCs w:val="16"/>
          <w:u w:val="single" w:color="auto"/>
          <w:color w:val="auto"/>
        </w:rPr>
        <w:t>New Parent</w:t>
      </w:r>
      <w:r>
        <w:rPr>
          <w:rFonts w:ascii="Arial" w:cs="Arial" w:eastAsia="Arial" w:hAnsi="Arial"/>
          <w:sz w:val="16"/>
          <w:szCs w:val="16"/>
          <w:color w:val="auto"/>
        </w:rPr>
        <w: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60" w:lineRule="exact"/>
        <w:rPr>
          <w:rFonts w:ascii="Arial" w:cs="Arial" w:eastAsia="Arial" w:hAnsi="Arial"/>
          <w:sz w:val="16"/>
          <w:szCs w:val="16"/>
          <w:color w:val="auto"/>
        </w:rPr>
      </w:pPr>
    </w:p>
    <w:p>
      <w:pPr>
        <w:ind w:right="120" w:firstLine="419"/>
        <w:spacing w:after="0" w:line="277" w:lineRule="auto"/>
        <w:tabs>
          <w:tab w:leader="none" w:pos="678"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2" w:lineRule="exact"/>
        <w:rPr>
          <w:rFonts w:ascii="Arial" w:cs="Arial" w:eastAsia="Arial" w:hAnsi="Arial"/>
          <w:sz w:val="18"/>
          <w:szCs w:val="18"/>
          <w:color w:val="auto"/>
        </w:rPr>
      </w:pPr>
    </w:p>
    <w:p>
      <w:pPr>
        <w:ind w:right="340" w:firstLine="419"/>
        <w:spacing w:after="0" w:line="277" w:lineRule="auto"/>
        <w:tabs>
          <w:tab w:leader="none" w:pos="67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first day on which Parent fails to own, either directly or indirectly through one or more Wholly Owned Subsidiaries, 100% of the issued and outstanding Equity Interests of the Issuer.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has the meaning set forth in Section 4.08.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w:t>
      </w:r>
      <w:r>
        <w:rPr>
          <w:rFonts w:ascii="Arial" w:cs="Arial" w:eastAsia="Arial" w:hAnsi="Arial"/>
          <w:sz w:val="18"/>
          <w:szCs w:val="18"/>
          <w:color w:val="auto"/>
        </w:rPr>
        <w:t>” has the meaning set forth in Section 4.08.</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490" w:right="459" w:bottom="1440" w:gutter="0" w:footer="0" w:header="0"/>
        </w:sectPr>
      </w:pPr>
    </w:p>
    <w:bookmarkStart w:id="14" w:name="page15"/>
    <w:bookmarkEnd w:id="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has the meaning set forth in Section 4.08.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Depositary</w:t>
      </w:r>
      <w:r>
        <w:rPr>
          <w:rFonts w:ascii="Arial" w:cs="Arial" w:eastAsia="Arial" w:hAnsi="Arial"/>
          <w:sz w:val="18"/>
          <w:szCs w:val="18"/>
          <w:color w:val="auto"/>
        </w:rPr>
        <w:t>” means Elavon Financial Services DAC, as common depositary for Euroclear and Clearstream.</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Issue</w:t>
      </w:r>
      <w:r>
        <w:rPr>
          <w:rFonts w:ascii="Arial" w:cs="Arial" w:eastAsia="Arial" w:hAnsi="Arial"/>
          <w:sz w:val="17"/>
          <w:szCs w:val="17"/>
          <w:color w:val="auto"/>
        </w:rPr>
        <w:t xml:space="preserve">” means the German Bundesanleihe security selected by any Reference German Bund Dealer as having a fixed maturity most nearly equal to the period from such Redemption Date to April 15, 2028 and that would be utilized, at the time of selection and in accordance with customary financial practice, in pricing new issues of euro denominated corporate debt securities in a principal amount approximately equal to the then outstanding principal amount of the Notes and of a maturity most nearly equal to April 15, 2028;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such Redemption Date to April 15, 2028 is less than one year, a fixed maturity of one year shall be used.</w:t>
      </w:r>
    </w:p>
    <w:p>
      <w:pPr>
        <w:spacing w:after="0" w:line="176"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Comparable German Bund Price</w:t>
      </w:r>
      <w:r>
        <w:rPr>
          <w:rFonts w:ascii="Arial" w:cs="Arial" w:eastAsia="Arial" w:hAnsi="Arial"/>
          <w:sz w:val="16"/>
          <w:szCs w:val="16"/>
          <w:color w:val="auto"/>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such quotations.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with respect to any Person for any period, the Consolidated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in computing Consolidated Net Income:</w:t>
      </w:r>
    </w:p>
    <w:p>
      <w:pPr>
        <w:spacing w:after="0" w:line="103" w:lineRule="exact"/>
        <w:rPr>
          <w:sz w:val="20"/>
          <w:szCs w:val="20"/>
          <w:color w:val="auto"/>
        </w:rPr>
      </w:pPr>
    </w:p>
    <w:p>
      <w:pPr>
        <w:ind w:left="1120" w:hanging="26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490" w:right="479" w:bottom="1440" w:gutter="0" w:footer="0" w:header="0"/>
        </w:sectPr>
      </w:pPr>
    </w:p>
    <w:bookmarkStart w:id="15" w:name="page16"/>
    <w:bookmarkEnd w:id="15"/>
    <w:p>
      <w:pPr>
        <w:ind w:left="440" w:firstLine="419"/>
        <w:spacing w:after="0" w:line="275" w:lineRule="auto"/>
        <w:tabs>
          <w:tab w:leader="none" w:pos="1118"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non-recurring restructuring charges or expenses of such Person and its Subsidiaries for such period, 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76" w:lineRule="exact"/>
        <w:rPr>
          <w:sz w:val="20"/>
          <w:szCs w:val="20"/>
          <w:color w:val="auto"/>
        </w:rPr>
      </w:pPr>
    </w:p>
    <w:p>
      <w:pPr>
        <w:jc w:val="both"/>
        <w:ind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with respect to any Person for any period, the aggregate of the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03" w:lineRule="exact"/>
        <w:rPr>
          <w:sz w:val="20"/>
          <w:szCs w:val="20"/>
          <w:color w:val="auto"/>
        </w:rPr>
      </w:pPr>
    </w:p>
    <w:p>
      <w:pPr>
        <w:ind w:left="440" w:right="200" w:firstLine="419"/>
        <w:spacing w:after="0" w:line="263"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440" w:right="40" w:firstLine="419"/>
        <w:spacing w:after="0" w:line="311" w:lineRule="auto"/>
        <w:tabs>
          <w:tab w:leader="none" w:pos="111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40" w:lineRule="exact"/>
        <w:rPr>
          <w:rFonts w:ascii="Arial" w:cs="Arial" w:eastAsia="Arial" w:hAnsi="Arial"/>
          <w:sz w:val="16"/>
          <w:szCs w:val="16"/>
          <w:color w:val="auto"/>
        </w:rPr>
      </w:pPr>
    </w:p>
    <w:p>
      <w:pPr>
        <w:ind w:left="440" w:right="58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net gain or loss resulting from an asset disposition by the Person in question or any of its Subsidiaries other than in the ordinary course of business shall be excluded;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16" w:name="page17"/>
    <w:bookmarkEnd w:id="16"/>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extraordinary gains and losses shall be excluded;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fees, charges, costs and expenses incurred in connection with the Financing Transaction shall be excluded; and</w:t>
      </w:r>
    </w:p>
    <w:p>
      <w:pPr>
        <w:spacing w:after="0" w:line="117" w:lineRule="exact"/>
        <w:rPr>
          <w:rFonts w:ascii="Arial" w:cs="Arial" w:eastAsia="Arial" w:hAnsi="Arial"/>
          <w:sz w:val="18"/>
          <w:szCs w:val="18"/>
          <w:color w:val="auto"/>
        </w:rPr>
      </w:pPr>
    </w:p>
    <w:p>
      <w:pPr>
        <w:ind w:left="440" w:right="220" w:firstLine="419"/>
        <w:spacing w:after="0" w:line="259"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 (b) 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64"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Indebtedness</w:t>
      </w:r>
      <w:r>
        <w:rPr>
          <w:rFonts w:ascii="Arial" w:cs="Arial" w:eastAsia="Arial" w:hAnsi="Arial"/>
          <w:sz w:val="17"/>
          <w:szCs w:val="17"/>
          <w:color w:val="auto"/>
        </w:rPr>
        <w:t>”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plus (b) the total amount of Capital Lease Obligations of such Person and its Subsidiaries as of the most recent consolidated balance sheet of such Person and its Subsidiaries that is available as of that date, as determined on a consolidated basis in accordance with GAAP, plus (c) the total amount of Attributable Debt in respect of Sale and Leaseback Transactions of such Person and its Subsidiaries as of such date.</w:t>
      </w:r>
    </w:p>
    <w:p>
      <w:pPr>
        <w:spacing w:after="0" w:line="177"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Secured Leverage Ratio</w:t>
      </w:r>
      <w:r>
        <w:rPr>
          <w:rFonts w:ascii="Arial" w:cs="Arial" w:eastAsia="Arial" w:hAnsi="Arial"/>
          <w:sz w:val="16"/>
          <w:szCs w:val="16"/>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490" w:right="53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8"/>
          <w:szCs w:val="18"/>
          <w:u w:val="single" w:color="auto"/>
          <w:color w:val="auto"/>
        </w:rPr>
        <w:t>Calculation Date</w:t>
      </w:r>
      <w:r>
        <w:rPr>
          <w:rFonts w:ascii="Arial" w:cs="Arial" w:eastAsia="Arial" w:hAnsi="Arial"/>
          <w:sz w:val="18"/>
          <w:szCs w:val="18"/>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addition, for purposes of calculating the Consolidated Secured Leverage Ratio:</w:t>
      </w:r>
    </w:p>
    <w:p>
      <w:pPr>
        <w:spacing w:after="0" w:line="117" w:lineRule="exact"/>
        <w:rPr>
          <w:sz w:val="20"/>
          <w:szCs w:val="20"/>
          <w:color w:val="auto"/>
        </w:rPr>
      </w:pPr>
    </w:p>
    <w:p>
      <w:pPr>
        <w:ind w:left="440" w:right="60" w:firstLine="419"/>
        <w:spacing w:after="0" w:line="255"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84"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with GAAP, and operations or businesses disposed of prior to the Calculation Date, will be excluded,</w:t>
      </w:r>
    </w:p>
    <w:p>
      <w:pPr>
        <w:spacing w:after="0" w:line="62" w:lineRule="exact"/>
        <w:rPr>
          <w:sz w:val="20"/>
          <w:szCs w:val="20"/>
          <w:color w:val="auto"/>
        </w:rPr>
      </w:pPr>
    </w:p>
    <w:p>
      <w:pPr>
        <w:ind w:left="440" w:right="160"/>
        <w:spacing w:after="0" w:line="275"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to the extent that clause (1) or (2) of this paragraph requires that pro forma effect be given to an acquisition, disposition or</w:t>
      </w:r>
      <w:r>
        <w:rPr>
          <w:rFonts w:ascii="Arial" w:cs="Arial" w:eastAsia="Arial" w:hAnsi="Arial"/>
          <w:sz w:val="17"/>
          <w:szCs w:val="17"/>
          <w:i w:val="1"/>
          <w:iCs w:val="1"/>
          <w:color w:val="auto"/>
        </w:rPr>
        <w:t xml:space="preserve"> </w:t>
      </w:r>
      <w:r>
        <w:rPr>
          <w:rFonts w:ascii="Arial" w:cs="Arial" w:eastAsia="Arial" w:hAnsi="Arial"/>
          <w:sz w:val="17"/>
          <w:szCs w:val="17"/>
          <w:color w:val="auto"/>
        </w:rPr>
        <w:t>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Commission or any other regulation or policy of the Commission).</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means, as of any date of determination, any member of the Board of Directors of the relevant Person who:</w:t>
      </w:r>
    </w:p>
    <w:p>
      <w:pPr>
        <w:spacing w:after="0" w:line="129" w:lineRule="exact"/>
        <w:rPr>
          <w:sz w:val="20"/>
          <w:szCs w:val="20"/>
          <w:color w:val="auto"/>
        </w:rPr>
      </w:pPr>
    </w:p>
    <w:p>
      <w:pPr>
        <w:ind w:left="1120" w:hanging="261"/>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or</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90" w:right="459" w:bottom="1440" w:gutter="0" w:footer="0" w:header="0"/>
        </w:sectPr>
      </w:pPr>
    </w:p>
    <w:bookmarkStart w:id="18" w:name="page19"/>
    <w:bookmarkEnd w:id="18"/>
    <w:p>
      <w:pPr>
        <w:ind w:right="4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solely for purposes of presenting the Notes for payment, Elavon Financial Services DAC, as Paying Agent, located at Block F1, Cherrywood Business Park, Cherrywood, Dublin 18, D18 W319, Ireland and, for all other purposes the office of the Trustee at which any time its corporate trust business shall be administered, which at the date hereof is located at the address listed in Section 11.02,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set forth in Section 9.03.</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92"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w:t>
      </w:r>
      <w:r>
        <w:rPr>
          <w:rFonts w:ascii="Arial" w:cs="Arial" w:eastAsia="Arial" w:hAnsi="Arial"/>
          <w:sz w:val="18"/>
          <w:szCs w:val="18"/>
          <w:color w:val="auto"/>
        </w:rPr>
        <w:t>” means Crown Cork &amp; Seal Company, Inc., a Pennsylvania corporation, until a successor replaces such party pursuant to Article Five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organized under the laws of the United States or any State thereof or the District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Guarantor</w:t>
      </w:r>
      <w:r>
        <w:rPr>
          <w:rFonts w:ascii="Arial" w:cs="Arial" w:eastAsia="Arial" w:hAnsi="Arial"/>
          <w:sz w:val="18"/>
          <w:szCs w:val="18"/>
          <w:color w:val="auto"/>
        </w:rPr>
        <w:t>” has the meaning set forth in Section 10.06(a)(6).</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Government Obligations</w:t>
      </w:r>
      <w:r>
        <w:rPr>
          <w:rFonts w:ascii="Arial" w:cs="Arial" w:eastAsia="Arial" w:hAnsi="Arial"/>
          <w:sz w:val="18"/>
          <w:szCs w:val="18"/>
          <w:color w:val="auto"/>
        </w:rPr>
        <w:t>” means marketable direct obligations issued by, or unconditionally guaranteed by, any member state of the European Union (as it exists on the Issue Date) or issued by any agency or instrumentality thereof and backed by the full faith and credit of such member state of the European Union that, in each case, mature within one year from the date of acquisition thereof and are not callable or redeemable at the option of the issuer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19" w:name="page20"/>
    <w:bookmarkEnd w:id="19"/>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Euro Currency Equivalent</w:t>
      </w:r>
      <w:r>
        <w:rPr>
          <w:rFonts w:ascii="Arial" w:cs="Arial" w:eastAsia="Arial" w:hAnsi="Arial"/>
          <w:sz w:val="18"/>
          <w:szCs w:val="18"/>
          <w:color w:val="auto"/>
        </w:rPr>
        <w:t>” means, with respect to any monetary amount in a currency other than Euros, at any time for the determination thereof, the amount of Euros obtained by converting such foreign currency involved in such computation into Euros at the spot rate for the purchase of Euros with the applicable foreign currency as quoted by Reuters at approximately 10:00 A.M. (New York time) on the date not more than two Business Days prior to such determination.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Facility</w:t>
      </w:r>
      <w:r>
        <w:rPr>
          <w:rFonts w:ascii="Arial" w:cs="Arial" w:eastAsia="Arial" w:hAnsi="Arial"/>
          <w:sz w:val="17"/>
          <w:szCs w:val="17"/>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December 28, 2017, as amended by the Second Amendment to Amended and Restated Credit Agreement, First Amendment to the U.S. Guarantee Agreement and First Amendment to U.S. Indemnity, Subrogation and Contribution Agreement dated as of March 23, 2018, as amended by the Incremental Amendment No. 2 and Third Amendment to Amended and Restated Credit Agreement, dated as of December 13, 2019, and as amended by the Fourth Amendment to Amended and Restated Credit Agreement, dated as of October 4, 2021, and as amended by Incremental Amendment No. 3 and Fifth Amendment to Amended and Restated Credit Agreement, dated as of August 8, 2022, as such agreement may be further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82"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Transaction</w:t>
      </w:r>
      <w:r>
        <w:rPr>
          <w:rFonts w:ascii="Arial" w:cs="Arial" w:eastAsia="Arial" w:hAnsi="Arial"/>
          <w:sz w:val="18"/>
          <w:szCs w:val="18"/>
          <w:color w:val="auto"/>
        </w:rPr>
        <w:t>” means issuance of the Notes issued on the Issue Date and the application of the net proceeds thereof as described in the Offering Memorandum.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Issuer, which at the date hereof ends on December 31.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French Guarantor</w:t>
      </w:r>
      <w:r>
        <w:rPr>
          <w:rFonts w:ascii="Arial" w:cs="Arial" w:eastAsia="Arial" w:hAnsi="Arial"/>
          <w:sz w:val="18"/>
          <w:szCs w:val="18"/>
          <w:color w:val="auto"/>
        </w:rPr>
        <w:t>” has the meaning set forth in Section 10.06(a)(5).</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20" w:name="page21"/>
    <w:bookmarkEnd w:id="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French Subsidiary Guarantor</w:t>
      </w:r>
      <w:r>
        <w:rPr>
          <w:rFonts w:ascii="Arial" w:cs="Arial" w:eastAsia="Arial" w:hAnsi="Arial"/>
          <w:sz w:val="18"/>
          <w:szCs w:val="18"/>
          <w:color w:val="auto"/>
        </w:rPr>
        <w:t>” has the meaning set forth in Section 10.06(a)(5).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Future Guarantor</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Guarantor</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 Legend</w:t>
      </w:r>
      <w:r>
        <w:rPr>
          <w:rFonts w:ascii="Arial" w:cs="Arial" w:eastAsia="Arial" w:hAnsi="Arial"/>
          <w:sz w:val="18"/>
          <w:szCs w:val="18"/>
          <w:color w:val="auto"/>
        </w:rPr>
        <w:t xml:space="preserve">” means the legend substantially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Notes</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Financing</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Financing Guarantee</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Subsidiary that executes and delivers a Note Guarantee pursuant to Section 4.17; and</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Subsidiary that otherwise executes and delivers a Note Guarantee, in each case, until such time as such Person is released from its Note Guarantee in accordance with the provisions of this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21" w:name="page22"/>
    <w:bookmarkEnd w:id="2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w:t>
      </w:r>
    </w:p>
    <w:p>
      <w:pPr>
        <w:spacing w:after="0" w:line="117" w:lineRule="exact"/>
        <w:rPr>
          <w:sz w:val="20"/>
          <w:szCs w:val="20"/>
          <w:color w:val="auto"/>
        </w:rPr>
      </w:pPr>
    </w:p>
    <w:p>
      <w:pPr>
        <w:ind w:left="440" w:right="34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interest rate protection agreements including, without limitation, interest rate swap agreements, interest rate cap agreements and interest rate collar agreements;</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foreign exchange contracts, currency swap agreements or other agreements or arrangements designed to protect such Person against fluctuations in interest rates or foreign exchange rates;</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commodity futures contract, commodity option or other similar arrangement or agreement designed to protect such Person against fluctuations in the prices of commodities; and</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indemnity agreements and arrangements entered into in connection with the agreements and arrangements described in clauses (1), (2) and (3) above.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Noteholder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240" w:hanging="253"/>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490" w:right="499" w:bottom="1440" w:gutter="0" w:footer="0" w:header="0"/>
        </w:sectPr>
      </w:pPr>
    </w:p>
    <w:bookmarkStart w:id="22" w:name="page23"/>
    <w:bookmarkEnd w:id="22"/>
    <w:p>
      <w:pPr>
        <w:ind w:left="1240" w:hanging="25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respect of Indebtedness of another Person secured by a Lien on the assets of the specified Person, the lesser of:</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the fair market value (as determined in good faith by Parent) of such assets at the date of determination; and</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 the amount of the Indebtedness of the other Person.</w:t>
      </w:r>
    </w:p>
    <w:p>
      <w:pPr>
        <w:spacing w:after="0" w:line="225" w:lineRule="exact"/>
        <w:rPr>
          <w:rFonts w:ascii="Arial" w:cs="Arial" w:eastAsia="Arial" w:hAnsi="Arial"/>
          <w:sz w:val="18"/>
          <w:szCs w:val="18"/>
          <w:color w:val="auto"/>
        </w:rPr>
      </w:pPr>
    </w:p>
    <w:p>
      <w:pPr>
        <w:ind w:left="980" w:right="580"/>
        <w:spacing w:after="0" w:line="500" w:lineRule="auto"/>
        <w:rPr>
          <w:rFonts w:ascii="Arial" w:cs="Arial" w:eastAsia="Arial" w:hAnsi="Arial"/>
          <w:sz w:val="18"/>
          <w:szCs w:val="18"/>
          <w:color w:val="auto"/>
        </w:rPr>
      </w:pPr>
      <w:r>
        <w:rPr>
          <w:rFonts w:ascii="Arial" w:cs="Arial" w:eastAsia="Arial" w:hAnsi="Arial"/>
          <w:sz w:val="18"/>
          <w:szCs w:val="18"/>
          <w:color w:val="auto"/>
        </w:rPr>
        <w:t>For the avoidance of doubt, a letter of credit or analogous instrument will not constitute Indebtedness until it has been drawn upon. “</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restated or supplemented from time to time.</w:t>
      </w:r>
    </w:p>
    <w:p>
      <w:pPr>
        <w:spacing w:after="0" w:line="2" w:lineRule="exact"/>
        <w:rPr>
          <w:sz w:val="20"/>
          <w:szCs w:val="20"/>
          <w:color w:val="auto"/>
        </w:rPr>
      </w:pPr>
    </w:p>
    <w:p>
      <w:pPr>
        <w:jc w:val="both"/>
        <w:ind w:right="1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Purchasers</w:t>
      </w:r>
      <w:r>
        <w:rPr>
          <w:rFonts w:ascii="Arial" w:cs="Arial" w:eastAsia="Arial" w:hAnsi="Arial"/>
          <w:sz w:val="17"/>
          <w:szCs w:val="17"/>
          <w:color w:val="auto"/>
        </w:rPr>
        <w:t>” means BNP Paribas, Deutsche Bank Aktiengesellschaft, UniCredit Bank AG, BofA Securities Europe SA, Citigroup Global Markets Inc., Crédit Agricole Corporate and Investment Bank, Mizuho Securities Europe GmbH, Banco Santander, S.A., Scotiabank (Ireland) Designated Activity Company, SMBC Bank EU AG, TD Securities (USA) LLC, Wells Fargo Securities Europe S.A., Huntington Securities, Inc., ING Bank N.V., MUFG Securities (Europe) N.V., PNC Capital Markets LLC and Coöperatieve Rabobank U.A.</w:t>
      </w:r>
    </w:p>
    <w:p>
      <w:pPr>
        <w:spacing w:after="0" w:line="171" w:lineRule="exact"/>
        <w:rPr>
          <w:sz w:val="20"/>
          <w:szCs w:val="20"/>
          <w:color w:val="auto"/>
        </w:rPr>
      </w:pPr>
    </w:p>
    <w:p>
      <w:pPr>
        <w:jc w:val="both"/>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w:t>
      </w:r>
    </w:p>
    <w:p>
      <w:pPr>
        <w:spacing w:after="0" w:line="170" w:lineRule="exact"/>
        <w:rPr>
          <w:sz w:val="20"/>
          <w:szCs w:val="20"/>
          <w:color w:val="auto"/>
        </w:rPr>
      </w:pPr>
    </w:p>
    <w:p>
      <w:pPr>
        <w:jc w:val="both"/>
        <w:ind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Instructions</w:t>
      </w:r>
      <w:r>
        <w:rPr>
          <w:rFonts w:ascii="Arial" w:cs="Arial" w:eastAsia="Arial" w:hAnsi="Arial"/>
          <w:sz w:val="16"/>
          <w:szCs w:val="16"/>
          <w:color w:val="auto"/>
        </w:rPr>
        <w:t>” means any written notices, written directions or written instructions received by the Trustee or the Agent in accordance with the provisions of this Indenture from an Authorized Person or from a person reasonably believed by the Trustee or the Agent to be an Authorized Person.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the stated maturity of an installment of interest on the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May 18, 2023, the date on which the Notes were first issued under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has the meaning ascribed to such term in the preamble to this Indenture.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490" w:right="479" w:bottom="1440" w:gutter="0" w:footer="0" w:header="0"/>
        </w:sectPr>
      </w:pPr>
    </w:p>
    <w:bookmarkStart w:id="23" w:name="page24"/>
    <w:bookmarkEnd w:id="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set forth in Section 11.17.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Defeasance</w:t>
      </w:r>
      <w:r>
        <w:rPr>
          <w:rFonts w:ascii="Arial" w:cs="Arial" w:eastAsia="Arial" w:hAnsi="Arial"/>
          <w:sz w:val="18"/>
          <w:szCs w:val="18"/>
          <w:color w:val="auto"/>
        </w:rPr>
        <w:t>” has the meaning set forth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has the meaning set forth in Section 11.07.</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57"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claims, losses, liabilities, damages, costs, expenses and judgments (including legal fees and expenses) sustained by either party.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Guarantor</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Premium</w:t>
      </w:r>
      <w:r>
        <w:rPr>
          <w:rFonts w:ascii="Arial" w:cs="Arial" w:eastAsia="Arial" w:hAnsi="Arial"/>
          <w:sz w:val="17"/>
          <w:szCs w:val="17"/>
          <w:color w:val="auto"/>
        </w:rPr>
        <w:t xml:space="preserve">” means, with respect to a Note at any Make-Whole Redemption Date, an amount equal to the greater of (i) 0% of the principal amount of such Note and (ii) the excess, if any, of (x) the present value at such Make-Whole Redemption Date of the sum of (1) the principal amount that would be payable on such Note on April 15, 2028 and (2) all remaining interest payments to and including April 15, 2028 (but excluding any interest accrued to the Make-Whole Redemption Date), discounted on a semiannual basis (assuming a 360-day year consisting of twelve 30-day months) from April 15, 2028 to the Make-Whole Redemption Date at a per annum interest rate equal to the Bund Rate on such Make-Whole Redemption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0.50%, </w:t>
      </w:r>
      <w:r>
        <w:rPr>
          <w:rFonts w:ascii="Arial" w:cs="Arial" w:eastAsia="Arial" w:hAnsi="Arial"/>
          <w:sz w:val="17"/>
          <w:szCs w:val="17"/>
          <w:i w:val="1"/>
          <w:iCs w:val="1"/>
          <w:color w:val="auto"/>
        </w:rPr>
        <w:t>over</w:t>
      </w:r>
      <w:r>
        <w:rPr>
          <w:rFonts w:ascii="Arial" w:cs="Arial" w:eastAsia="Arial" w:hAnsi="Arial"/>
          <w:sz w:val="17"/>
          <w:szCs w:val="17"/>
          <w:color w:val="auto"/>
        </w:rPr>
        <w:t xml:space="preserve"> (y) the outstanding principal amount of such Note.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Redemption</w:t>
      </w:r>
      <w:r>
        <w:rPr>
          <w:rFonts w:ascii="Arial" w:cs="Arial" w:eastAsia="Arial" w:hAnsi="Arial"/>
          <w:sz w:val="18"/>
          <w:szCs w:val="18"/>
          <w:color w:val="auto"/>
        </w:rPr>
        <w:t>” has the meaning set forth in paragraph 5 of the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Redemption Date</w:t>
      </w:r>
      <w:r>
        <w:rPr>
          <w:rFonts w:ascii="Arial" w:cs="Arial" w:eastAsia="Arial" w:hAnsi="Arial"/>
          <w:sz w:val="17"/>
          <w:szCs w:val="17"/>
          <w:color w:val="auto"/>
        </w:rPr>
        <w:t>” with respect to a Make-Whole Redemption, means the date such Make Whole Redemption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effectuated.</w:t>
      </w:r>
    </w:p>
    <w:p>
      <w:pPr>
        <w:spacing w:after="0" w:line="211"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when used with respect to any Note, means the date on which the principal amount of such Note becomes due and payable as therein or herein provided.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Guaranteed Amount</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Equity Cap</w:t>
      </w:r>
      <w:r>
        <w:rPr>
          <w:rFonts w:ascii="Arial" w:cs="Arial" w:eastAsia="Arial" w:hAnsi="Arial"/>
          <w:sz w:val="18"/>
          <w:szCs w:val="18"/>
          <w:color w:val="auto"/>
        </w:rPr>
        <w:t>” has the meaning set forth in Section 10.06.</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490" w:right="459" w:bottom="1440" w:gutter="0" w:footer="0" w:header="0"/>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jc w:val="both"/>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Guarantee</w:t>
      </w:r>
      <w:r>
        <w:rPr>
          <w:rFonts w:ascii="Arial" w:cs="Arial" w:eastAsia="Arial" w:hAnsi="Arial"/>
          <w:sz w:val="18"/>
          <w:szCs w:val="18"/>
          <w:color w:val="auto"/>
        </w:rPr>
        <w:t>” means any Guarantee of the obligations of the Issuer under this Indenture and the Notes by any Person in accordance with the provisions of this Indenture.</w:t>
      </w:r>
    </w:p>
    <w:p>
      <w:pPr>
        <w:spacing w:after="0" w:line="170" w:lineRule="exact"/>
        <w:rPr>
          <w:sz w:val="20"/>
          <w:szCs w:val="20"/>
          <w:color w:val="auto"/>
        </w:rPr>
      </w:pPr>
    </w:p>
    <w:p>
      <w:pPr>
        <w:jc w:val="both"/>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Notes</w:t>
      </w:r>
      <w:r>
        <w:rPr>
          <w:rFonts w:ascii="Arial" w:cs="Arial" w:eastAsia="Arial" w:hAnsi="Arial"/>
          <w:sz w:val="16"/>
          <w:szCs w:val="16"/>
          <w:color w:val="auto"/>
        </w:rPr>
        <w:t>” means the 5.000% Senior Notes due 2028 issued by the Issuer, including, without limitation, any Additional Notes, treated as a single class of securities, as amended from time to time in accordance with the terms hereof, that are issued pursuant to this Indenture.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Memorandum</w:t>
      </w:r>
      <w:r>
        <w:rPr>
          <w:rFonts w:ascii="Arial" w:cs="Arial" w:eastAsia="Arial" w:hAnsi="Arial"/>
          <w:sz w:val="16"/>
          <w:szCs w:val="16"/>
          <w:color w:val="auto"/>
        </w:rPr>
        <w:t>” means the Offering Memorandum of the Issuer, dated May 9, 2023, relating to the offering of the Notes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211"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w:t>
      </w:r>
      <w:r>
        <w:rPr>
          <w:rFonts w:ascii="Arial" w:cs="Arial" w:eastAsia="Arial" w:hAnsi="Arial"/>
          <w:sz w:val="16"/>
          <w:szCs w:val="16"/>
          <w:color w:val="auto"/>
        </w:rPr>
        <w:t>” means, with respect to any Person, the Chairman, President, Chief Executive Officer, Chief Financial Officer, Treasurer, Controller, any Senior Vice President, any Vice President of such Person or any other authorized officer or director of such Person.</w:t>
      </w:r>
    </w:p>
    <w:p>
      <w:pPr>
        <w:spacing w:after="0" w:line="124"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with respect to any Person, a certificate signed by the Chairman, President or Chief Executive Officer of such Person, or the equivalent thereof, and the Chief Financial Officer, Controller, Treasurer, any Senior Vice President or any Vice President of such Person, or the equivalent thereof, that shall comply with applicable provisions of this Indenture.</w:t>
      </w:r>
    </w:p>
    <w:p>
      <w:pPr>
        <w:spacing w:after="0" w:line="184" w:lineRule="exact"/>
        <w:rPr>
          <w:sz w:val="20"/>
          <w:szCs w:val="20"/>
          <w:color w:val="auto"/>
        </w:rPr>
      </w:pPr>
    </w:p>
    <w:p>
      <w:pPr>
        <w:jc w:val="both"/>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from legal counsel who is reasonably acceptable to the Trustee. Such counsel may be an employee of or counsel to Parent or any of its Subsidiaries.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jc w:val="both"/>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Crown Holdings, Inc., a Pennsylvania corporation, until a successor replaces such party pursuant to Article Five of this Indenture and thereafter the successor.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collectively, the executive officers of Parent on the Issue Date.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440" w:top="490" w:right="639" w:bottom="1440" w:gutter="0" w:footer="0" w:header="0"/>
        </w:sectPr>
      </w:pPr>
    </w:p>
    <w:bookmarkStart w:id="25" w:name="page26"/>
    <w:bookmarkEnd w:id="25"/>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4" w:firstLine="419"/>
        <w:spacing w:after="0" w:line="257" w:lineRule="auto"/>
        <w:tabs>
          <w:tab w:leader="none" w:pos="681"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w:t>
      </w:r>
      <w:r>
        <w:rPr>
          <w:rFonts w:ascii="Arial" w:cs="Arial" w:eastAsia="Arial" w:hAnsi="Arial"/>
          <w:sz w:val="18"/>
          <w:szCs w:val="18"/>
          <w:u w:val="single" w:color="auto"/>
          <w:color w:val="auto"/>
        </w:rPr>
        <w:t>substantial improvement</w:t>
      </w:r>
      <w:r>
        <w:rPr>
          <w:rFonts w:ascii="Arial" w:cs="Arial" w:eastAsia="Arial" w:hAnsi="Arial"/>
          <w:sz w:val="18"/>
          <w:szCs w:val="18"/>
          <w:color w:val="auto"/>
        </w:rPr>
        <w:t>”) of such Principal Property or (b) the placing in operation of such Principal Property after the acquisition or completion of any such construction or substantial improvement;</w:t>
      </w:r>
    </w:p>
    <w:p>
      <w:pPr>
        <w:spacing w:after="0" w:line="79" w:lineRule="exact"/>
        <w:rPr>
          <w:rFonts w:ascii="Arial" w:cs="Arial" w:eastAsia="Arial" w:hAnsi="Arial"/>
          <w:sz w:val="18"/>
          <w:szCs w:val="18"/>
          <w:color w:val="auto"/>
        </w:rPr>
      </w:pPr>
    </w:p>
    <w:p>
      <w:pPr>
        <w:ind w:left="4" w:right="40" w:firstLine="419"/>
        <w:spacing w:after="0" w:line="286" w:lineRule="auto"/>
        <w:tabs>
          <w:tab w:leader="none" w:pos="681"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1" w:lineRule="exact"/>
        <w:rPr>
          <w:rFonts w:ascii="Arial" w:cs="Arial" w:eastAsia="Arial" w:hAnsi="Arial"/>
          <w:sz w:val="16"/>
          <w:szCs w:val="16"/>
          <w:color w:val="auto"/>
        </w:rPr>
      </w:pPr>
    </w:p>
    <w:p>
      <w:pPr>
        <w:ind w:left="4" w:right="40" w:hanging="4"/>
        <w:spacing w:after="0" w:line="260"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7" w:lineRule="exact"/>
        <w:rPr>
          <w:rFonts w:ascii="Arial" w:cs="Arial" w:eastAsia="Arial" w:hAnsi="Arial"/>
          <w:sz w:val="18"/>
          <w:szCs w:val="18"/>
          <w:color w:val="auto"/>
        </w:rPr>
      </w:pPr>
    </w:p>
    <w:p>
      <w:pPr>
        <w:ind w:left="684" w:hanging="261"/>
        <w:spacing w:after="0"/>
        <w:tabs>
          <w:tab w:leader="none" w:pos="6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Liens securing Indebtedness in favor of Parent and/or one or more of its Subsidiaries;</w:t>
      </w:r>
    </w:p>
    <w:p>
      <w:pPr>
        <w:spacing w:after="0" w:line="117" w:lineRule="exact"/>
        <w:rPr>
          <w:rFonts w:ascii="Arial" w:cs="Arial" w:eastAsia="Arial" w:hAnsi="Arial"/>
          <w:sz w:val="18"/>
          <w:szCs w:val="18"/>
          <w:color w:val="auto"/>
        </w:rPr>
      </w:pPr>
    </w:p>
    <w:p>
      <w:pPr>
        <w:ind w:left="4" w:right="40" w:firstLine="419"/>
        <w:spacing w:after="0" w:line="263" w:lineRule="auto"/>
        <w:tabs>
          <w:tab w:leader="none" w:pos="681" w:val="left"/>
        </w:tabs>
        <w:numPr>
          <w:ilvl w:val="1"/>
          <w:numId w:val="16"/>
        </w:numPr>
        <w:rPr>
          <w:rFonts w:ascii="Arial" w:cs="Arial" w:eastAsia="Arial" w:hAnsi="Arial"/>
          <w:sz w:val="18"/>
          <w:szCs w:val="18"/>
          <w:color w:val="auto"/>
        </w:rPr>
      </w:pPr>
      <w:r>
        <w:rPr>
          <w:rFonts w:ascii="Arial" w:cs="Arial" w:eastAsia="Arial" w:hAnsi="Arial"/>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75" w:lineRule="exact"/>
        <w:rPr>
          <w:rFonts w:ascii="Arial" w:cs="Arial" w:eastAsia="Arial" w:hAnsi="Arial"/>
          <w:sz w:val="18"/>
          <w:szCs w:val="18"/>
          <w:color w:val="auto"/>
        </w:rPr>
      </w:pPr>
    </w:p>
    <w:p>
      <w:pPr>
        <w:ind w:left="4" w:right="20" w:firstLine="419"/>
        <w:spacing w:after="0" w:line="311" w:lineRule="auto"/>
        <w:tabs>
          <w:tab w:leader="none" w:pos="681" w:val="left"/>
        </w:tabs>
        <w:numPr>
          <w:ilvl w:val="1"/>
          <w:numId w:val="16"/>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40" w:lineRule="exact"/>
        <w:rPr>
          <w:rFonts w:ascii="Arial" w:cs="Arial" w:eastAsia="Arial" w:hAnsi="Arial"/>
          <w:sz w:val="16"/>
          <w:szCs w:val="16"/>
          <w:color w:val="auto"/>
        </w:rPr>
      </w:pPr>
    </w:p>
    <w:p>
      <w:pPr>
        <w:ind w:left="684" w:hanging="261"/>
        <w:spacing w:after="0"/>
        <w:tabs>
          <w:tab w:leader="none" w:pos="6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Liens existing on the date of this Indenture;</w:t>
      </w:r>
    </w:p>
    <w:p>
      <w:pPr>
        <w:spacing w:after="0" w:line="117" w:lineRule="exact"/>
        <w:rPr>
          <w:rFonts w:ascii="Arial" w:cs="Arial" w:eastAsia="Arial" w:hAnsi="Arial"/>
          <w:sz w:val="18"/>
          <w:szCs w:val="18"/>
          <w:color w:val="auto"/>
        </w:rPr>
      </w:pPr>
    </w:p>
    <w:p>
      <w:pPr>
        <w:ind w:left="4" w:right="160" w:firstLine="419"/>
        <w:spacing w:after="0" w:line="259" w:lineRule="auto"/>
        <w:tabs>
          <w:tab w:leader="none" w:pos="681" w:val="left"/>
        </w:tabs>
        <w:numPr>
          <w:ilvl w:val="1"/>
          <w:numId w:val="16"/>
        </w:numPr>
        <w:rPr>
          <w:rFonts w:ascii="Arial" w:cs="Arial" w:eastAsia="Arial" w:hAnsi="Arial"/>
          <w:sz w:val="18"/>
          <w:szCs w:val="18"/>
          <w:color w:val="auto"/>
        </w:rPr>
      </w:pPr>
      <w:r>
        <w:rPr>
          <w:rFonts w:ascii="Arial" w:cs="Arial" w:eastAsia="Arial" w:hAnsi="Arial"/>
          <w:sz w:val="18"/>
          <w:szCs w:val="18"/>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490" w:right="45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79" w:lineRule="exact"/>
        <w:rPr>
          <w:sz w:val="20"/>
          <w:szCs w:val="20"/>
          <w:color w:val="auto"/>
        </w:rPr>
      </w:pPr>
    </w:p>
    <w:p>
      <w:pPr>
        <w:ind w:firstLine="419"/>
        <w:spacing w:after="0" w:line="286" w:lineRule="auto"/>
        <w:tabs>
          <w:tab w:leader="none" w:pos="6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57" w:lineRule="exact"/>
        <w:rPr>
          <w:rFonts w:ascii="Arial" w:cs="Arial" w:eastAsia="Arial" w:hAnsi="Arial"/>
          <w:sz w:val="17"/>
          <w:szCs w:val="17"/>
          <w:color w:val="auto"/>
        </w:rPr>
      </w:pPr>
    </w:p>
    <w:p>
      <w:pPr>
        <w:ind w:right="20" w:firstLine="419"/>
        <w:spacing w:after="0" w:line="277" w:lineRule="auto"/>
        <w:tabs>
          <w:tab w:leader="none" w:pos="6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2" w:lineRule="exact"/>
        <w:rPr>
          <w:rFonts w:ascii="Arial" w:cs="Arial" w:eastAsia="Arial" w:hAnsi="Arial"/>
          <w:sz w:val="18"/>
          <w:szCs w:val="18"/>
          <w:color w:val="auto"/>
        </w:rPr>
      </w:pPr>
    </w:p>
    <w:p>
      <w:pPr>
        <w:ind w:right="40" w:firstLine="419"/>
        <w:spacing w:after="0" w:line="308" w:lineRule="auto"/>
        <w:tabs>
          <w:tab w:leader="none" w:pos="7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38" w:lineRule="exact"/>
        <w:rPr>
          <w:rFonts w:ascii="Arial" w:cs="Arial" w:eastAsia="Arial" w:hAnsi="Arial"/>
          <w:sz w:val="17"/>
          <w:szCs w:val="17"/>
          <w:color w:val="auto"/>
        </w:rPr>
      </w:pPr>
    </w:p>
    <w:p>
      <w:pPr>
        <w:ind w:left="760" w:hanging="341"/>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on or sales of receivables;</w:t>
      </w:r>
    </w:p>
    <w:p>
      <w:pPr>
        <w:spacing w:after="0" w:line="117" w:lineRule="exact"/>
        <w:rPr>
          <w:rFonts w:ascii="Arial" w:cs="Arial" w:eastAsia="Arial" w:hAnsi="Arial"/>
          <w:sz w:val="18"/>
          <w:szCs w:val="18"/>
          <w:color w:val="auto"/>
        </w:rPr>
      </w:pPr>
    </w:p>
    <w:p>
      <w:pPr>
        <w:ind w:right="40" w:firstLine="419"/>
        <w:spacing w:after="0" w:line="272" w:lineRule="auto"/>
        <w:tabs>
          <w:tab w:leader="none" w:pos="7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to the application of the proceeds therefrom), taken together with the amount of all Attributable Debt of Parent and its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at that time outstanding relating to Sale and Leaseback Transactions permitted under Section 4.15, not to exceed 15% of the Consolidated Net Tangible Assets of Parent measured as of the date any such Indebtedness is incurred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and any transaction in connection with which such Indebtedness is being incurred);</w:t>
      </w:r>
    </w:p>
    <w:p>
      <w:pPr>
        <w:spacing w:after="0" w:line="69" w:lineRule="exact"/>
        <w:rPr>
          <w:rFonts w:ascii="Arial" w:cs="Arial" w:eastAsia="Arial" w:hAnsi="Arial"/>
          <w:sz w:val="17"/>
          <w:szCs w:val="17"/>
          <w:color w:val="auto"/>
        </w:rPr>
      </w:pPr>
    </w:p>
    <w:p>
      <w:pPr>
        <w:ind w:right="260" w:firstLine="419"/>
        <w:spacing w:after="0" w:line="263"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490" w:right="459" w:bottom="1440" w:gutter="0" w:footer="0" w:header="0"/>
        </w:sectPr>
      </w:pPr>
    </w:p>
    <w:bookmarkStart w:id="27" w:name="page28"/>
    <w:bookmarkEnd w:id="27"/>
    <w:p>
      <w:pPr>
        <w:ind w:left="440" w:right="200" w:firstLine="419"/>
        <w:spacing w:after="0" w:line="286" w:lineRule="auto"/>
        <w:tabs>
          <w:tab w:leader="none" w:pos="1208"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reserve or other appropriate provision as shall be required in conformity with GAAP shall have been made therefor;</w:t>
      </w:r>
    </w:p>
    <w:p>
      <w:pPr>
        <w:spacing w:after="0" w:line="57" w:lineRule="exact"/>
        <w:rPr>
          <w:rFonts w:ascii="Arial" w:cs="Arial" w:eastAsia="Arial" w:hAnsi="Arial"/>
          <w:sz w:val="17"/>
          <w:szCs w:val="17"/>
          <w:color w:val="auto"/>
        </w:rPr>
      </w:pPr>
    </w:p>
    <w:p>
      <w:pPr>
        <w:ind w:left="440" w:right="40" w:firstLine="419"/>
        <w:spacing w:after="0" w:line="273" w:lineRule="auto"/>
        <w:tabs>
          <w:tab w:leader="none" w:pos="12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69" w:lineRule="exact"/>
        <w:rPr>
          <w:rFonts w:ascii="Arial" w:cs="Arial" w:eastAsia="Arial" w:hAnsi="Arial"/>
          <w:sz w:val="17"/>
          <w:szCs w:val="17"/>
          <w:color w:val="auto"/>
        </w:rPr>
      </w:pPr>
    </w:p>
    <w:p>
      <w:pPr>
        <w:ind w:left="440" w:firstLine="419"/>
        <w:spacing w:after="0" w:line="259"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8" w:lineRule="exact"/>
        <w:rPr>
          <w:rFonts w:ascii="Arial" w:cs="Arial" w:eastAsia="Arial" w:hAnsi="Arial"/>
          <w:sz w:val="18"/>
          <w:szCs w:val="18"/>
          <w:color w:val="auto"/>
        </w:rPr>
      </w:pPr>
    </w:p>
    <w:p>
      <w:pPr>
        <w:ind w:left="440" w:right="240" w:firstLine="419"/>
        <w:spacing w:after="0" w:line="277"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 or securing letters of credit that support such Hedging Obligations; and</w:t>
      </w:r>
    </w:p>
    <w:p>
      <w:pPr>
        <w:spacing w:after="0" w:line="62" w:lineRule="exact"/>
        <w:rPr>
          <w:rFonts w:ascii="Arial" w:cs="Arial" w:eastAsia="Arial" w:hAnsi="Arial"/>
          <w:sz w:val="18"/>
          <w:szCs w:val="18"/>
          <w:color w:val="auto"/>
        </w:rPr>
      </w:pPr>
    </w:p>
    <w:p>
      <w:pPr>
        <w:ind w:left="440" w:right="340" w:firstLine="419"/>
        <w:spacing w:after="0" w:line="277"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resulting from operation of law with respect to any judgments, awards or orders to the extent that such judgments, awards or orders do not cause or constitute a Default under this Indenture.</w:t>
      </w:r>
    </w:p>
    <w:p>
      <w:pPr>
        <w:spacing w:after="0" w:line="170"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8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490" w:right="519" w:bottom="1440" w:gutter="0" w:footer="0" w:header="0"/>
        </w:sectPr>
      </w:pPr>
    </w:p>
    <w:bookmarkStart w:id="28" w:name="page29"/>
    <w:bookmarkEnd w:id="2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Physical Notes</w:t>
      </w:r>
      <w:r>
        <w:rPr>
          <w:rFonts w:ascii="Arial" w:cs="Arial" w:eastAsia="Arial" w:hAnsi="Arial"/>
          <w:sz w:val="18"/>
          <w:szCs w:val="18"/>
          <w:color w:val="auto"/>
        </w:rPr>
        <w:t>” means certificated Notes in registered form.</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of a Note means the principal of the Note plus the premium, if any, payable on the Note which is due or overdue or is to become due at the relevant time.</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any manufacturing plant or manufacturing facility owned (excluding any equipment or personalty located therein) by Parent or any of its Subsidiaries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 Subsidiary</w:t>
      </w:r>
      <w:r>
        <w:rPr>
          <w:rFonts w:ascii="Arial" w:cs="Arial" w:eastAsia="Arial" w:hAnsi="Arial"/>
          <w:sz w:val="18"/>
          <w:szCs w:val="18"/>
          <w:color w:val="auto"/>
        </w:rPr>
        <w:t>” means any Subsidiary that owns, operates or leases one or more Principal Properties.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Legend</w:t>
      </w:r>
      <w:r>
        <w:rPr>
          <w:rFonts w:ascii="Arial" w:cs="Arial" w:eastAsia="Arial" w:hAnsi="Arial"/>
          <w:sz w:val="18"/>
          <w:szCs w:val="18"/>
          <w:color w:val="auto"/>
        </w:rPr>
        <w:t xml:space="preserve">” means the legend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Institutional Buyer</w:t>
      </w:r>
      <w:r>
        <w:rPr>
          <w:rFonts w:ascii="Arial" w:cs="Arial" w:eastAsia="Arial" w:hAnsi="Arial"/>
          <w:sz w:val="18"/>
          <w:szCs w:val="18"/>
          <w:color w:val="auto"/>
        </w:rPr>
        <w:t>” shall have the meaning specified in Rule 144A promulgated under the Securities Act.</w:t>
      </w:r>
    </w:p>
    <w:p>
      <w:pPr>
        <w:spacing w:after="0" w:line="225" w:lineRule="exact"/>
        <w:rPr>
          <w:sz w:val="20"/>
          <w:szCs w:val="20"/>
          <w:color w:val="auto"/>
        </w:rPr>
      </w:pPr>
    </w:p>
    <w:p>
      <w:pPr>
        <w:ind w:right="1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Agency</w:t>
      </w:r>
      <w:r>
        <w:rPr>
          <w:rFonts w:ascii="Arial" w:cs="Arial" w:eastAsia="Arial" w:hAnsi="Arial"/>
          <w:sz w:val="16"/>
          <w:szCs w:val="16"/>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49"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Event</w:t>
      </w:r>
      <w:r>
        <w:rPr>
          <w:rFonts w:ascii="Arial" w:cs="Arial" w:eastAsia="Arial" w:hAnsi="Arial"/>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79" w:lineRule="exact"/>
        <w:rPr>
          <w:sz w:val="20"/>
          <w:szCs w:val="20"/>
          <w:color w:val="auto"/>
        </w:rPr>
      </w:pPr>
    </w:p>
    <w:p>
      <w:pPr>
        <w:ind w:left="440" w:firstLine="419"/>
        <w:spacing w:after="0" w:line="277" w:lineRule="auto"/>
        <w:tabs>
          <w:tab w:leader="none" w:pos="11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490" w:right="479" w:bottom="1440" w:gutter="0" w:footer="0" w:header="0"/>
        </w:sectPr>
      </w:pPr>
    </w:p>
    <w:bookmarkStart w:id="29" w:name="page30"/>
    <w:bookmarkEnd w:id="29"/>
    <w:p>
      <w:pPr>
        <w:ind w:left="440" w:right="320" w:firstLine="419"/>
        <w:spacing w:after="0" w:line="277"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the Notes are rated below Investment Grade by both Rating Agencies on the Rating Date, the rating of the Notes shall remain rated below Investment Grade by both Rating Agencies.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Note to be redeemed pursuant to paragraph 5 of the Notes means the date fixed for such redemption pursuant to the terms of this Indenture and the Notes.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German Bund Dealer</w:t>
      </w:r>
      <w:r>
        <w:rPr>
          <w:rFonts w:ascii="Arial" w:cs="Arial" w:eastAsia="Arial" w:hAnsi="Arial"/>
          <w:sz w:val="17"/>
          <w:szCs w:val="17"/>
          <w:color w:val="auto"/>
        </w:rPr>
        <w:t>” means any dealer of German Bundesanleihe securities appointed by the Issuer in good faith.</w:t>
      </w:r>
    </w:p>
    <w:p>
      <w:pPr>
        <w:spacing w:after="0" w:line="23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German Bund Dealer Quotations</w:t>
      </w:r>
      <w:r>
        <w:rPr>
          <w:rFonts w:ascii="Arial" w:cs="Arial" w:eastAsia="Arial" w:hAnsi="Arial"/>
          <w:sz w:val="18"/>
          <w:szCs w:val="18"/>
          <w:color w:val="auto"/>
        </w:rPr>
        <w:t>” means, with respect to each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3:30 p.m. Frankfurt, Germany time on the third Business Day preceding the relevant date.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Global Notes</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Notes</w:t>
      </w:r>
      <w:r>
        <w:rPr>
          <w:rFonts w:ascii="Arial" w:cs="Arial" w:eastAsia="Arial" w:hAnsi="Arial"/>
          <w:sz w:val="18"/>
          <w:szCs w:val="18"/>
          <w:color w:val="auto"/>
        </w:rPr>
        <w:t>” has the meaning set forth in Section 2.02.</w:t>
      </w:r>
    </w:p>
    <w:p>
      <w:pPr>
        <w:spacing w:after="0" w:line="225"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when used with respect to the Trustee, any officer in the Corporate Trust Department of the Trustee including any vice president, assistant vice president or any other officer of the Trustee who customarily performs functions similar to those performed by the Persons who at the time shall be such officers, respectively, and to whom any corporate trust matter is referred because of such officer’s knowledge of and familiarity with the particular subject, in each case having direct responsibility for the administration of this Indenture.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Note</w:t>
      </w:r>
      <w:r>
        <w:rPr>
          <w:rFonts w:ascii="Arial" w:cs="Arial" w:eastAsia="Arial" w:hAnsi="Arial"/>
          <w:sz w:val="18"/>
          <w:szCs w:val="18"/>
          <w:color w:val="auto"/>
        </w:rPr>
        <w:t>” means a Global Note that is a Restricted Note.</w:t>
      </w:r>
    </w:p>
    <w:p>
      <w:pPr>
        <w:spacing w:after="0" w:line="225"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Note</w:t>
      </w:r>
      <w:r>
        <w:rPr>
          <w:rFonts w:ascii="Arial" w:cs="Arial" w:eastAsia="Arial" w:hAnsi="Arial"/>
          <w:sz w:val="16"/>
          <w:szCs w:val="16"/>
          <w:color w:val="auto"/>
        </w:rPr>
        <w:t xml:space="preserve">” has the same meaning as “restricted security” set forth in Rule 144(a)(3) promulgated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be entitled to request and conclusively rely upon an Opinion of Counsel with respect to whether any Note is a Restricted Note.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Physical Note</w:t>
      </w:r>
      <w:r>
        <w:rPr>
          <w:rFonts w:ascii="Arial" w:cs="Arial" w:eastAsia="Arial" w:hAnsi="Arial"/>
          <w:sz w:val="18"/>
          <w:szCs w:val="18"/>
          <w:color w:val="auto"/>
        </w:rPr>
        <w:t>” means a Physical Note that is a Restricted Note.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490" w:right="45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 Global Notes</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 Notes</w:t>
      </w:r>
      <w:r>
        <w:rPr>
          <w:rFonts w:ascii="Arial" w:cs="Arial" w:eastAsia="Arial" w:hAnsi="Arial"/>
          <w:sz w:val="18"/>
          <w:szCs w:val="18"/>
          <w:color w:val="auto"/>
        </w:rPr>
        <w:t>” has the meaning set forth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has the meaning set forth in Section 4.15.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w:t>
      </w:r>
    </w:p>
    <w:p>
      <w:pPr>
        <w:spacing w:after="0" w:line="248"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right="20" w:firstLine="419"/>
        <w:spacing w:after="0" w:line="342" w:lineRule="auto"/>
        <w:tabs>
          <w:tab w:leader="none" w:pos="1118"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123" w:lineRule="exact"/>
        <w:rPr>
          <w:rFonts w:ascii="Arial" w:cs="Arial" w:eastAsia="Arial" w:hAnsi="Arial"/>
          <w:sz w:val="16"/>
          <w:szCs w:val="16"/>
          <w:color w:val="auto"/>
        </w:rPr>
      </w:pPr>
    </w:p>
    <w:p>
      <w:pPr>
        <w:ind w:left="1120" w:hanging="261"/>
        <w:spacing w:after="0"/>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one or more Subsidiaries of such Person (or any combination thereof).</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Guarantor</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set forth in Section 4.20.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Jurisdiction</w:t>
      </w:r>
      <w:r>
        <w:rPr>
          <w:rFonts w:ascii="Arial" w:cs="Arial" w:eastAsia="Arial" w:hAnsi="Arial"/>
          <w:sz w:val="18"/>
          <w:szCs w:val="18"/>
          <w:color w:val="auto"/>
        </w:rPr>
        <w:t>” has the meaning set forth in Section 4.20.</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TIA</w:t>
      </w:r>
      <w:r>
        <w:rPr>
          <w:rFonts w:ascii="Arial" w:cs="Arial" w:eastAsia="Arial" w:hAnsi="Arial"/>
          <w:sz w:val="18"/>
          <w:szCs w:val="18"/>
          <w:color w:val="auto"/>
        </w:rPr>
        <w:t>” or “</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(15 U.S. Code §§ 77aaa-77bbbb) as in effect on the date of this Indenture (except as provided in Section 8.03).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440" w:top="490" w:right="579" w:bottom="1440" w:gutter="0" w:footer="0" w:header="0"/>
        </w:sectPr>
      </w:pPr>
    </w:p>
    <w:bookmarkStart w:id="31" w:name="page32"/>
    <w:bookmarkEnd w:id="31"/>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Transfer</w:t>
      </w:r>
      <w:r>
        <w:rPr>
          <w:rFonts w:ascii="Arial" w:cs="Arial" w:eastAsia="Arial" w:hAnsi="Arial"/>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party named as such in this Indenture until a successor replaces it pursuant to this Indenture and thereafter means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Global Note</w:t>
      </w:r>
      <w:r>
        <w:rPr>
          <w:rFonts w:ascii="Arial" w:cs="Arial" w:eastAsia="Arial" w:hAnsi="Arial"/>
          <w:sz w:val="18"/>
          <w:szCs w:val="18"/>
          <w:color w:val="auto"/>
        </w:rPr>
        <w:t>” means a Global Note that is not a Restricted Note.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Notes</w:t>
      </w:r>
      <w:r>
        <w:rPr>
          <w:rFonts w:ascii="Arial" w:cs="Arial" w:eastAsia="Arial" w:hAnsi="Arial"/>
          <w:sz w:val="18"/>
          <w:szCs w:val="18"/>
          <w:color w:val="auto"/>
        </w:rPr>
        <w:t>” means Notes that are not Restricted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Physical Note</w:t>
      </w:r>
      <w:r>
        <w:rPr>
          <w:rFonts w:ascii="Arial" w:cs="Arial" w:eastAsia="Arial" w:hAnsi="Arial"/>
          <w:sz w:val="18"/>
          <w:szCs w:val="18"/>
          <w:color w:val="auto"/>
        </w:rPr>
        <w:t>” means a Physical Note that is not a Restricted Note.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Guarantor</w:t>
      </w:r>
      <w:r>
        <w:rPr>
          <w:rFonts w:ascii="Arial" w:cs="Arial" w:eastAsia="Arial" w:hAnsi="Arial"/>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“U.S. person” as defined in Rule 902(k) under the Securities Act.</w:t>
      </w:r>
    </w:p>
    <w:p>
      <w:pPr>
        <w:spacing w:after="0" w:line="225"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“indenture securities” means the Notes.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“indenture securityholder” means a Holder or Noteholder.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490" w:right="479" w:bottom="1440" w:gutter="0" w:footer="0" w:header="0"/>
        </w:sectPr>
      </w:pPr>
    </w:p>
    <w:bookmarkStart w:id="32" w:name="page33"/>
    <w:bookmarkEnd w:id="32"/>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“indenture to be qualified” means this Indenture.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“obligor on the indenture securities” means the Issuer, the Guarantors or any other obligor on the Notes.</w:t>
      </w:r>
    </w:p>
    <w:p>
      <w:pPr>
        <w:spacing w:after="0" w:line="225"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in the TIA by reference to another statute or defined by Commission rule have the meanings therein assigned to them.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 herein, whether defined expressly or by reference;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both genders;</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subsection;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440" w:firstLine="419"/>
        <w:spacing w:after="0" w:line="308" w:lineRule="auto"/>
        <w:tabs>
          <w:tab w:leader="none" w:pos="1118"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38" w:lineRule="exact"/>
        <w:rPr>
          <w:rFonts w:ascii="Arial" w:cs="Arial" w:eastAsia="Arial" w:hAnsi="Arial"/>
          <w:sz w:val="17"/>
          <w:szCs w:val="17"/>
          <w:color w:val="auto"/>
        </w:rPr>
      </w:pPr>
    </w:p>
    <w:p>
      <w:pPr>
        <w:ind w:left="440" w:right="460" w:firstLine="419"/>
        <w:spacing w:after="0" w:line="277"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and “U.S. Dollars” each refer to United States dollars, or such other money of the United States of America that at the time of payment is legal tender for payment of public and private debts; and</w:t>
      </w:r>
    </w:p>
    <w:p>
      <w:pPr>
        <w:spacing w:after="0" w:line="62" w:lineRule="exact"/>
        <w:rPr>
          <w:rFonts w:ascii="Arial" w:cs="Arial" w:eastAsia="Arial" w:hAnsi="Arial"/>
          <w:sz w:val="18"/>
          <w:szCs w:val="18"/>
          <w:color w:val="auto"/>
        </w:rPr>
      </w:pPr>
    </w:p>
    <w:p>
      <w:pPr>
        <w:ind w:left="440" w:right="740" w:firstLine="419"/>
        <w:spacing w:after="0" w:line="277"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and “Euros” each refer to the lawful currency of the member states of the European Union that adopt the single currency in accordance with the Treaty establishing the European Communities, as amended.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490" w:right="5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ARTICLE TWO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Amount of Notes</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55" w:lineRule="auto"/>
        <w:rPr>
          <w:sz w:val="20"/>
          <w:szCs w:val="20"/>
          <w:color w:val="auto"/>
        </w:rPr>
      </w:pPr>
      <w:r>
        <w:rPr>
          <w:rFonts w:ascii="Arial" w:cs="Arial" w:eastAsia="Arial" w:hAnsi="Arial"/>
          <w:sz w:val="18"/>
          <w:szCs w:val="18"/>
          <w:color w:val="auto"/>
        </w:rPr>
        <w:t>The Trustee shall initially authenticate €500,000,000 aggregate principal amount of Notes for original issue on the Issue Date upon a written order of the Issuer in the form of an Officers’ Certificate of the Issuer (other than as provided in Section 2.08). The Trustee shall authenticate additional Notes (“</w:t>
      </w:r>
      <w:r>
        <w:rPr>
          <w:rFonts w:ascii="Arial" w:cs="Arial" w:eastAsia="Arial" w:hAnsi="Arial"/>
          <w:sz w:val="18"/>
          <w:szCs w:val="18"/>
          <w:u w:val="single" w:color="auto"/>
          <w:color w:val="auto"/>
        </w:rPr>
        <w:t>Additional Notes</w:t>
      </w:r>
      <w:r>
        <w:rPr>
          <w:rFonts w:ascii="Arial" w:cs="Arial" w:eastAsia="Arial" w:hAnsi="Arial"/>
          <w:sz w:val="18"/>
          <w:szCs w:val="18"/>
          <w:color w:val="auto"/>
        </w:rPr>
        <w:t>”) thereafter in unlimited amount (so long as permitted by the terms of this Indenture) for original issue upon a written order of the Issuer in the form of an Officers’ Certificate in aggregate principal amount as specified in such order (other than as provided in Section 2.08). Each such written order shall specify the principal amount of Notes to be authenticated and the date on which the Notes are to be authenticated.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and Dating; Legends</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The Notes and the Trustee’s certificate of authentication with respect thereto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(with respect to the Restricted Notes) and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(with respect to the Unrestricted Notes), each of which is incorporated in and forms a part of this Indenture. Each Note shall be dated the date of its authentication.</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Arial" w:cs="Arial" w:eastAsia="Arial" w:hAnsi="Arial"/>
          <w:sz w:val="18"/>
          <w:szCs w:val="18"/>
          <w:u w:val="single" w:color="auto"/>
          <w:color w:val="auto"/>
        </w:rPr>
        <w:t>Rule 144A Notes</w:t>
      </w:r>
      <w:r>
        <w:rPr>
          <w:rFonts w:ascii="Arial" w:cs="Arial" w:eastAsia="Arial" w:hAnsi="Arial"/>
          <w:sz w:val="18"/>
          <w:szCs w:val="18"/>
          <w:color w:val="auto"/>
        </w:rPr>
        <w:t>”), Notes offered and sold in offshore transactions in reliance on Regulation S (“</w:t>
      </w:r>
      <w:r>
        <w:rPr>
          <w:rFonts w:ascii="Arial" w:cs="Arial" w:eastAsia="Arial" w:hAnsi="Arial"/>
          <w:sz w:val="18"/>
          <w:szCs w:val="18"/>
          <w:u w:val="single" w:color="auto"/>
          <w:color w:val="auto"/>
        </w:rPr>
        <w:t>Regulation S Notes</w:t>
      </w:r>
      <w:r>
        <w:rPr>
          <w:rFonts w:ascii="Arial" w:cs="Arial" w:eastAsia="Arial" w:hAnsi="Arial"/>
          <w:sz w:val="18"/>
          <w:szCs w:val="18"/>
          <w:color w:val="auto"/>
        </w:rPr>
        <w:t>”) and all other Restricted Notes shall bear the Private Placement Legend. All Global Notes shall bear the Global Note Legend.</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Each Note issued hereunder that has more than a de minimis amount of original issue discount for U.S. Federal Income Tax purposes shall bear a legend substantially in the form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Notes may be presented for registration of transfer and exchange at the offices of the Registrar.</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490"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Notes shall be executed on behalf of the Issuer by two Officers of the Issuer. The signature of any of these Officers on the Notes may be manual, facsimile, .pdf attachment or other electronically transmitted signature.</w:t>
      </w:r>
    </w:p>
    <w:p>
      <w:pPr>
        <w:spacing w:after="0" w:line="170"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70"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7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71"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Notes shall be issuable only in registered form without coupons in denominations of €100,000 and any integral multiple of €1,000 in excess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Registrar, Paying Agent and Transfer Agent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Issuer shall maintain (a) an office or agency where Notes may be presented for registration of transfer or for exchange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Registrar</w:t>
      </w:r>
      <w:r>
        <w:rPr>
          <w:rFonts w:ascii="Arial" w:cs="Arial" w:eastAsia="Arial" w:hAnsi="Arial"/>
          <w:sz w:val="16"/>
          <w:szCs w:val="16"/>
          <w:color w:val="auto"/>
        </w:rPr>
        <w:t>”), (b) an office or agency in London, England where the Notes may be presented for payment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(c) an office or agency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where notices and demands to or upon the Issuer, if any, in respect of the Notes and this Indenture may be served and (d) an office or agency to act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in respect of the Notes (the “</w:t>
      </w:r>
      <w:r>
        <w:rPr>
          <w:rFonts w:ascii="Arial" w:cs="Arial" w:eastAsia="Arial" w:hAnsi="Arial"/>
          <w:sz w:val="16"/>
          <w:szCs w:val="16"/>
          <w:u w:val="single" w:color="auto"/>
          <w:color w:val="auto"/>
        </w:rPr>
        <w:t>Transfer Agent</w:t>
      </w:r>
      <w:r>
        <w:rPr>
          <w:rFonts w:ascii="Arial" w:cs="Arial" w:eastAsia="Arial" w:hAnsi="Arial"/>
          <w:sz w:val="16"/>
          <w:szCs w:val="16"/>
          <w:color w:val="auto"/>
        </w:rPr>
        <w:t>”). The Registrar shall keep a register of the Notes and of their transfer and exchange.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Registrar shall provide a copy of such register from time to time upon request of the Issuer. The Issuer may have one or more co-registrars and one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additional Paying Agents. The term “Registrar” includes any co-registrars. The term “Paying Agents” means the Paying Agent and any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Paying Agents. The term “Transfer Agent” includes any co-transfer agents. The Issuer or any Affiliate thereof may act as Registrar, a Paying Agent or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 Agent.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490" w:right="479" w:bottom="1440" w:gutter="0" w:footer="0" w:header="0"/>
        </w:sectPr>
      </w:pPr>
    </w:p>
    <w:bookmarkStart w:id="35" w:name="page36"/>
    <w:bookmarkEnd w:id="35"/>
    <w:p>
      <w:pPr>
        <w:ind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Issuer shall enter into an appropriate agency agreement, which shall incorporate the provisions of the TIA, with any Agent that is not a party to this Indenture. The agreement shall implement the provisions of this Indenture that relate to such Agent. The Issuer shall notify the Trustee of the name and address of any such Agent. If the Issuer fails to maintain a Registrar or any required co-registrar or Paying Agent, or fails to give the foregoing notice, the Trustee shall act as such and shall be entitled to appropriate compensation in accordance with Section 7.07.</w:t>
      </w:r>
    </w:p>
    <w:p>
      <w:pPr>
        <w:spacing w:after="0" w:line="171"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The Issuer will ensure that it maintains a Paying Agent in a member state of the European Union that will not be obliged to withhold or deduct tax pursuant to Council Directives 2003/48/EC and 2015/2060/EU.</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The Issuer initially appoints the Trustee as agent for service of notices and demands in connection with the Notes and this Indenture. The Issuer initially appoints Elavon Financial Services DAC, in Dublin as Paying Agent, Registrar and Transfer Agent.</w:t>
      </w:r>
    </w:p>
    <w:p>
      <w:pPr>
        <w:spacing w:after="0" w:line="170"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The Issuer may change the Paying Agent, the Registrar or the Transfer Agent without prior notice to the Holders. For so long as the Notes are listed on the Official List of the Luxembourg Stock Exchange and admitted for trading on the Euro MTF Market, the Issuer will publish a notice of any change of Paying Agent, Registrar or Transfer Agent in accordance with the rules of the Euro MTF Market or, to the extent and in the manner permitted by such rules, post such notice on the official website of the Luxembourg Stock Exchange (</w:t>
      </w:r>
      <w:r>
        <w:rPr>
          <w:rFonts w:ascii="Arial" w:cs="Arial" w:eastAsia="Arial" w:hAnsi="Arial"/>
          <w:sz w:val="17"/>
          <w:szCs w:val="17"/>
          <w:i w:val="1"/>
          <w:iCs w:val="1"/>
          <w:color w:val="auto"/>
        </w:rPr>
        <w:t>www.luxse.com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Paying Agent To Hold Money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Paying Agent shall hold for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 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490"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2.06. </w:t>
      </w:r>
      <w:r>
        <w:rPr>
          <w:rFonts w:ascii="Arial" w:cs="Arial" w:eastAsia="Arial" w:hAnsi="Arial"/>
          <w:sz w:val="18"/>
          <w:szCs w:val="18"/>
          <w:u w:val="single" w:color="auto"/>
          <w:color w:val="auto"/>
        </w:rPr>
        <w:t>Noteholder Lists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Noteholders.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at the Registrar’s request. No service charge shall be made to the Noteholder for any registration of transfer or exchange. The Issuer may require from the Noteholder payment of a sum sufficient to cover any transfer taxes or other governmental charge that may be imposed in relation to a transfer or exchange, but this provision shall not apply to any exchange pursuant to Section 2.11, 3.06, 4.08, 4.12 or 8.05 (in which events the Issuer shall be responsible for the payment of such taxes). The Issuer shall not be required to transfer or exchange any Note selected for redemption.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86"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490"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2.08. </w:t>
      </w:r>
      <w:r>
        <w:rPr>
          <w:rFonts w:ascii="Arial" w:cs="Arial" w:eastAsia="Arial" w:hAnsi="Arial"/>
          <w:sz w:val="18"/>
          <w:szCs w:val="18"/>
          <w:u w:val="single" w:color="auto"/>
          <w:color w:val="auto"/>
        </w:rPr>
        <w:t>Replacement Notes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the Transfer Agent and any Paying Agent from any loss that any of them may suffer if such Note is replaced. The Issuer may charge such Holder for the Issuer’s reasonable out-of-pocket expenses in replacing such Note and the Trustee may charge the Issuer for the Trustee’s out-of-pocket expenses (including, without limitation, attorneys’ fees and disbursements) in replacing such Note. Every replacement Note shall constitute a contractual obligation of the Issuer.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Outstanding Notes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88"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If a Note is replaced pursuant to Section 2.08, it ceases to be outstanding unless the Trustee receives proof satisfactory to the Trustee that the replaced Note is held by a bona fide purchaser in whose hands such Note is a legal, valid and binding obligation of the Issuer.</w:t>
      </w:r>
    </w:p>
    <w:p>
      <w:pPr>
        <w:spacing w:after="0" w:line="146"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If a Paying Agent holds, in its capacity as such, on any Maturity Date, Euros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490"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Treasury Notes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Notes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Issuer at any time may deliver Notes to the Trustee for cancellation. The Registrar, the Transfer Agent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Business Days prior to the payment date. The Issuer shall fix such special record date and payment date in a manner satisfactory to the Trustee. At least 10 days before such special record date, the Issuer shall mail to each affected Noteholder a notice that states the special record date, the payment date and the amount of defaulted interest, and interest payable on defaulted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490" w:right="459" w:bottom="1440" w:gutter="0" w:footer="0" w:header="0"/>
        </w:sectPr>
      </w:pPr>
    </w:p>
    <w:bookmarkStart w:id="39" w:name="page40"/>
    <w:bookmarkEnd w:id="3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pacing w:after="0" w:line="18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CUSIP, ISIN and Common Code Numbers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The Issuer in issuing the Notes may use “CUSIP,” “ISIN” and “Common Code” numbers, and if so used, such CUSIP, ISIN and Common Code numbers shall be included in notices of redemption or exchange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or accuracy of the CUSIP, ISIN or Common Code numbers printed in the notice or on the Notes, and that reliance may be placed only on the other identification numbers printed on the Notes. The Issuer shall promptly notify the Trustee, in writing, of any such CUSIP, ISIN or Common Code number used by the Issuer in connection with the issuance of the Notes and of any change in any such CUSIP, ISIN or Common Code number.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Deposit of Moneys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Prior to 10:00 A.M., London time, one Business Day prior to each Interest Payment Date and Maturity Date, the Issuer shall have deposited with the Paying Agent in immediately available funds Euros sufficient to make cash payments, if any, due on such Interest Payment Date or Maturity Date, as the case may be, in a timely manner which permits such Paying Agent, subject to actual receipt of such funds, to remit payment to the Holders on such Interest Payment Date or Maturity Date, as the case may be. The principal and interest on Global Notes shall be payable to the Common Depositary or its nominee, as the case may be, as the sole registered owner and the sole Holder of the Global Notes represented thereby. The principal and interest on Physical Notes shall be payable, either in person, by wire transfer or by mail, at the office of the Paying Agent.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Book-Entry Provisions for Global Notes</w:t>
      </w:r>
      <w:r>
        <w:rPr>
          <w:rFonts w:ascii="Arial" w:cs="Arial" w:eastAsia="Arial" w:hAnsi="Arial"/>
          <w:sz w:val="18"/>
          <w:szCs w:val="18"/>
          <w:color w:val="auto"/>
        </w:rPr>
        <w:t>.</w:t>
      </w:r>
    </w:p>
    <w:p>
      <w:pPr>
        <w:spacing w:after="0" w:line="225" w:lineRule="exact"/>
        <w:rPr>
          <w:sz w:val="20"/>
          <w:szCs w:val="20"/>
          <w:color w:val="auto"/>
        </w:rPr>
      </w:pPr>
    </w:p>
    <w:p>
      <w:pPr>
        <w:ind w:right="180" w:firstLine="987"/>
        <w:spacing w:after="0" w:line="255"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 144A Notes initially shall be represented by one or more Notes in registered, global form without interest coupons (collectively, the “</w:t>
      </w:r>
      <w:r>
        <w:rPr>
          <w:rFonts w:ascii="Arial" w:cs="Arial" w:eastAsia="Arial" w:hAnsi="Arial"/>
          <w:sz w:val="18"/>
          <w:szCs w:val="18"/>
          <w:u w:val="single" w:color="auto"/>
          <w:color w:val="auto"/>
        </w:rPr>
        <w:t>Rule 144A Global Notes</w:t>
      </w:r>
      <w:r>
        <w:rPr>
          <w:rFonts w:ascii="Arial" w:cs="Arial" w:eastAsia="Arial" w:hAnsi="Arial"/>
          <w:sz w:val="18"/>
          <w:szCs w:val="18"/>
          <w:color w:val="auto"/>
        </w:rPr>
        <w:t>”). Regulation S Notes initially shall be represented by one or more Notes in registered, global form without interest coupons (collectively, the “</w:t>
      </w:r>
      <w:r>
        <w:rPr>
          <w:rFonts w:ascii="Arial" w:cs="Arial" w:eastAsia="Arial" w:hAnsi="Arial"/>
          <w:sz w:val="18"/>
          <w:szCs w:val="18"/>
          <w:u w:val="single" w:color="auto"/>
          <w:color w:val="auto"/>
        </w:rPr>
        <w:t>Regulation S Global Notes</w:t>
      </w:r>
      <w:r>
        <w:rPr>
          <w:rFonts w:ascii="Arial" w:cs="Arial" w:eastAsia="Arial" w:hAnsi="Arial"/>
          <w:sz w:val="18"/>
          <w:szCs w:val="18"/>
          <w:color w:val="auto"/>
        </w:rPr>
        <w:t>”). The term “</w:t>
      </w:r>
      <w:r>
        <w:rPr>
          <w:rFonts w:ascii="Arial" w:cs="Arial" w:eastAsia="Arial" w:hAnsi="Arial"/>
          <w:sz w:val="18"/>
          <w:szCs w:val="18"/>
          <w:u w:val="single" w:color="auto"/>
          <w:color w:val="auto"/>
        </w:rPr>
        <w:t>Global Notes</w:t>
      </w:r>
      <w:r>
        <w:rPr>
          <w:rFonts w:ascii="Arial" w:cs="Arial" w:eastAsia="Arial" w:hAnsi="Arial"/>
          <w:sz w:val="18"/>
          <w:szCs w:val="18"/>
          <w:color w:val="auto"/>
        </w:rPr>
        <w:t>” means the Rule 144A Global Notes and the Regulation S Global Notes. The Global Notes shall bear the Global Note Legend. The Global Notes initially shall (i) be registered in the name of the nominee of such Common Depositary, in each case for credit to an account of an Agent Member, (ii) be delivered to the Common Depositary and (iii) bear the Private Placement Legend.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490" w:right="459" w:bottom="1440" w:gutter="0" w:footer="0" w:header="0"/>
        </w:sectPr>
      </w:pPr>
    </w:p>
    <w:bookmarkStart w:id="40" w:name="page41"/>
    <w:bookmarkEnd w:id="40"/>
    <w:p>
      <w:pPr>
        <w:ind w:left="4"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Members of, or direct or indirect participants in, Euroclear or Clearstream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this Indenture with respect to any Global Note held on their behalf by the nominee of the Common Depositary or under the Global Notes. The nominee of the Common Depositary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Common Depositary or impair, as between Euroclear or Clearstream, as the case may be, and their respective Agent Members, the operation of customary practices governing the exercise of the rights of a Holder of any Note.</w:t>
      </w:r>
    </w:p>
    <w:p>
      <w:pPr>
        <w:spacing w:after="0" w:line="195" w:lineRule="exact"/>
        <w:rPr>
          <w:sz w:val="20"/>
          <w:szCs w:val="20"/>
          <w:color w:val="auto"/>
        </w:rPr>
      </w:pPr>
    </w:p>
    <w:p>
      <w:pPr>
        <w:ind w:left="4" w:right="60" w:firstLine="987"/>
        <w:spacing w:after="0" w:line="286" w:lineRule="auto"/>
        <w:tabs>
          <w:tab w:leader="none" w:pos="1247" w:val="left"/>
        </w:tabs>
        <w:numPr>
          <w:ilvl w:val="1"/>
          <w:numId w:val="25"/>
        </w:numPr>
        <w:rPr>
          <w:rFonts w:ascii="Arial" w:cs="Arial" w:eastAsia="Arial" w:hAnsi="Arial"/>
          <w:sz w:val="16"/>
          <w:szCs w:val="16"/>
          <w:color w:val="auto"/>
        </w:rPr>
      </w:pPr>
      <w:r>
        <w:rPr>
          <w:rFonts w:ascii="Arial" w:cs="Arial" w:eastAsia="Arial" w:hAnsi="Arial"/>
          <w:sz w:val="16"/>
          <w:szCs w:val="16"/>
          <w:color w:val="auto"/>
        </w:rPr>
        <w:t>Transfers of Global Notes shall be limited to transfer in whole, but not in part, to the Common Depositary, its successors or their respective nominees. Interests of beneficial owners in the Global Notes may be transferred or exchanged for Physical Notes only in accordance with the applicable rules and procedures of Euroclear or Clearstream, as the case may be, and the provisions of Section 2.17. In addition, a Global Note shall be exchangeable for Physical Notes only if (x) Euroclear or Clearstream notifies the Issuer that it is unwilling or unable to continue as clearing agency,</w:t>
      </w:r>
    </w:p>
    <w:p>
      <w:pPr>
        <w:spacing w:after="0" w:line="1" w:lineRule="exact"/>
        <w:rPr>
          <w:rFonts w:ascii="Arial" w:cs="Arial" w:eastAsia="Arial" w:hAnsi="Arial"/>
          <w:sz w:val="16"/>
          <w:szCs w:val="16"/>
          <w:color w:val="auto"/>
        </w:rPr>
      </w:pPr>
    </w:p>
    <w:p>
      <w:pPr>
        <w:ind w:left="4" w:right="100" w:hanging="4"/>
        <w:spacing w:after="0" w:line="253"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Common Depositary notifies the Issuer that it is unwilling or unable to continue as common depositary for such Global Note and the Issuer fails to appoint a successor common depositary within 120 days of such notice or, (z) in the case of any Global Note there shall have occurred and be continuing an Event of Default with respect to such Global Note. In all cases, Physical Notes delivered in exchange for any Global Note or beneficial interests therein shall be registered in the names, and issued in any approved denominations, requested by or on behalf of the Common Depositary in accordance with its customary procedures.</w:t>
      </w:r>
    </w:p>
    <w:p>
      <w:pPr>
        <w:spacing w:after="0" w:line="190" w:lineRule="exact"/>
        <w:rPr>
          <w:rFonts w:ascii="Arial" w:cs="Arial" w:eastAsia="Arial" w:hAnsi="Arial"/>
          <w:sz w:val="18"/>
          <w:szCs w:val="18"/>
          <w:color w:val="auto"/>
        </w:rPr>
      </w:pPr>
    </w:p>
    <w:p>
      <w:pPr>
        <w:ind w:left="4" w:right="20" w:firstLine="987"/>
        <w:spacing w:after="0" w:line="257" w:lineRule="auto"/>
        <w:tabs>
          <w:tab w:leader="none" w:pos="12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connection with the transfer of a Global Note as an entirety to beneficial owners pursuant to subsection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Common Depositary in writing in exchange for its beneficial interest in such Global Note, an equal aggregate principal amount of Physical Notes of authorized denominations.</w:t>
      </w:r>
    </w:p>
    <w:p>
      <w:pPr>
        <w:spacing w:after="0" w:line="187" w:lineRule="exact"/>
        <w:rPr>
          <w:rFonts w:ascii="Arial" w:cs="Arial" w:eastAsia="Arial" w:hAnsi="Arial"/>
          <w:sz w:val="18"/>
          <w:szCs w:val="18"/>
          <w:color w:val="auto"/>
        </w:rPr>
      </w:pPr>
    </w:p>
    <w:p>
      <w:pPr>
        <w:ind w:left="4" w:right="40" w:firstLine="987"/>
        <w:spacing w:after="0" w:line="277" w:lineRule="auto"/>
        <w:tabs>
          <w:tab w:leader="none" w:pos="12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Restricted Physical Note delivered in exchange for an interest in a Global Note pursuant to Section 2.17 shall, except as otherwise provided in Section 2.17, bear the Private Placement Legend.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490" w:right="459" w:bottom="1440" w:gutter="0" w:footer="0" w:header="0"/>
        </w:sectPr>
      </w:pPr>
    </w:p>
    <w:bookmarkStart w:id="41" w:name="page42"/>
    <w:bookmarkEnd w:id="41"/>
    <w:p>
      <w:pPr>
        <w:ind w:left="1240" w:hanging="253"/>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right="40" w:firstLine="987"/>
        <w:spacing w:after="0" w:line="308" w:lineRule="auto"/>
        <w:tabs>
          <w:tab w:leader="none" w:pos="12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Transfer and Exchange of Notes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9" w:lineRule="auto"/>
        <w:tabs>
          <w:tab w:leader="none" w:pos="123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Global Notes</w:t>
      </w:r>
      <w:r>
        <w:rPr>
          <w:rFonts w:ascii="Arial" w:cs="Arial" w:eastAsia="Arial" w:hAnsi="Arial"/>
          <w:sz w:val="18"/>
          <w:szCs w:val="18"/>
          <w:color w:val="auto"/>
        </w:rPr>
        <w:t>. A Global Note may not be transferred as a whole except as set forth in Section 2.16(b). Global Notes will not be exchanged by the Issuer for Physical Notes except under the circumstances described in Section 2.16(b). Global Notes also may be exchanged or replaced, in whole or in part, as provided in Sections 2.08 and 2.11. Beneficial interests in a Global Note may be transferred and exchanged as provided in Section 2.17(b) or 2.17(f).</w:t>
      </w:r>
    </w:p>
    <w:p>
      <w:pPr>
        <w:spacing w:after="0" w:line="186" w:lineRule="exact"/>
        <w:rPr>
          <w:rFonts w:ascii="Arial" w:cs="Arial" w:eastAsia="Arial" w:hAnsi="Arial"/>
          <w:sz w:val="18"/>
          <w:szCs w:val="18"/>
          <w:color w:val="auto"/>
        </w:rPr>
      </w:pPr>
    </w:p>
    <w:p>
      <w:pPr>
        <w:ind w:right="20" w:firstLine="987"/>
        <w:spacing w:after="0" w:line="273" w:lineRule="auto"/>
        <w:tabs>
          <w:tab w:leader="none" w:pos="1243"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Beneficial Interests in Global Notes</w:t>
      </w:r>
      <w:r>
        <w:rPr>
          <w:rFonts w:ascii="Arial" w:cs="Arial" w:eastAsia="Arial" w:hAnsi="Arial"/>
          <w:sz w:val="17"/>
          <w:szCs w:val="17"/>
          <w:color w:val="auto"/>
        </w:rPr>
        <w:t>. The transfer and exchange of beneficial interests in the Global Notes shall be effected through the Common Depositary, in accordance with the provisions of this Indenture and the applicable rules and procedures of Euroclear and Clearstream.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69" w:lineRule="exact"/>
        <w:rPr>
          <w:rFonts w:ascii="Arial" w:cs="Arial" w:eastAsia="Arial" w:hAnsi="Arial"/>
          <w:sz w:val="17"/>
          <w:szCs w:val="17"/>
          <w:color w:val="auto"/>
        </w:rPr>
      </w:pPr>
    </w:p>
    <w:p>
      <w:pPr>
        <w:ind w:left="440" w:firstLine="419"/>
        <w:spacing w:after="0" w:line="254" w:lineRule="auto"/>
        <w:tabs>
          <w:tab w:leader="none" w:pos="107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in the Same Global Note</w:t>
      </w:r>
      <w:r>
        <w:rPr>
          <w:rFonts w:ascii="Arial" w:cs="Arial" w:eastAsia="Arial" w:hAnsi="Arial"/>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prior to the expiration of the Restricted Period,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86" w:lineRule="exact"/>
        <w:rPr>
          <w:rFonts w:ascii="Arial" w:cs="Arial" w:eastAsia="Arial" w:hAnsi="Arial"/>
          <w:sz w:val="18"/>
          <w:szCs w:val="18"/>
          <w:color w:val="auto"/>
        </w:rPr>
      </w:pPr>
    </w:p>
    <w:p>
      <w:pPr>
        <w:ind w:left="440" w:right="160" w:firstLine="419"/>
        <w:spacing w:after="0" w:line="263" w:lineRule="auto"/>
        <w:tabs>
          <w:tab w:leader="none" w:pos="111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All Other Transfers and Exchanges of Beneficial Interests in Global Notes</w:t>
      </w:r>
      <w:r>
        <w:rPr>
          <w:rFonts w:ascii="Arial" w:cs="Arial" w:eastAsia="Arial" w:hAnsi="Arial"/>
          <w:sz w:val="18"/>
          <w:szCs w:val="18"/>
          <w:color w:val="auto"/>
        </w:rPr>
        <w:t>. In connection with all transfers and exchanges of beneficial interests in any Global Note that is not subject to Section 2.17(b)(i), the transferor of such beneficial interest must deliver to the Registrar (1) a written order from an Agent Member given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490" w:right="459" w:bottom="1440" w:gutter="0" w:footer="0" w:header="0"/>
        </w:sectPr>
      </w:pPr>
    </w:p>
    <w:bookmarkStart w:id="42" w:name="page43"/>
    <w:bookmarkEnd w:id="4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Common Depositary in accordance with the applicable rules and procedures of Euroclear and Clearstream directing the Common Depositary to credit or cause to be credited a beneficial interest in another Global Note in an amount equal to the beneficial interest to be transferred or exchanged and (2) instructions given in accordance with the applicable rules and procedures of Euroclear and Clearstream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Registrar shall adjust the principal amount of the relevant Global Note(s) pursuant to Section 2.17(f).</w:t>
      </w:r>
    </w:p>
    <w:p>
      <w:pPr>
        <w:spacing w:after="0" w:line="70" w:lineRule="exact"/>
        <w:rPr>
          <w:sz w:val="20"/>
          <w:szCs w:val="20"/>
          <w:color w:val="auto"/>
        </w:rPr>
      </w:pPr>
    </w:p>
    <w:p>
      <w:pPr>
        <w:ind w:right="40" w:firstLine="419"/>
        <w:spacing w:after="0" w:line="263"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to Another Restricted Global Note</w:t>
      </w:r>
      <w:r>
        <w:rPr>
          <w:rFonts w:ascii="Arial" w:cs="Arial" w:eastAsia="Arial" w:hAnsi="Arial"/>
          <w:sz w:val="18"/>
          <w:szCs w:val="18"/>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75" w:lineRule="exact"/>
        <w:rPr>
          <w:rFonts w:ascii="Arial" w:cs="Arial" w:eastAsia="Arial" w:hAnsi="Arial"/>
          <w:sz w:val="18"/>
          <w:szCs w:val="18"/>
          <w:color w:val="auto"/>
        </w:rPr>
      </w:pPr>
    </w:p>
    <w:p>
      <w:pPr>
        <w:ind w:left="540" w:right="420" w:firstLine="408"/>
        <w:spacing w:after="0" w:line="277" w:lineRule="auto"/>
        <w:tabs>
          <w:tab w:leader="none" w:pos="123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Rule 144A Global Note,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(1) thereof; and</w:t>
      </w:r>
    </w:p>
    <w:p>
      <w:pPr>
        <w:spacing w:after="0" w:line="62" w:lineRule="exact"/>
        <w:rPr>
          <w:rFonts w:ascii="Arial" w:cs="Arial" w:eastAsia="Arial" w:hAnsi="Arial"/>
          <w:sz w:val="18"/>
          <w:szCs w:val="18"/>
          <w:color w:val="auto"/>
        </w:rPr>
      </w:pPr>
    </w:p>
    <w:p>
      <w:pPr>
        <w:ind w:left="540" w:right="280" w:firstLine="408"/>
        <w:spacing w:after="0" w:line="277" w:lineRule="auto"/>
        <w:tabs>
          <w:tab w:leader="none" w:pos="12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Regulation S Global Note,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(2) thereof.</w:t>
      </w:r>
    </w:p>
    <w:p>
      <w:pPr>
        <w:spacing w:after="0" w:line="62" w:lineRule="exact"/>
        <w:rPr>
          <w:rFonts w:ascii="Arial" w:cs="Arial" w:eastAsia="Arial" w:hAnsi="Arial"/>
          <w:sz w:val="18"/>
          <w:szCs w:val="18"/>
          <w:color w:val="auto"/>
        </w:rPr>
      </w:pPr>
    </w:p>
    <w:p>
      <w:pPr>
        <w:ind w:right="20" w:firstLine="419"/>
        <w:spacing w:after="0" w:line="279" w:lineRule="auto"/>
        <w:tabs>
          <w:tab w:leader="none" w:pos="72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Beneficial Interests in a Restricted Global Note for Beneficial Interests in an Unrestricted Global Note</w:t>
      </w:r>
      <w:r>
        <w:rPr>
          <w:rFonts w:ascii="Arial" w:cs="Arial" w:eastAsia="Arial" w:hAnsi="Arial"/>
          <w:sz w:val="17"/>
          <w:szCs w:val="17"/>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63" w:lineRule="exact"/>
        <w:rPr>
          <w:rFonts w:ascii="Arial" w:cs="Arial" w:eastAsia="Arial" w:hAnsi="Arial"/>
          <w:sz w:val="17"/>
          <w:szCs w:val="17"/>
          <w:color w:val="auto"/>
        </w:rPr>
      </w:pPr>
    </w:p>
    <w:p>
      <w:pPr>
        <w:ind w:left="540" w:firstLine="408"/>
        <w:spacing w:after="0" w:line="263" w:lineRule="auto"/>
        <w:tabs>
          <w:tab w:leader="none" w:pos="123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including the certifications in item (1)(a) thereof; or</w:t>
      </w:r>
    </w:p>
    <w:p>
      <w:pPr>
        <w:spacing w:after="0" w:line="75" w:lineRule="exact"/>
        <w:rPr>
          <w:rFonts w:ascii="Arial" w:cs="Arial" w:eastAsia="Arial" w:hAnsi="Arial"/>
          <w:sz w:val="18"/>
          <w:szCs w:val="18"/>
          <w:color w:val="auto"/>
        </w:rPr>
      </w:pPr>
    </w:p>
    <w:p>
      <w:pPr>
        <w:jc w:val="both"/>
        <w:ind w:left="540" w:right="40" w:firstLine="408"/>
        <w:spacing w:after="0" w:line="263" w:lineRule="auto"/>
        <w:tabs>
          <w:tab w:leader="none" w:pos="12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(4) thereof,</w:t>
      </w:r>
    </w:p>
    <w:p>
      <w:pPr>
        <w:spacing w:after="0" w:line="1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60"/>
          </w:cols>
          <w:pgMar w:left="880" w:top="490" w:right="559" w:bottom="1440" w:gutter="0" w:footer="0" w:header="0"/>
        </w:sectPr>
      </w:pPr>
    </w:p>
    <w:bookmarkStart w:id="43" w:name="page44"/>
    <w:bookmarkEnd w:id="43"/>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in each such case, if the Registrar so requests or if the applicable rules and procedures of the Euroclear and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58" w:lineRule="exact"/>
        <w:rPr>
          <w:sz w:val="20"/>
          <w:szCs w:val="20"/>
          <w:color w:val="auto"/>
        </w:rPr>
      </w:pPr>
    </w:p>
    <w:p>
      <w:pPr>
        <w:ind w:left="440" w:right="160" w:firstLine="419"/>
        <w:spacing w:after="0" w:line="263" w:lineRule="auto"/>
        <w:tabs>
          <w:tab w:leader="none" w:pos="111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Beneficial Interests in an Unrestricted Global Note for Beneficial Interests in a Restricted Global Note</w:t>
      </w:r>
      <w:r>
        <w:rPr>
          <w:rFonts w:ascii="Arial" w:cs="Arial" w:eastAsia="Arial" w:hAnsi="Arial"/>
          <w:sz w:val="18"/>
          <w:szCs w:val="18"/>
          <w:color w:val="auto"/>
        </w:rPr>
        <w:t>. Beneficial interests in an Unrestricted Global Note cannot be exchanged for, or transferred to Persons who take delivery thereof in the form of, a beneficial interest in a Restricted Global Note.</w:t>
      </w:r>
    </w:p>
    <w:p>
      <w:pPr>
        <w:spacing w:after="0" w:line="183" w:lineRule="exact"/>
        <w:rPr>
          <w:rFonts w:ascii="Arial" w:cs="Arial" w:eastAsia="Arial" w:hAnsi="Arial"/>
          <w:sz w:val="18"/>
          <w:szCs w:val="18"/>
          <w:color w:val="auto"/>
        </w:rPr>
      </w:pPr>
    </w:p>
    <w:p>
      <w:pPr>
        <w:jc w:val="both"/>
        <w:ind w:right="160" w:firstLine="1979"/>
        <w:spacing w:after="0" w:line="311" w:lineRule="auto"/>
        <w:tabs>
          <w:tab w:leader="none" w:pos="222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Beneficial Interests in Global Notes for Physical Notes</w:t>
      </w:r>
      <w:r>
        <w:rPr>
          <w:rFonts w:ascii="Arial" w:cs="Arial" w:eastAsia="Arial" w:hAnsi="Arial"/>
          <w:sz w:val="16"/>
          <w:szCs w:val="16"/>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48" w:lineRule="exact"/>
        <w:rPr>
          <w:rFonts w:ascii="Arial" w:cs="Arial" w:eastAsia="Arial" w:hAnsi="Arial"/>
          <w:sz w:val="16"/>
          <w:szCs w:val="16"/>
          <w:color w:val="auto"/>
        </w:rPr>
      </w:pPr>
    </w:p>
    <w:p>
      <w:pPr>
        <w:ind w:right="140" w:firstLine="1979"/>
        <w:spacing w:after="0" w:line="277" w:lineRule="auto"/>
        <w:tabs>
          <w:tab w:leader="none" w:pos="223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Physical Notes for Beneficial Interests in Global Notes</w:t>
      </w:r>
      <w:r>
        <w:rPr>
          <w:rFonts w:ascii="Arial" w:cs="Arial" w:eastAsia="Arial" w:hAnsi="Arial"/>
          <w:sz w:val="18"/>
          <w:szCs w:val="18"/>
          <w:color w:val="auto"/>
        </w:rPr>
        <w:t>. Physical Notes shall be transferred or exchanged only for beneficial interests in Global Notes as described below:</w:t>
      </w:r>
    </w:p>
    <w:p>
      <w:pPr>
        <w:spacing w:after="0" w:line="62" w:lineRule="exact"/>
        <w:rPr>
          <w:sz w:val="20"/>
          <w:szCs w:val="20"/>
          <w:color w:val="auto"/>
        </w:rPr>
      </w:pPr>
    </w:p>
    <w:p>
      <w:pPr>
        <w:jc w:val="both"/>
        <w:ind w:left="440" w:right="420" w:firstLine="419"/>
        <w:spacing w:after="0" w:line="259" w:lineRule="auto"/>
        <w:tabs>
          <w:tab w:leader="none" w:pos="107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Restricted Physical Notes to Beneficial Interests in Restricted Global Notes</w:t>
      </w:r>
      <w:r>
        <w:rPr>
          <w:rFonts w:ascii="Arial" w:cs="Arial" w:eastAsia="Arial" w:hAnsi="Arial"/>
          <w:sz w:val="18"/>
          <w:szCs w:val="18"/>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1420" w:right="80" w:firstLine="391"/>
        <w:spacing w:after="0" w:line="263" w:lineRule="auto"/>
        <w:tabs>
          <w:tab w:leader="none" w:pos="20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Physical Note proposes to exchange such Restricted Physical Note for a beneficial interest in a Restricted Global Note, a certificate from such Holder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including the certifications in item (2)(a) thereof;</w:t>
      </w:r>
    </w:p>
    <w:p>
      <w:pPr>
        <w:spacing w:after="0" w:line="75" w:lineRule="exact"/>
        <w:rPr>
          <w:rFonts w:ascii="Arial" w:cs="Arial" w:eastAsia="Arial" w:hAnsi="Arial"/>
          <w:sz w:val="18"/>
          <w:szCs w:val="18"/>
          <w:color w:val="auto"/>
        </w:rPr>
      </w:pPr>
    </w:p>
    <w:p>
      <w:pPr>
        <w:ind w:left="1420" w:right="40" w:firstLine="391"/>
        <w:spacing w:after="0" w:line="308" w:lineRule="auto"/>
        <w:tabs>
          <w:tab w:leader="none" w:pos="2088"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if such Restricted Physical Note is being transferred to a Qualified Institutional Buyer in accordance with Rule 144A under the Securities Act, a certificate to the effect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including the certifications in item (1) thereof;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490" w:right="459" w:bottom="1440" w:gutter="0" w:footer="0" w:header="0"/>
        </w:sectPr>
      </w:pPr>
    </w:p>
    <w:bookmarkStart w:id="44" w:name="page45"/>
    <w:bookmarkEnd w:id="44"/>
    <w:p>
      <w:pPr>
        <w:ind w:left="540" w:firstLine="408"/>
        <w:spacing w:after="0" w:line="342" w:lineRule="auto"/>
        <w:tabs>
          <w:tab w:leader="none" w:pos="1226"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if such Restricted Physical Note is being transferred to a Non-U.S. Person in an offshore transaction in accordance with Rule 903 or Rule 904 under the Securities Act, a certificate to the effect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in item (2) thereof;</w:t>
      </w:r>
    </w:p>
    <w:p>
      <w:pPr>
        <w:spacing w:after="0" w:line="15" w:lineRule="exact"/>
        <w:rPr>
          <w:rFonts w:ascii="Arial" w:cs="Arial" w:eastAsia="Arial" w:hAnsi="Arial"/>
          <w:sz w:val="16"/>
          <w:szCs w:val="16"/>
          <w:color w:val="auto"/>
        </w:rPr>
      </w:pPr>
    </w:p>
    <w:p>
      <w:pPr>
        <w:jc w:val="both"/>
        <w:ind w:left="540" w:right="720" w:firstLine="408"/>
        <w:spacing w:after="0" w:line="263"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(3)(a) thereof;</w:t>
      </w:r>
    </w:p>
    <w:p>
      <w:pPr>
        <w:spacing w:after="0" w:line="75" w:lineRule="exact"/>
        <w:rPr>
          <w:rFonts w:ascii="Arial" w:cs="Arial" w:eastAsia="Arial" w:hAnsi="Arial"/>
          <w:sz w:val="18"/>
          <w:szCs w:val="18"/>
          <w:color w:val="auto"/>
        </w:rPr>
      </w:pPr>
    </w:p>
    <w:p>
      <w:pPr>
        <w:jc w:val="both"/>
        <w:ind w:left="540" w:right="40" w:firstLine="408"/>
        <w:spacing w:after="0" w:line="311" w:lineRule="auto"/>
        <w:tabs>
          <w:tab w:leader="none" w:pos="12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if such Restricted Physical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certificates and Opinion of Counsel required by item (3)(d) thereof, if applicable; or</w:t>
      </w:r>
    </w:p>
    <w:p>
      <w:pPr>
        <w:spacing w:after="0" w:line="40" w:lineRule="exact"/>
        <w:rPr>
          <w:rFonts w:ascii="Arial" w:cs="Arial" w:eastAsia="Arial" w:hAnsi="Arial"/>
          <w:sz w:val="16"/>
          <w:szCs w:val="16"/>
          <w:color w:val="auto"/>
        </w:rPr>
      </w:pPr>
    </w:p>
    <w:p>
      <w:pPr>
        <w:ind w:left="540" w:right="320" w:firstLine="408"/>
        <w:spacing w:after="0" w:line="277" w:lineRule="auto"/>
        <w:tabs>
          <w:tab w:leader="none" w:pos="12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if such Restricted Physical Note is being transferred to the Issuer or a Subsidiary thereof, a certificate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(3)(b) thereof,</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Trustee shall cancel the Restricted Physical Note, and increase or cause to be increased the aggregate principal amount of the appropriate Restricted Global Note.</w:t>
      </w:r>
    </w:p>
    <w:p>
      <w:pPr>
        <w:spacing w:after="0" w:line="62" w:lineRule="exact"/>
        <w:rPr>
          <w:sz w:val="20"/>
          <w:szCs w:val="20"/>
          <w:color w:val="auto"/>
        </w:rPr>
      </w:pPr>
    </w:p>
    <w:p>
      <w:pPr>
        <w:ind w:right="240" w:firstLine="419"/>
        <w:spacing w:after="0" w:line="311" w:lineRule="auto"/>
        <w:tabs>
          <w:tab w:leader="none" w:pos="68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Restricted Physical Notes to Beneficial Interests in Unrestricted Global Notes</w:t>
      </w:r>
      <w:r>
        <w:rPr>
          <w:rFonts w:ascii="Arial" w:cs="Arial" w:eastAsia="Arial" w:hAnsi="Arial"/>
          <w:sz w:val="16"/>
          <w:szCs w:val="16"/>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40" w:lineRule="exact"/>
        <w:rPr>
          <w:rFonts w:ascii="Arial" w:cs="Arial" w:eastAsia="Arial" w:hAnsi="Arial"/>
          <w:sz w:val="16"/>
          <w:szCs w:val="16"/>
          <w:color w:val="auto"/>
        </w:rPr>
      </w:pPr>
    </w:p>
    <w:p>
      <w:pPr>
        <w:ind w:left="540" w:right="80" w:firstLine="408"/>
        <w:spacing w:after="0" w:line="342" w:lineRule="auto"/>
        <w:tabs>
          <w:tab w:leader="none" w:pos="1236"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Physical Note proposes to exchange such Restricted Physical Note for a beneficial interest in an Unrestricted Global Note, a certificate from such Holder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including the certifications in item (1)(b) thereof; or</w:t>
      </w:r>
    </w:p>
    <w:p>
      <w:pPr>
        <w:spacing w:after="0" w:line="15" w:lineRule="exact"/>
        <w:rPr>
          <w:rFonts w:ascii="Arial" w:cs="Arial" w:eastAsia="Arial" w:hAnsi="Arial"/>
          <w:sz w:val="16"/>
          <w:szCs w:val="16"/>
          <w:color w:val="auto"/>
        </w:rPr>
      </w:pPr>
    </w:p>
    <w:p>
      <w:pPr>
        <w:ind w:left="540" w:right="60" w:firstLine="408"/>
        <w:spacing w:after="0" w:line="263" w:lineRule="auto"/>
        <w:tabs>
          <w:tab w:leader="none" w:pos="12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(4) thereof,</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40"/>
          </w:cols>
          <w:pgMar w:left="880" w:top="490" w:right="479" w:bottom="1440" w:gutter="0" w:footer="0" w:header="0"/>
        </w:sectPr>
      </w:pPr>
    </w:p>
    <w:bookmarkStart w:id="45" w:name="page46"/>
    <w:bookmarkEnd w:id="45"/>
    <w:p>
      <w:pPr>
        <w:ind w:left="440"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in each such case, if the Registrar so requests or if the applicable rules and procedures of Euroclear or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w:t>
      </w:r>
    </w:p>
    <w:p>
      <w:pPr>
        <w:spacing w:after="0" w:line="73" w:lineRule="exact"/>
        <w:rPr>
          <w:sz w:val="20"/>
          <w:szCs w:val="20"/>
          <w:color w:val="auto"/>
        </w:rPr>
      </w:pPr>
    </w:p>
    <w:p>
      <w:pPr>
        <w:ind w:left="440" w:firstLine="419"/>
        <w:spacing w:after="0" w:line="253" w:lineRule="auto"/>
        <w:tabs>
          <w:tab w:leader="none" w:pos="117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Unrestricted Physical Notes to Beneficial Interests in Unrestricted Global Notes</w:t>
      </w:r>
      <w:r>
        <w:rPr>
          <w:rFonts w:ascii="Arial" w:cs="Arial" w:eastAsia="Arial" w:hAnsi="Arial"/>
          <w:sz w:val="18"/>
          <w:szCs w:val="18"/>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88" w:lineRule="exact"/>
        <w:rPr>
          <w:rFonts w:ascii="Arial" w:cs="Arial" w:eastAsia="Arial" w:hAnsi="Arial"/>
          <w:sz w:val="18"/>
          <w:szCs w:val="18"/>
          <w:color w:val="auto"/>
        </w:rPr>
      </w:pPr>
    </w:p>
    <w:p>
      <w:pPr>
        <w:ind w:left="440" w:right="120" w:firstLine="419"/>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Unrestricted Physical Notes to Beneficial Interests in Restricted Global Notes</w:t>
      </w:r>
      <w:r>
        <w:rPr>
          <w:rFonts w:ascii="Arial" w:cs="Arial" w:eastAsia="Arial" w:hAnsi="Arial"/>
          <w:sz w:val="18"/>
          <w:szCs w:val="18"/>
          <w:color w:val="auto"/>
        </w:rPr>
        <w:t>. An Unrestricted Physical Note cannot be exchanged for, or transferred to a Person who takes delivery thereof in the form of, a beneficial interest in a Restricted Global Note.</w:t>
      </w:r>
    </w:p>
    <w:p>
      <w:pPr>
        <w:spacing w:after="0" w:line="170" w:lineRule="exact"/>
        <w:rPr>
          <w:rFonts w:ascii="Arial" w:cs="Arial" w:eastAsia="Arial" w:hAnsi="Arial"/>
          <w:sz w:val="18"/>
          <w:szCs w:val="18"/>
          <w:color w:val="auto"/>
        </w:rPr>
      </w:pPr>
    </w:p>
    <w:p>
      <w:pPr>
        <w:ind w:right="40" w:firstLine="987"/>
        <w:spacing w:after="0" w:line="255" w:lineRule="auto"/>
        <w:tabs>
          <w:tab w:leader="none" w:pos="123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Physical Notes for Physical Notes</w:t>
      </w:r>
      <w:r>
        <w:rPr>
          <w:rFonts w:ascii="Arial" w:cs="Arial" w:eastAsia="Arial" w:hAnsi="Arial"/>
          <w:sz w:val="18"/>
          <w:szCs w:val="18"/>
          <w:color w:val="auto"/>
        </w:rPr>
        <w:t>.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490" w:right="459" w:bottom="1440" w:gutter="0" w:footer="0" w:header="0"/>
        </w:sectPr>
      </w:pPr>
    </w:p>
    <w:bookmarkStart w:id="46" w:name="page47"/>
    <w:bookmarkEnd w:id="46"/>
    <w:p>
      <w:pPr>
        <w:ind w:right="100" w:firstLine="419"/>
        <w:spacing w:after="0" w:line="277" w:lineRule="auto"/>
        <w:tabs>
          <w:tab w:leader="none" w:pos="63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Restricted Physical Notes to Restricted Physical Notes</w:t>
      </w:r>
      <w:r>
        <w:rPr>
          <w:rFonts w:ascii="Arial" w:cs="Arial" w:eastAsia="Arial" w:hAnsi="Arial"/>
          <w:sz w:val="18"/>
          <w:szCs w:val="18"/>
          <w:color w:val="auto"/>
        </w:rPr>
        <w:t>. A Restricted Physical Note may be transferred to and registered in the name of a Person who takes delivery thereof in the form of a Restricted Physical Note if the Registrar receives the following:</w:t>
      </w:r>
    </w:p>
    <w:p>
      <w:pPr>
        <w:spacing w:after="0" w:line="62" w:lineRule="exact"/>
        <w:rPr>
          <w:rFonts w:ascii="Arial" w:cs="Arial" w:eastAsia="Arial" w:hAnsi="Arial"/>
          <w:sz w:val="18"/>
          <w:szCs w:val="18"/>
          <w:color w:val="auto"/>
        </w:rPr>
      </w:pPr>
    </w:p>
    <w:p>
      <w:pPr>
        <w:ind w:left="540" w:right="200" w:firstLine="408"/>
        <w:spacing w:after="0" w:line="277" w:lineRule="auto"/>
        <w:tabs>
          <w:tab w:leader="none" w:pos="1236"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under the Securities Act,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(1) thereof;</w:t>
      </w:r>
    </w:p>
    <w:p>
      <w:pPr>
        <w:spacing w:after="0" w:line="62" w:lineRule="exact"/>
        <w:rPr>
          <w:rFonts w:ascii="Arial" w:cs="Arial" w:eastAsia="Arial" w:hAnsi="Arial"/>
          <w:sz w:val="18"/>
          <w:szCs w:val="18"/>
          <w:color w:val="auto"/>
        </w:rPr>
      </w:pPr>
    </w:p>
    <w:p>
      <w:pPr>
        <w:ind w:left="540" w:right="660" w:firstLine="408"/>
        <w:spacing w:after="0" w:line="277" w:lineRule="auto"/>
        <w:tabs>
          <w:tab w:leader="none" w:pos="1226"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under the Securities Act,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(2) thereof;</w:t>
      </w:r>
    </w:p>
    <w:p>
      <w:pPr>
        <w:spacing w:after="0" w:line="62" w:lineRule="exact"/>
        <w:rPr>
          <w:rFonts w:ascii="Arial" w:cs="Arial" w:eastAsia="Arial" w:hAnsi="Arial"/>
          <w:sz w:val="18"/>
          <w:szCs w:val="18"/>
          <w:color w:val="auto"/>
        </w:rPr>
      </w:pPr>
    </w:p>
    <w:p>
      <w:pPr>
        <w:ind w:left="540" w:right="60" w:firstLine="408"/>
        <w:spacing w:after="0" w:line="342" w:lineRule="auto"/>
        <w:tabs>
          <w:tab w:leader="none" w:pos="1226"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the transfer will be made pursuant to an exemption from the registration requirements of the Securities Act in accordance with Rule 144 under the Securities Act, a certificate to the effect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in item (3)(a) thereof;</w:t>
      </w:r>
    </w:p>
    <w:p>
      <w:pPr>
        <w:spacing w:after="0" w:line="15" w:lineRule="exact"/>
        <w:rPr>
          <w:rFonts w:ascii="Arial" w:cs="Arial" w:eastAsia="Arial" w:hAnsi="Arial"/>
          <w:sz w:val="16"/>
          <w:szCs w:val="16"/>
          <w:color w:val="auto"/>
        </w:rPr>
      </w:pPr>
    </w:p>
    <w:p>
      <w:pPr>
        <w:ind w:left="540" w:firstLine="408"/>
        <w:spacing w:after="0" w:line="286" w:lineRule="auto"/>
        <w:tabs>
          <w:tab w:leader="none" w:pos="12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if the transfer will be made to an Institutional Accredited Investor in reliance on an exemption from the registration requirements of the Securities Act other than those listed in subparagraphs (A) through (C) above, a certificate to the effect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including the certifications, certificates and Opinion of Counsel required by item (3)(d) thereof, if applicable; and</w:t>
      </w:r>
    </w:p>
    <w:p>
      <w:pPr>
        <w:spacing w:after="0" w:line="57" w:lineRule="exact"/>
        <w:rPr>
          <w:rFonts w:ascii="Arial" w:cs="Arial" w:eastAsia="Arial" w:hAnsi="Arial"/>
          <w:sz w:val="17"/>
          <w:szCs w:val="17"/>
          <w:color w:val="auto"/>
        </w:rPr>
      </w:pPr>
    </w:p>
    <w:p>
      <w:pPr>
        <w:ind w:left="540" w:right="240" w:firstLine="408"/>
        <w:spacing w:after="0" w:line="277" w:lineRule="auto"/>
        <w:tabs>
          <w:tab w:leader="none" w:pos="1216"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such transfer will be made to the Issuer or a Subsidiary thereof, a certificate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(3)(b) thereof.</w:t>
      </w:r>
    </w:p>
    <w:p>
      <w:pPr>
        <w:spacing w:after="0" w:line="62" w:lineRule="exact"/>
        <w:rPr>
          <w:rFonts w:ascii="Arial" w:cs="Arial" w:eastAsia="Arial" w:hAnsi="Arial"/>
          <w:sz w:val="18"/>
          <w:szCs w:val="18"/>
          <w:color w:val="auto"/>
        </w:rPr>
      </w:pPr>
    </w:p>
    <w:p>
      <w:pPr>
        <w:ind w:right="100" w:firstLine="419"/>
        <w:spacing w:after="0" w:line="263" w:lineRule="auto"/>
        <w:tabs>
          <w:tab w:leader="none" w:pos="68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Restricted Physical Notes to Unrestricted Physical Notes</w:t>
      </w:r>
      <w:r>
        <w:rPr>
          <w:rFonts w:ascii="Arial" w:cs="Arial" w:eastAsia="Arial" w:hAnsi="Arial"/>
          <w:sz w:val="18"/>
          <w:szCs w:val="18"/>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76" w:lineRule="exact"/>
        <w:rPr>
          <w:sz w:val="20"/>
          <w:szCs w:val="20"/>
          <w:color w:val="auto"/>
        </w:rPr>
      </w:pPr>
    </w:p>
    <w:p>
      <w:pPr>
        <w:ind w:left="540" w:right="160" w:firstLine="408"/>
        <w:spacing w:after="0" w:line="308" w:lineRule="auto"/>
        <w:tabs>
          <w:tab w:leader="none" w:pos="11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Physical Note proposes to exchange such Restricted Physical Note for an Unrestricted Physical Note, a certificate from such Holder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including the certifications in item (1)(c) thereof; or</w:t>
      </w:r>
    </w:p>
    <w:p>
      <w:pPr>
        <w:spacing w:after="0" w:line="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20"/>
          </w:cols>
          <w:pgMar w:left="880" w:top="490" w:right="499" w:bottom="1440" w:gutter="0" w:footer="0" w:header="0"/>
        </w:sectPr>
      </w:pPr>
    </w:p>
    <w:bookmarkStart w:id="47" w:name="page48"/>
    <w:bookmarkEnd w:id="47"/>
    <w:p>
      <w:pPr>
        <w:ind w:left="860" w:right="80" w:firstLine="408"/>
        <w:spacing w:after="0" w:line="291" w:lineRule="auto"/>
        <w:tabs>
          <w:tab w:leader="none" w:pos="1516"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if the Holder of such Restricted Physical Note proposes to transfer such Notes to a Person who shall take delivery thereof in the form of an Unrestricted Physical Note, a certificate from such Holder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in item</w:t>
      </w:r>
    </w:p>
    <w:p>
      <w:pPr>
        <w:ind w:left="1120" w:hanging="253"/>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thereof,</w:t>
      </w:r>
    </w:p>
    <w:p>
      <w:pPr>
        <w:spacing w:after="0" w:line="103" w:lineRule="exact"/>
        <w:rPr>
          <w:sz w:val="20"/>
          <w:szCs w:val="20"/>
          <w:color w:val="auto"/>
        </w:rPr>
      </w:pPr>
    </w:p>
    <w:p>
      <w:pPr>
        <w:ind w:left="320" w:right="200"/>
        <w:spacing w:after="0" w:line="263" w:lineRule="auto"/>
        <w:rPr>
          <w:sz w:val="20"/>
          <w:szCs w:val="20"/>
          <w:color w:val="auto"/>
        </w:rPr>
      </w:pPr>
      <w:r>
        <w:rPr>
          <w:rFonts w:ascii="Arial" w:cs="Arial" w:eastAsia="Arial" w:hAnsi="Arial"/>
          <w:sz w:val="18"/>
          <w:szCs w:val="18"/>
          <w:color w:val="auto"/>
        </w:rPr>
        <w:t>and, in each such case, if the Registrar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6" w:lineRule="exact"/>
        <w:rPr>
          <w:sz w:val="20"/>
          <w:szCs w:val="20"/>
          <w:color w:val="auto"/>
        </w:rPr>
      </w:pPr>
    </w:p>
    <w:p>
      <w:pPr>
        <w:ind w:left="320" w:right="80" w:firstLine="419"/>
        <w:spacing w:after="0" w:line="311" w:lineRule="auto"/>
        <w:tabs>
          <w:tab w:leader="none" w:pos="105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Unrestricted Physical Notes to Unrestricted Physical Notes</w:t>
      </w:r>
      <w:r>
        <w:rPr>
          <w:rFonts w:ascii="Arial" w:cs="Arial" w:eastAsia="Arial" w:hAnsi="Arial"/>
          <w:sz w:val="16"/>
          <w:szCs w:val="16"/>
          <w:color w:val="auto"/>
        </w:rPr>
        <w:t>.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w:t>
      </w:r>
    </w:p>
    <w:p>
      <w:pPr>
        <w:spacing w:after="0" w:line="40" w:lineRule="exact"/>
        <w:rPr>
          <w:rFonts w:ascii="Arial" w:cs="Arial" w:eastAsia="Arial" w:hAnsi="Arial"/>
          <w:sz w:val="16"/>
          <w:szCs w:val="16"/>
          <w:color w:val="auto"/>
        </w:rPr>
      </w:pPr>
    </w:p>
    <w:p>
      <w:pPr>
        <w:ind w:left="320" w:right="180" w:firstLine="419"/>
        <w:spacing w:after="0" w:line="277" w:lineRule="auto"/>
        <w:tabs>
          <w:tab w:leader="none" w:pos="104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Unrestricted Physical Notes to Restricted Physical Notes</w:t>
      </w:r>
      <w:r>
        <w:rPr>
          <w:rFonts w:ascii="Arial" w:cs="Arial" w:eastAsia="Arial" w:hAnsi="Arial"/>
          <w:sz w:val="18"/>
          <w:szCs w:val="18"/>
          <w:color w:val="auto"/>
        </w:rPr>
        <w:t>. An Unrestricted Physical Note cannot be exchanged for, or transferred to a Person who takes delivery thereof in the form of, a Restricted Physical Note.</w:t>
      </w:r>
    </w:p>
    <w:p>
      <w:pPr>
        <w:spacing w:after="0" w:line="170" w:lineRule="exact"/>
        <w:rPr>
          <w:rFonts w:ascii="Arial" w:cs="Arial" w:eastAsia="Arial" w:hAnsi="Arial"/>
          <w:sz w:val="18"/>
          <w:szCs w:val="18"/>
          <w:color w:val="auto"/>
        </w:rPr>
      </w:pPr>
    </w:p>
    <w:p>
      <w:pPr>
        <w:ind w:left="-120" w:firstLine="987"/>
        <w:spacing w:after="0" w:line="270" w:lineRule="auto"/>
        <w:tabs>
          <w:tab w:leader="none" w:pos="1096"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Cancellation and/or Adjustment of Global Notes</w:t>
      </w:r>
      <w:r>
        <w:rPr>
          <w:rFonts w:ascii="Arial" w:cs="Arial" w:eastAsia="Arial" w:hAnsi="Arial"/>
          <w:sz w:val="17"/>
          <w:szCs w:val="17"/>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Common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Common Depositary at the direction of the Trustee to reflect such increase.</w:t>
      </w:r>
    </w:p>
    <w:p>
      <w:pPr>
        <w:spacing w:after="0" w:line="180" w:lineRule="exact"/>
        <w:rPr>
          <w:rFonts w:ascii="Arial" w:cs="Arial" w:eastAsia="Arial" w:hAnsi="Arial"/>
          <w:sz w:val="17"/>
          <w:szCs w:val="17"/>
          <w:color w:val="auto"/>
        </w:rPr>
      </w:pPr>
    </w:p>
    <w:p>
      <w:pPr>
        <w:ind w:left="-120" w:firstLine="987"/>
        <w:spacing w:after="0" w:line="293" w:lineRule="auto"/>
        <w:tabs>
          <w:tab w:leader="none" w:pos="112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Private Placement Legend</w:t>
      </w:r>
      <w:r>
        <w:rPr>
          <w:rFonts w:ascii="Arial" w:cs="Arial" w:eastAsia="Arial" w:hAnsi="Arial"/>
          <w:sz w:val="16"/>
          <w:szCs w:val="16"/>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80"/>
          </w:cols>
          <w:pgMar w:left="560" w:top="490" w:right="559" w:bottom="1440" w:gutter="0" w:footer="0" w:header="0"/>
        </w:sectPr>
      </w:pPr>
    </w:p>
    <w:bookmarkStart w:id="48" w:name="page49"/>
    <w:bookmarkEnd w:id="48"/>
    <w:p>
      <w:pPr>
        <w:ind w:right="140" w:firstLine="987"/>
        <w:spacing w:after="0" w:line="263" w:lineRule="auto"/>
        <w:tabs>
          <w:tab w:leader="none" w:pos="12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General</w:t>
      </w:r>
      <w:r>
        <w:rPr>
          <w:rFonts w:ascii="Arial" w:cs="Arial" w:eastAsia="Arial" w:hAnsi="Arial"/>
          <w:sz w:val="18"/>
          <w:szCs w:val="18"/>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84"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The Registrar shall retain for a period of two years following receipt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on the Notes shall be computed on the basis of a 360-day year of twelve 30-day months and actual days elapsed.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THREE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Election To Redeem; Notices to Trustee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If the Issuer elects to redeem Notes pursuant to paragraph 5 or 6 of the Notes, at least 45 days prior to the Redemption Date (unless a shorter notice shall be agreed to in writing by the Trustee) but not more than 65 days before the Redemption Date, the Issuer shall notify the Trustee in writing of the Redemption Date, the principal amount of Notes to be redeemed and the redemption price(s), and deliver to the Trustee an Officers’ Certificate stating that such redemption will comply with the conditions contained in paragraph 5 or 6 of the Notes. Except as provided in Section 3.04, notice given to the Trustee pursuant to this Section 3.01 may not be revoked after the time that notice is given to Noteholders pursuant to Section 3.03.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Selection by Trustee of Notes To Be Redeemed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such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Notes with a principal amount of €100,000 or less shall be redeemed in part. For all purposes of this Indenture unless the context otherwise requires, provisions of this Indenture that apply to the Notes called for redemption also apply to portions of Notes called for redemption.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490"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3.03.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At least 30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notice shall identify the Notes to be redeemed (including the CUSIP, ISIN and/or Common Code numbers thereof) and shall state:</w:t>
      </w:r>
    </w:p>
    <w:p>
      <w:pPr>
        <w:spacing w:after="0" w:line="140" w:lineRule="exact"/>
        <w:rPr>
          <w:sz w:val="20"/>
          <w:szCs w:val="20"/>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redemption price and the amount of premium and accrued interest to be paid;</w:t>
      </w:r>
    </w:p>
    <w:p>
      <w:pPr>
        <w:spacing w:after="0" w:line="117" w:lineRule="exact"/>
        <w:rPr>
          <w:rFonts w:ascii="Arial" w:cs="Arial" w:eastAsia="Arial" w:hAnsi="Arial"/>
          <w:sz w:val="18"/>
          <w:szCs w:val="18"/>
          <w:color w:val="auto"/>
        </w:rPr>
      </w:pPr>
    </w:p>
    <w:p>
      <w:pPr>
        <w:ind w:left="440" w:right="140" w:firstLine="419"/>
        <w:spacing w:after="0" w:line="342" w:lineRule="auto"/>
        <w:tabs>
          <w:tab w:leader="none" w:pos="111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unless the Issuer defaults in making the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that paragraph 5 or paragraph 6 of the Notes, as applicable, is the provision of the Notes pursuant to which the redemption is occurring;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principal amount of such Notes that are being redeemed.</w:t>
      </w:r>
    </w:p>
    <w:p>
      <w:pPr>
        <w:spacing w:after="0" w:line="225"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At the Issuer’s written request made at least five Business Days prior to the date on which notice is to be given (or such shorter period acceptable to the Trustee), the Trustee shall give the notice of redemption in the Issuer’s name and at the Issuer’s sole expense.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60"/>
          </w:cols>
          <w:pgMar w:left="440" w:top="490" w:right="599" w:bottom="1440" w:gutter="0" w:footer="0" w:header="0"/>
        </w:sectPr>
      </w:pPr>
    </w:p>
    <w:bookmarkStart w:id="50" w:name="page51"/>
    <w:bookmarkEnd w:id="50"/>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 Notes which are represented by global certificates held on behalf of Euroclear or Clearstream, notices may be given by delivery of the relevant notices to Euroclear or Clearstream for communication to entitled account holders in substitution for the aforesaid mailing. So long as any Notes are listed on the Official List of the Luxembourg Stock Exchange and admitted for trading on the Euro MTF Market, any such notice to the Holders of the relevant Notes shall also be published in a newspaper having a general circulation in Luxembourg or, to the extent and in the manner permitted by such rules, posted on the official website of the Luxembourg Stock Exchange and, in connection with any redemption, the Issuer will notify the Luxembourg Stock Exchange of any change in the principal amount of Notes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any redemption and notice thereof pursuant to this Indenture may, in the Issuer’s discretion, be subject to the satisfaction of 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more conditions precedent described in such 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 Redemption Date is a Legal Holiday, payment shall be made on the next succeeding Business Day and no interest shall accrue for the period from such Redemption Date to such succeeding Business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Prior to 10:00 A.M., London time, one Business Day prior to each Redemption Date, the Issuer shall deposit with the Paying Agent Euros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6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second proviso in Section 3.04, accrued and unpaid interest on such Notes to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440" w:top="490" w:right="5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3.06.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Except as provided in Section 4.08 or as contemplated by Article Six, the Issuer is not required to make any mandatory redemption of the Notes or any sinking fund payments with respect to the Notes.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Notes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Issuer shall pay the principal of and interest on the Notes on the dates and in the manner provided in such Notes and this Indenture. An installment of principal or interest shall be considered paid on the date it is due if the Trustee or the Paying Agents hold on that date Euros designated for and sufficient to pay such installment.</w:t>
      </w:r>
    </w:p>
    <w:p>
      <w:pPr>
        <w:spacing w:after="0" w:line="184"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The Issuer shall pay interest on overdue principal (including post-petition interest in a proceeding under any Bankruptcy Law), and overdue interest, to the extent lawful, at the rate specified in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73" w:lineRule="auto"/>
        <w:tabs>
          <w:tab w:leader="none" w:pos="12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Issuer shall maintain in the Borough of Manhattan, The City of New York, and in Dublin, Ireland, an office or agency (which may be an office of the Trustee or Registrar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490" w:right="459" w:bottom="1440" w:gutter="0" w:footer="0" w:header="0"/>
        </w:sectPr>
      </w:pPr>
    </w:p>
    <w:bookmarkStart w:id="52" w:name="page53"/>
    <w:bookmarkEnd w:id="52"/>
    <w:p>
      <w:pPr>
        <w:ind w:left="4" w:right="40" w:firstLine="987"/>
        <w:spacing w:after="0" w:line="257" w:lineRule="auto"/>
        <w:tabs>
          <w:tab w:leader="none" w:pos="1247"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an office or agency in the Borough of Manhattan, The City of New York, and in Dublin, Ireland. The Issuer shall give prompt written notice to the Trustee of any such designation or rescission and of any change in the location of any such other office or agency.</w:t>
      </w:r>
    </w:p>
    <w:p>
      <w:pPr>
        <w:spacing w:after="0" w:line="187" w:lineRule="exact"/>
        <w:rPr>
          <w:rFonts w:ascii="Arial" w:cs="Arial" w:eastAsia="Arial" w:hAnsi="Arial"/>
          <w:sz w:val="18"/>
          <w:szCs w:val="18"/>
          <w:color w:val="auto"/>
        </w:rPr>
      </w:pPr>
    </w:p>
    <w:p>
      <w:pPr>
        <w:ind w:left="4" w:right="280" w:firstLine="987"/>
        <w:spacing w:after="0" w:line="277" w:lineRule="auto"/>
        <w:tabs>
          <w:tab w:leader="none" w:pos="12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hereby designates the Corporate Trust Office of the Trustee, or its Agent, in the Borough of Manhattan, The City of New York, and in Dublin, Ireland, in each case as such office or agency of the Issuer in accordance with Section 2.04.</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Legal Existence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Except as permitted by Article Five, Parent shall do or cause to be done all things necessary to preserve and keep in full force and effect</w:t>
      </w:r>
    </w:p>
    <w:p>
      <w:pPr>
        <w:spacing w:after="0" w:line="46" w:lineRule="exact"/>
        <w:rPr>
          <w:sz w:val="20"/>
          <w:szCs w:val="20"/>
          <w:color w:val="auto"/>
        </w:rPr>
      </w:pPr>
    </w:p>
    <w:p>
      <w:pPr>
        <w:ind w:left="4" w:hanging="4"/>
        <w:spacing w:after="0" w:line="269" w:lineRule="auto"/>
        <w:tabs>
          <w:tab w:leader="none" w:pos="219"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its legal existence, and the corporate, partnership or other existence of each Restricted Subsidiary, in accordance with the respective organizational documents (as the same may be amended from time to time) of Parent, Crown and the Issuer and each such Restricted Subsidiary and (ii) subject to applicable laws, the material rights (charter and statutory) and franchises of Parent, Crown and the Issuer and such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Crown and the Issuer shall not be required to preserve any such right, franchise, or the corporate, partnership or other existence of any of their Restricted Subsidiaries (other than Crown or the Issuer) if the Board of Directors of Parent, Crown or the Issuer, as applicable, shall determine that the preservation thereof is no longer desirable in the conduct of the business of Parent, Crown or the Issuer, as applicable and its Restricted Subsidiaries, taken as a whole, and that the loss thereof is not adverse in any material respect to the Holders.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225" w:lineRule="exact"/>
        <w:rPr>
          <w:sz w:val="20"/>
          <w:szCs w:val="20"/>
          <w:color w:val="auto"/>
        </w:rPr>
      </w:pPr>
    </w:p>
    <w:p>
      <w:pPr>
        <w:ind w:left="4" w:right="400" w:firstLine="991"/>
        <w:spacing w:after="0" w:line="263" w:lineRule="auto"/>
        <w:rPr>
          <w:sz w:val="20"/>
          <w:szCs w:val="20"/>
          <w:color w:val="auto"/>
        </w:rPr>
      </w:pPr>
      <w:r>
        <w:rPr>
          <w:rFonts w:ascii="Arial" w:cs="Arial" w:eastAsia="Arial" w:hAnsi="Arial"/>
          <w:sz w:val="18"/>
          <w:szCs w:val="18"/>
          <w:color w:val="auto"/>
        </w:rPr>
        <w:t>Parent shall, and shall cause each of its Restricted Subsidiaries to, comply with all statutes, laws, ordinances or government rules and regulations to which they are subject, non-compliance with which would materially adversely affect the business, financial condition or results of operations of Parent and its Restricted Subsidiaries, taken as a whole.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Waiver of Stay, Extension or Usury Laws</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any of the Guarantors from paying all or any portion of the principal of, premium, if any, and/or interest on the Notes as contemplated herein, wherever enacted, now or at any time hereafter in force, or</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490" w:right="479" w:bottom="1440" w:gutter="0" w:footer="0" w:header="0"/>
        </w:sectPr>
      </w:pPr>
    </w:p>
    <w:bookmarkStart w:id="53" w:name="page54"/>
    <w:bookmarkEnd w:id="53"/>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5" w:lineRule="auto"/>
        <w:tabs>
          <w:tab w:leader="none" w:pos="12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shall deliver to the Trustee, within 120 days after the end of each Fiscal Year, an Officers’ Certificate (as enumerated by Section 314(a)(4) of the TIA) stating that each Officer has conducted or supervised a review of the activities of Parent and its Restricted Subsidiaries and Parent’s and its Restricted Subsidiaries’ performance under this Indenture during such Fiscal Year, and further stating, as to each such Officer signing such certificate, that, to the best of such Officers’ knowledge, based upon such review, Parent and Issuer have fulfilled all obligations under this Indenture or, if there has been a Default under this Indenture that is continuing, a description of the event and what action Parent and its Restricted Subsidiaries are taking or propose to take with respect thereto.</w:t>
      </w:r>
    </w:p>
    <w:p>
      <w:pPr>
        <w:spacing w:after="0" w:line="192" w:lineRule="exact"/>
        <w:rPr>
          <w:rFonts w:ascii="Arial" w:cs="Arial" w:eastAsia="Arial" w:hAnsi="Arial"/>
          <w:sz w:val="18"/>
          <w:szCs w:val="18"/>
          <w:color w:val="auto"/>
        </w:rPr>
      </w:pPr>
    </w:p>
    <w:p>
      <w:pPr>
        <w:ind w:right="20" w:firstLine="987"/>
        <w:spacing w:after="0" w:line="255" w:lineRule="auto"/>
        <w:tabs>
          <w:tab w:leader="none" w:pos="12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shall deliver to the Trustee, within five Business Days after an Officer becomes aware of a Default or Event of Default, a statement specifying such Default or Event of Default. The Trustee may withhold from the Holders notice of any continuing Default or Event of Default (except a Default or Event of Default relating to the payment of principal or interest) if it determines that withholding notice is in the Holders’ interest of which such Officer is aware, its status and what action Parent and its Restricted Subsidiaries are taking or propose to take with respect to such Default or Event of Default (except a Default or Event of Default relating to the payment of principal or interest) if it determines that withholding notice is in the Holders’ interest.</w:t>
      </w:r>
    </w:p>
    <w:p>
      <w:pPr>
        <w:spacing w:after="0" w:line="192" w:lineRule="exact"/>
        <w:rPr>
          <w:rFonts w:ascii="Arial" w:cs="Arial" w:eastAsia="Arial" w:hAnsi="Arial"/>
          <w:sz w:val="18"/>
          <w:szCs w:val="18"/>
          <w:color w:val="auto"/>
        </w:rPr>
      </w:pPr>
    </w:p>
    <w:p>
      <w:pPr>
        <w:ind w:left="1220" w:hanging="233"/>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shall provide written notice to the Trustee of any change in Parent’s or Issuer’s Fiscal Year.</w:t>
      </w:r>
    </w:p>
    <w:p>
      <w:pPr>
        <w:spacing w:after="0" w:line="225" w:lineRule="exact"/>
        <w:rPr>
          <w:rFonts w:ascii="Arial" w:cs="Arial" w:eastAsia="Arial" w:hAnsi="Arial"/>
          <w:sz w:val="18"/>
          <w:szCs w:val="18"/>
          <w:color w:val="auto"/>
        </w:rPr>
      </w:pPr>
    </w:p>
    <w:p>
      <w:pPr>
        <w:ind w:right="100" w:firstLine="987"/>
        <w:spacing w:after="0" w:line="277" w:lineRule="auto"/>
        <w:tabs>
          <w:tab w:leader="none" w:pos="12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Issuer shall promptly notify the Trustee, in writing, the first time the Notes are rated Investment Grade Rating;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to deliver such notice shall in no event be deemed a Default or an Event of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Parent shall, and shall cause each of its Restricted Subsidiaries to, pay prior to delinquency (i) all material taxes, assessments, and governmental levies and (ii) all lawful material claims for labor, materials and supplies which, in each case, if unpaid, might by law become a Lien upon the property of Parent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Parent nor any of its Subsidiaries shall be required to pay or discharge or cause to be paid or discharged any such tax, assessment, charge or claim whose amount, applicability or validity is being contested in good faith by appropriate proceedings and for which disputed amounts adequate reserves have been made in accordance with GAAP.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490"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4.08. </w:t>
      </w:r>
      <w:r>
        <w:rPr>
          <w:rFonts w:ascii="Arial" w:cs="Arial" w:eastAsia="Arial" w:hAnsi="Arial"/>
          <w:sz w:val="18"/>
          <w:szCs w:val="18"/>
          <w:u w:val="single" w:color="auto"/>
          <w:color w:val="auto"/>
        </w:rPr>
        <w:t>Repurchase at the Option of Holders upon Change of Control Repurchase Event</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59" w:lineRule="auto"/>
        <w:tabs>
          <w:tab w:leader="none" w:pos="12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Upon the occurrence of a Change of Control Repurchase Event, each Holder of Notes shall have the right to require the Issuer to repurchase all or any part (equal to €100,000 or an integral multiple of €1,000 in excess thereof) of such Holder’s Notes pursuant to the offer described below (the “</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at an offer price in cash equal to 101% of such Holder’s aggregate principal amount of Notes, plus accrued and unpaid interest, if any, thereon to the date of purchase (the “</w:t>
      </w:r>
      <w:r>
        <w:rPr>
          <w:rFonts w:ascii="Arial" w:cs="Arial" w:eastAsia="Arial" w:hAnsi="Arial"/>
          <w:sz w:val="18"/>
          <w:szCs w:val="18"/>
          <w:u w:val="single" w:color="auto"/>
          <w:color w:val="auto"/>
        </w:rPr>
        <w:t>Change of Control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987"/>
        <w:spacing w:after="0" w:line="270" w:lineRule="auto"/>
        <w:tabs>
          <w:tab w:leader="none" w:pos="1243" w:val="left"/>
        </w:tabs>
        <w:numPr>
          <w:ilvl w:val="1"/>
          <w:numId w:val="47"/>
        </w:numPr>
        <w:rPr>
          <w:rFonts w:ascii="Arial" w:cs="Arial" w:eastAsia="Arial" w:hAnsi="Arial"/>
          <w:sz w:val="17"/>
          <w:szCs w:val="17"/>
          <w:color w:val="auto"/>
        </w:rPr>
      </w:pPr>
      <w:r>
        <w:rPr>
          <w:rFonts w:ascii="Arial" w:cs="Arial" w:eastAsia="Arial" w:hAnsi="Arial"/>
          <w:sz w:val="17"/>
          <w:szCs w:val="17"/>
          <w:color w:val="auto"/>
        </w:rPr>
        <w:t>Within 30 days following any Change of Control Repurchase Event or, at the Issuer’s option, prior to the consummation of such Change of Control Repurchase Event but after the public announcement thereof, the Issuer shall send, or at the Issuer’s written request and expense the Trustee shall send, electronically or by first-class mail, postage prepaid, a notice to each Holder of such Notes at its last registered address, which notice shall govern the terms of the Change of Control Offer. The notice shall describe the transaction or transactions that constitute the Change of Control Repurchase Event and offer to repurchase Notes on the purchase date specified in such notice (which must be no earlier than 30 days nor later than 60 days from the date such notice is sent, other than as may be required by law) (the “</w:t>
      </w:r>
      <w:r>
        <w:rPr>
          <w:rFonts w:ascii="Arial" w:cs="Arial" w:eastAsia="Arial" w:hAnsi="Arial"/>
          <w:sz w:val="17"/>
          <w:szCs w:val="17"/>
          <w:u w:val="single" w:color="auto"/>
          <w:color w:val="auto"/>
        </w:rPr>
        <w:t>Change of Control Payment Date</w:t>
      </w:r>
      <w:r>
        <w:rPr>
          <w:rFonts w:ascii="Arial" w:cs="Arial" w:eastAsia="Arial" w:hAnsi="Arial"/>
          <w:sz w:val="17"/>
          <w:szCs w:val="17"/>
          <w:color w:val="auto"/>
        </w:rPr>
        <w:t>”) pursuant to the procedures required by this Indenture and described in such notice. Such obligation will not continue after a discharge of the Issuer or defeasance from its obligations with respect to the Notes. The notice to the Holders shall contain all instructions and materials necessary to enable such Holders to tender Notes pursuant to the Change of Control Offer. Such notice shall state:</w:t>
      </w:r>
    </w:p>
    <w:p>
      <w:pPr>
        <w:spacing w:after="0" w:line="72" w:lineRule="exact"/>
        <w:rPr>
          <w:rFonts w:ascii="Arial" w:cs="Arial" w:eastAsia="Arial" w:hAnsi="Arial"/>
          <w:sz w:val="17"/>
          <w:szCs w:val="17"/>
          <w:color w:val="auto"/>
        </w:rPr>
      </w:pPr>
    </w:p>
    <w:p>
      <w:pPr>
        <w:ind w:left="440" w:right="720" w:firstLine="419"/>
        <w:spacing w:after="0" w:line="277"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4.08 and that all Notes validly tendered and not validly withdrawn will be accepted for payment;</w:t>
      </w:r>
    </w:p>
    <w:p>
      <w:pPr>
        <w:spacing w:after="0" w:line="62"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Change of Control Payment and the Change of Control Payment Date (which shall be no earlier than 30 days nor later than 60 days from the date such notice is sent, other than as may be required by law);</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unless the Issuer defaults in making payment therefor, any Note accepted for payment pursuant to the Change of Control Offer shall cease to accrue interest after the Change of Control Payment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490" w:right="479" w:bottom="1440" w:gutter="0" w:footer="0" w:header="0"/>
        </w:sectPr>
      </w:pPr>
    </w:p>
    <w:bookmarkStart w:id="55" w:name="page56"/>
    <w:bookmarkEnd w:id="55"/>
    <w:p>
      <w:pPr>
        <w:ind w:left="440" w:firstLine="419"/>
        <w:spacing w:after="0" w:line="311" w:lineRule="auto"/>
        <w:tabs>
          <w:tab w:leader="none" w:pos="1118"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that Holders electing to have a Note purchased pursuant to the Change of Control Offer will be required to surrender the Note, with the form entitled “Option of Holder to Elect Purchase” on the reverse of such Note completed, to the Paying Agent and Registrar for such Note at the address specified in the notice prior to the close of business on the Business Day prior to the Change of Control Payment Date;</w:t>
      </w:r>
    </w:p>
    <w:p>
      <w:pPr>
        <w:spacing w:after="0" w:line="40" w:lineRule="exact"/>
        <w:rPr>
          <w:rFonts w:ascii="Arial" w:cs="Arial" w:eastAsia="Arial" w:hAnsi="Arial"/>
          <w:sz w:val="16"/>
          <w:szCs w:val="16"/>
          <w:color w:val="auto"/>
        </w:rPr>
      </w:pPr>
    </w:p>
    <w:p>
      <w:pPr>
        <w:ind w:left="440" w:right="160" w:firstLine="419"/>
        <w:spacing w:after="0" w:line="259" w:lineRule="auto"/>
        <w:tabs>
          <w:tab w:leader="none" w:pos="11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Paying Agent receives, not later than the third Business Day prior to the Change of Control Payment Date, a telegram, telex, .pdf attachment, facsimile transmission or letter setting forth the name of the Holder, the principal amount of the Notes the Holder delivered for purchase and a statement that such Holder is withdrawing its election to have such Note purchased;</w:t>
      </w:r>
    </w:p>
    <w:p>
      <w:pPr>
        <w:spacing w:after="0" w:line="78"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that Holders whose Notes are purchased only in part will be issued new Notes in a principal amount equal to the unpurchased portion of the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Note purchased and each new Note issued shall be in a principal amount of €100,000 or integral multiples of €1,000 in excess thereof;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circumstances and relevant facts regarding such Change of Control Repurchase Event.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the Change of Control Payment Date, the Issuer shall, to the extent lawful:</w:t>
      </w:r>
    </w:p>
    <w:p>
      <w:pPr>
        <w:spacing w:after="0" w:line="117" w:lineRule="exact"/>
        <w:rPr>
          <w:sz w:val="20"/>
          <w:szCs w:val="20"/>
          <w:color w:val="auto"/>
        </w:rPr>
      </w:pPr>
    </w:p>
    <w:p>
      <w:pPr>
        <w:ind w:left="440" w:right="8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accept for payment all Notes or portions thereof (in minimum amounts of €100,000 or an integral multiple of €1,000 in excess thereof) validly tendered and not validly withdrawn pursuant to the Change of Control Offer;</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deposit with the Paying Agent an amount in Euros equal to the Change of Control Payment in respect of all Notes or portions thereof properly tendered; and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Upon receipt by the Paying Agent of the monies specified in clause (2) above and the Officers’ Certificate specified in clause (3) above, such Paying Agent shall promptly mail or deliver through Euroclear or Clearstream to each Holder of Notes so tendered the Change of Control Payment for such Notes, and the Issuer shall execute and, upon receipt of a written order of the Issuer in the form of an Officers’ Certificate in accordance with Section 2.01, the Trustee shall promptly authenticate and send (or cause to be transferred by book entry) to each Holder of Notes a new Note equal in principal amount to any unpurchased portion of the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440" w:top="490" w:right="559" w:bottom="1440" w:gutter="0" w:footer="0" w:header="0"/>
        </w:sectPr>
      </w:pPr>
    </w:p>
    <w:bookmarkStart w:id="56" w:name="page57"/>
    <w:bookmarkEnd w:id="56"/>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shall be in a principal amount of €100,000 or an integral multiple of €1,000 in excess thereof. The Issuer shall publicly announce the results of the Change of Control Offer on or as soon as practicable after the Change of Control Payment Date.</w:t>
      </w:r>
    </w:p>
    <w:p>
      <w:pPr>
        <w:spacing w:after="0" w:line="184" w:lineRule="exact"/>
        <w:rPr>
          <w:sz w:val="20"/>
          <w:szCs w:val="20"/>
          <w:color w:val="auto"/>
        </w:rPr>
      </w:pPr>
    </w:p>
    <w:p>
      <w:pPr>
        <w:ind w:right="400" w:firstLine="987"/>
        <w:spacing w:after="0" w:line="308" w:lineRule="auto"/>
        <w:tabs>
          <w:tab w:leader="none" w:pos="12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Upon the payment of the Change of Control Payment, the Trustee shall, subject to the provisions of Section 2.16, return the Notes purchased to the Issuer for cancellation. The Trustee may act as the Paying Agent for purposes of any Change of Control Offer.</w:t>
      </w:r>
    </w:p>
    <w:p>
      <w:pPr>
        <w:spacing w:after="0" w:line="146" w:lineRule="exact"/>
        <w:rPr>
          <w:rFonts w:ascii="Arial" w:cs="Arial" w:eastAsia="Arial" w:hAnsi="Arial"/>
          <w:sz w:val="17"/>
          <w:szCs w:val="17"/>
          <w:color w:val="auto"/>
        </w:rPr>
      </w:pPr>
    </w:p>
    <w:p>
      <w:pPr>
        <w:ind w:firstLine="987"/>
        <w:spacing w:after="0" w:line="271" w:lineRule="auto"/>
        <w:tabs>
          <w:tab w:leader="none" w:pos="123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Issuer will not be required to make a Change of Control Offer upon a Change of Control Repurchase Event if (1) a third party makes the Change of Control Offer in a 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pursuant to this Indenture as described in Article Three,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78" w:lineRule="exact"/>
        <w:rPr>
          <w:rFonts w:ascii="Arial" w:cs="Arial" w:eastAsia="Arial" w:hAnsi="Arial"/>
          <w:sz w:val="17"/>
          <w:szCs w:val="17"/>
          <w:color w:val="auto"/>
        </w:rPr>
      </w:pPr>
    </w:p>
    <w:p>
      <w:pPr>
        <w:ind w:right="380" w:firstLine="987"/>
        <w:spacing w:after="0" w:line="257" w:lineRule="auto"/>
        <w:tabs>
          <w:tab w:leader="none" w:pos="12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shall comply with the applicable securities laws and regulations and shall not be deemed to have breached its obligations under this paragraph by virtue thereof.</w:t>
      </w:r>
    </w:p>
    <w:p>
      <w:pPr>
        <w:spacing w:after="0" w:line="187" w:lineRule="exact"/>
        <w:rPr>
          <w:rFonts w:ascii="Arial" w:cs="Arial" w:eastAsia="Arial" w:hAnsi="Arial"/>
          <w:sz w:val="18"/>
          <w:szCs w:val="18"/>
          <w:color w:val="auto"/>
        </w:rPr>
      </w:pPr>
    </w:p>
    <w:p>
      <w:pPr>
        <w:ind w:right="160" w:firstLine="987"/>
        <w:spacing w:after="0" w:line="308" w:lineRule="auto"/>
        <w:tabs>
          <w:tab w:leader="none" w:pos="12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and for so long as the Notes are listed on the Official List of the Luxembourg Stock Exchange and admitted for trading on the Euro MTF Market, the Issuer will publish notices relating to the Change of Control Offer in accordance with the rules of the Euro MTF Market.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SECTION 4.09.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4.10.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Parent shall not, nor shall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Section 4.11 shall be automatically released and discharged at the same time as the release of the Lien that gave rise to the obligation to secure the Notes under this Section 4.11.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490"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4.12.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4.13.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4.14.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Limitation on Sale and Leaseback Transactions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987"/>
        <w:spacing w:after="0" w:line="296" w:lineRule="auto"/>
        <w:tabs>
          <w:tab w:leader="none" w:pos="1236" w:val="left"/>
        </w:tabs>
        <w:numPr>
          <w:ilvl w:val="1"/>
          <w:numId w:val="52"/>
        </w:numPr>
        <w:rPr>
          <w:rFonts w:ascii="Arial" w:cs="Arial" w:eastAsia="Arial" w:hAnsi="Arial"/>
          <w:sz w:val="16"/>
          <w:szCs w:val="16"/>
          <w:color w:val="auto"/>
        </w:rPr>
      </w:pPr>
      <w:r>
        <w:rPr>
          <w:rFonts w:ascii="Arial" w:cs="Arial" w:eastAsia="Arial" w:hAnsi="Arial"/>
          <w:sz w:val="16"/>
          <w:szCs w:val="16"/>
          <w:color w:val="auto"/>
        </w:rPr>
        <w:t>Parent shall not, nor shall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61" w:lineRule="exact"/>
        <w:rPr>
          <w:rFonts w:ascii="Arial" w:cs="Arial" w:eastAsia="Arial" w:hAnsi="Arial"/>
          <w:sz w:val="16"/>
          <w:szCs w:val="16"/>
          <w:color w:val="auto"/>
        </w:rPr>
      </w:pPr>
    </w:p>
    <w:p>
      <w:pPr>
        <w:ind w:left="1240" w:hanging="253"/>
        <w:spacing w:after="0"/>
        <w:tabs>
          <w:tab w:leader="none" w:pos="12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addition, the following Sale and Leaseback Transactions are not subject to the limitation above and the provisions described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4.11:</w:t>
      </w:r>
    </w:p>
    <w:p>
      <w:pPr>
        <w:spacing w:after="0" w:line="102" w:lineRule="exact"/>
        <w:rPr>
          <w:rFonts w:ascii="Arial" w:cs="Arial" w:eastAsia="Arial" w:hAnsi="Arial"/>
          <w:sz w:val="17"/>
          <w:szCs w:val="17"/>
          <w:color w:val="auto"/>
        </w:rPr>
      </w:pPr>
    </w:p>
    <w:p>
      <w:pPr>
        <w:ind w:left="1080" w:hanging="221"/>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temporary leases for a term, including renewals at the option of the lessee, of not more than three years;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leases between only Parent and a Restricted Subsidiary of Parent or only between Restricted Subsidiaries of Parent;</w:t>
      </w:r>
    </w:p>
    <w:p>
      <w:pPr>
        <w:spacing w:after="0" w:line="117" w:lineRule="exact"/>
        <w:rPr>
          <w:rFonts w:ascii="Arial" w:cs="Arial" w:eastAsia="Arial" w:hAnsi="Arial"/>
          <w:sz w:val="18"/>
          <w:szCs w:val="18"/>
          <w:color w:val="auto"/>
        </w:rPr>
      </w:pPr>
    </w:p>
    <w:p>
      <w:pPr>
        <w:ind w:left="440" w:firstLine="419"/>
        <w:spacing w:after="0" w:line="257" w:lineRule="auto"/>
        <w:tabs>
          <w:tab w:leader="none" w:pos="11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lieu of applying such amount to the retirement of long-term Indebtedness, Parent may deliver Notes to the trustee for cancellation;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490" w:right="479" w:bottom="1440" w:gutter="0" w:footer="0" w:header="0"/>
        </w:sectPr>
      </w:pPr>
    </w:p>
    <w:bookmarkStart w:id="58" w:name="page59"/>
    <w:bookmarkEnd w:id="58"/>
    <w:p>
      <w:pPr>
        <w:ind w:left="440" w:right="660" w:firstLine="419"/>
        <w:spacing w:after="0" w:line="308" w:lineRule="auto"/>
        <w:tabs>
          <w:tab w:leader="none" w:pos="1168"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leases of property executed by the time of, or within 360 days after the latest of, the acquisition, the completion of construction, development, expansion or improvement, or the commencement of commercial operation, of the subject property.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Reports to Holders</w:t>
      </w:r>
      <w:r>
        <w:rPr>
          <w:rFonts w:ascii="Arial" w:cs="Arial" w:eastAsia="Arial" w:hAnsi="Arial"/>
          <w:sz w:val="18"/>
          <w:szCs w:val="18"/>
          <w:color w:val="auto"/>
        </w:rPr>
        <w:t>.</w:t>
      </w:r>
    </w:p>
    <w:p>
      <w:pPr>
        <w:spacing w:after="0" w:line="225" w:lineRule="exact"/>
        <w:rPr>
          <w:sz w:val="20"/>
          <w:szCs w:val="20"/>
          <w:color w:val="auto"/>
        </w:rPr>
      </w:pPr>
    </w:p>
    <w:p>
      <w:pPr>
        <w:ind w:right="340" w:firstLine="987"/>
        <w:spacing w:after="0" w:line="277" w:lineRule="auto"/>
        <w:tabs>
          <w:tab w:leader="none" w:pos="1233" w:val="left"/>
        </w:tabs>
        <w:numPr>
          <w:ilvl w:val="1"/>
          <w:numId w:val="55"/>
        </w:numPr>
        <w:rPr>
          <w:rFonts w:ascii="Arial" w:cs="Arial" w:eastAsia="Arial" w:hAnsi="Arial"/>
          <w:sz w:val="18"/>
          <w:szCs w:val="18"/>
          <w:color w:val="auto"/>
        </w:rPr>
      </w:pPr>
      <w:r>
        <w:rPr>
          <w:rFonts w:ascii="Arial" w:cs="Arial" w:eastAsia="Arial" w:hAnsi="Arial"/>
          <w:sz w:val="18"/>
          <w:szCs w:val="18"/>
          <w:color w:val="auto"/>
        </w:rPr>
        <w:t>Whether or not required by the rules and regulations of the Commission, so long as any Notes are outstanding hereunder, the Issuer shall furnish to the Trustee and Holders thereof the following:</w:t>
      </w:r>
    </w:p>
    <w:p>
      <w:pPr>
        <w:spacing w:after="0" w:line="62"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quarterly and annual financial information of Parent that would be required to be contained in a filing with the Commission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Commission on Form 8-K if Parent were required to file such reports,</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each case, within the time periods specified in the Commission’s rules and regulations. The Issuer may satisfy its obligation to deliver the information and reports referred to in clauses (1) and (2) above by filing the same with the Commission.</w:t>
      </w:r>
    </w:p>
    <w:p>
      <w:pPr>
        <w:spacing w:after="0" w:line="170" w:lineRule="exact"/>
        <w:rPr>
          <w:sz w:val="20"/>
          <w:szCs w:val="20"/>
          <w:color w:val="auto"/>
        </w:rPr>
      </w:pPr>
    </w:p>
    <w:p>
      <w:pPr>
        <w:ind w:right="20" w:firstLine="987"/>
        <w:spacing w:after="0" w:line="255"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addition, whether or not required by the rules and regulations of the Commission, Parent shall file a copy of all such information and reports with the Commission for public availability within the time periods specified in the Commission’s rules and regulations (unless the Commission will not accept such a filing) and make such information available to securities analysts and prospective investors upon request. In addition, the Issuer and the Guarantors shall,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TIA § 314(a).</w:t>
      </w:r>
    </w:p>
    <w:p>
      <w:pPr>
        <w:spacing w:after="0" w:line="192" w:lineRule="exact"/>
        <w:rPr>
          <w:rFonts w:ascii="Arial" w:cs="Arial" w:eastAsia="Arial" w:hAnsi="Arial"/>
          <w:sz w:val="18"/>
          <w:szCs w:val="18"/>
          <w:color w:val="auto"/>
        </w:rPr>
      </w:pPr>
    </w:p>
    <w:p>
      <w:pPr>
        <w:ind w:right="60" w:firstLine="987"/>
        <w:spacing w:after="0" w:line="259" w:lineRule="auto"/>
        <w:tabs>
          <w:tab w:leader="none" w:pos="12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Issuer will also make available copies of all reports required by clauses (1) and (2) of the first paragraph of this covenant, if and so long as the Notes are listed on the Official List of the Luxembourg Stock Exchange and admitted for trading on the Euro MTF Market and the rules of the exchange so require, at the offices of the Listing Agent in Luxembourg or, to the extent and in the manner permitted by such rules, post such reports on the official website of the Issuer (www.crowncork.com).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490" w:right="439" w:bottom="1440" w:gutter="0" w:footer="0" w:header="0"/>
        </w:sectPr>
      </w:pPr>
    </w:p>
    <w:bookmarkStart w:id="59" w:name="page60"/>
    <w:bookmarkEnd w:id="59"/>
    <w:p>
      <w:pPr>
        <w:ind w:right="20" w:firstLine="987"/>
        <w:spacing w:after="0" w:line="311" w:lineRule="auto"/>
        <w:tabs>
          <w:tab w:leader="none" w:pos="1246"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this Indenture as to which the Trustee is entitled to rely exclusively on an Officers’ Certificate).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Additional Note Guarantees</w:t>
      </w:r>
      <w:r>
        <w:rPr>
          <w:rFonts w:ascii="Arial" w:cs="Arial" w:eastAsia="Arial" w:hAnsi="Arial"/>
          <w:sz w:val="18"/>
          <w:szCs w:val="18"/>
          <w:color w:val="auto"/>
        </w:rPr>
        <w:t>.</w:t>
      </w:r>
    </w:p>
    <w:p>
      <w:pPr>
        <w:spacing w:after="0" w:line="225" w:lineRule="exact"/>
        <w:rPr>
          <w:sz w:val="20"/>
          <w:szCs w:val="20"/>
          <w:color w:val="auto"/>
        </w:rPr>
      </w:pPr>
    </w:p>
    <w:p>
      <w:pPr>
        <w:ind w:right="260" w:firstLine="987"/>
        <w:spacing w:after="0" w:line="263" w:lineRule="auto"/>
        <w:tabs>
          <w:tab w:leader="none" w:pos="12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Parent shall not create, acquire or suffer to exist, and shall not permit any of its Restricted Subsidiaries to create, acquire or suffer to exist, any Subsidiary other than a Restricted Subsidiary existing as of the Issue Date or that is acquired or created after the Issue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w:t>
      </w:r>
    </w:p>
    <w:p>
      <w:pPr>
        <w:spacing w:after="0" w:line="75" w:lineRule="exact"/>
        <w:rPr>
          <w:rFonts w:ascii="Arial" w:cs="Arial" w:eastAsia="Arial" w:hAnsi="Arial"/>
          <w:sz w:val="18"/>
          <w:szCs w:val="18"/>
          <w:color w:val="auto"/>
        </w:rPr>
      </w:pPr>
    </w:p>
    <w:p>
      <w:pPr>
        <w:ind w:left="980" w:right="20" w:firstLine="408"/>
        <w:spacing w:after="0" w:line="301" w:lineRule="auto"/>
        <w:tabs>
          <w:tab w:leader="none" w:pos="167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Domestic Subsidiary and each other Subsidiary of the Parent organized in Canada, Germany, the United Kingdom, Luxembourg, Mexico, the Netherlands or Switzerland that from time to time is an obligor under the Existing Credit Facility or directly or indirectly (by way of the pledge of any intercompany note or otherwise) Guarantees or in any other manner becomes liable with respect to any Indebtedness of the Issuer, Parent or any other Guarantor (including, without limitation, the Existing Credit Facility), and</w:t>
      </w:r>
    </w:p>
    <w:p>
      <w:pPr>
        <w:spacing w:after="0" w:line="49" w:lineRule="exact"/>
        <w:rPr>
          <w:rFonts w:ascii="Arial" w:cs="Arial" w:eastAsia="Arial" w:hAnsi="Arial"/>
          <w:sz w:val="16"/>
          <w:szCs w:val="16"/>
          <w:color w:val="auto"/>
        </w:rPr>
      </w:pPr>
    </w:p>
    <w:p>
      <w:pPr>
        <w:ind w:left="980" w:firstLine="408"/>
        <w:spacing w:after="0" w:line="311" w:lineRule="auto"/>
        <w:tabs>
          <w:tab w:leader="none" w:pos="16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Restricted Subsidiary of the Issuer that directly or indirectly (by way of the pledge of any intercompany note or otherwise) Guarantees or in any other manner becomes liable with respect to any Indebtedness of the Issuer, Parent or any other Guarantor (including, without limitation, Indebtedness under the Existing Credit Facility) or is otherwise an obligor under the Existing Credit Facility,</w:t>
      </w:r>
    </w:p>
    <w:p>
      <w:pPr>
        <w:spacing w:after="0" w:line="41"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Restricted Subsidiary will become a Guarantor (unless, in each case, the incurrence of such Note Guarantee is prohibited under the laws of its jurisdiction of incorporation (as evidenced by an Opinion of Counsel)).</w:t>
      </w:r>
    </w:p>
    <w:p>
      <w:pPr>
        <w:spacing w:after="0" w:line="187" w:lineRule="exact"/>
        <w:rPr>
          <w:sz w:val="20"/>
          <w:szCs w:val="20"/>
          <w:color w:val="auto"/>
        </w:rPr>
      </w:pPr>
    </w:p>
    <w:p>
      <w:pPr>
        <w:ind w:left="5360" w:right="2040" w:hanging="4373"/>
        <w:spacing w:after="0" w:line="449" w:lineRule="auto"/>
        <w:tabs>
          <w:tab w:leader="none" w:pos="12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Note Guarantee of any Guarantor shall be subject to release and discharge as provided under Article Ten. -49-</w:t>
      </w:r>
    </w:p>
    <w:p>
      <w:pPr>
        <w:sectPr>
          <w:pgSz w:w="11900" w:h="16838" w:orient="portrait"/>
          <w:cols w:equalWidth="0" w:num="1">
            <w:col w:w="10980"/>
          </w:cols>
          <w:pgMar w:left="440" w:top="490"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4.18.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Maintenance of Listing</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The Issuer will use its commercially reasonable efforts to maintain the listing of the Notes on the Official List of the Luxembourg Stock Exchange for so long as such Notes are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Issuer determines that it will not maintain such listing, it will obtain, prior to the delisting of the Notes from the Official List of the Luxembourg Stock Exchange, and thereafter use its commercially reasonable efforts to maintain, a listing of such Notes on another recognized stock exchange or exchange regulated market in western Europe.</w:t>
      </w:r>
    </w:p>
    <w:p>
      <w:pPr>
        <w:spacing w:after="0" w:line="171" w:lineRule="exact"/>
        <w:rPr>
          <w:sz w:val="20"/>
          <w:szCs w:val="20"/>
          <w:color w:val="auto"/>
        </w:rPr>
      </w:pPr>
    </w:p>
    <w:p>
      <w:pPr>
        <w:jc w:val="both"/>
        <w:ind w:right="160" w:firstLine="991"/>
        <w:spacing w:after="0" w:line="311" w:lineRule="auto"/>
        <w:rPr>
          <w:sz w:val="20"/>
          <w:szCs w:val="20"/>
          <w:color w:val="auto"/>
        </w:rPr>
      </w:pPr>
      <w:r>
        <w:rPr>
          <w:rFonts w:ascii="Arial" w:cs="Arial" w:eastAsia="Arial" w:hAnsi="Arial"/>
          <w:sz w:val="16"/>
          <w:szCs w:val="16"/>
          <w:color w:val="auto"/>
        </w:rPr>
        <w:t>So long as the Notes are listed on the Official List of the Luxembourg Stock Exchange and admitted to trading on the Euro MTF Market and the rules of such exchange so require, notices to be given to Holders shall be made in accordance with the rules of the Euro MTF Market or, to the extent and in the manner permitted by such rules, posted on the official website of the Luxembourg Stock Exchange (www.luxse.com).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Payment of Additional Amounts</w:t>
      </w:r>
    </w:p>
    <w:p>
      <w:pPr>
        <w:spacing w:after="0" w:line="117" w:lineRule="exact"/>
        <w:rPr>
          <w:sz w:val="20"/>
          <w:szCs w:val="20"/>
          <w:color w:val="auto"/>
        </w:rPr>
      </w:pPr>
    </w:p>
    <w:p>
      <w:pPr>
        <w:ind w:right="120" w:firstLine="987"/>
        <w:spacing w:after="0" w:line="286" w:lineRule="auto"/>
        <w:tabs>
          <w:tab w:leader="none" w:pos="12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payments made by or on behalf of the Issuer under or with respect to a Note, or a Guarantor under or with respect to a Note Guarantee, shall be made free and clear of and without withholding or deduction for or on account of any present or future tax, duty, levy, impost, assessment or other governmental charge (including penalties, interest and other liabilities related thereto) (hereinafter, “</w:t>
      </w:r>
      <w:r>
        <w:rPr>
          <w:rFonts w:ascii="Arial" w:cs="Arial" w:eastAsia="Arial" w:hAnsi="Arial"/>
          <w:sz w:val="16"/>
          <w:szCs w:val="16"/>
          <w:u w:val="single" w:color="auto"/>
          <w:color w:val="auto"/>
        </w:rPr>
        <w:t>Taxes</w:t>
      </w:r>
      <w:r>
        <w:rPr>
          <w:rFonts w:ascii="Arial" w:cs="Arial" w:eastAsia="Arial" w:hAnsi="Arial"/>
          <w:sz w:val="16"/>
          <w:szCs w:val="16"/>
          <w:color w:val="auto"/>
        </w:rPr>
        <w:t>”) unless the Issuer or such Guarantor is required to withhold or deduct any such Taxes by law, including by the official interpretation or administration thereof by a relevant taxing authority. If any Taxes imposed or levied by or on behalf of the government of France or any other jurisdiction in which the Issuer or any Guarantor (or any successor Person) is organized or is a resident or does business for tax purposes or within or through which payment is made or any political subdivision or taxing authority or agency thereof or therein (any of the aforementioned being a “</w:t>
      </w:r>
      <w:r>
        <w:rPr>
          <w:rFonts w:ascii="Arial" w:cs="Arial" w:eastAsia="Arial" w:hAnsi="Arial"/>
          <w:sz w:val="16"/>
          <w:szCs w:val="16"/>
          <w:u w:val="single" w:color="auto"/>
          <w:color w:val="auto"/>
        </w:rPr>
        <w:t>Taxing Jurisdiction</w:t>
      </w:r>
      <w:r>
        <w:rPr>
          <w:rFonts w:ascii="Arial" w:cs="Arial" w:eastAsia="Arial" w:hAnsi="Arial"/>
          <w:sz w:val="16"/>
          <w:szCs w:val="16"/>
          <w:color w:val="auto"/>
        </w:rPr>
        <w:t>”), will at any time be required to be withheld or deducted from any payment made under or with respect to a Note or a Note Guarantee, or if a Holder actually pays any such Taxes where the Issuer or Guarantor or applicable withholding agent has failed to withhold or deduct Taxes required to be withheld or deducted from any payment made under or with respect to a Note or a Note Guarantee, the Issuer or the relevant Guarantor, as applicable, shall, pay such additional amounts (“</w:t>
      </w:r>
      <w:r>
        <w:rPr>
          <w:rFonts w:ascii="Arial" w:cs="Arial" w:eastAsia="Arial" w:hAnsi="Arial"/>
          <w:sz w:val="16"/>
          <w:szCs w:val="16"/>
          <w:u w:val="single" w:color="auto"/>
          <w:color w:val="auto"/>
        </w:rPr>
        <w:t>Additional Amounts</w:t>
      </w:r>
      <w:r>
        <w:rPr>
          <w:rFonts w:ascii="Arial" w:cs="Arial" w:eastAsia="Arial" w:hAnsi="Arial"/>
          <w:sz w:val="16"/>
          <w:szCs w:val="16"/>
          <w:color w:val="auto"/>
        </w:rPr>
        <w:t xml:space="preserve">”) as may be necessary so that the net amount received by the holder of such Note (including Additional Amounts) after such withholding or deduction by the applicable withholding agent of such Taxes (including any such Taxes on such Additional Amounts) shall not be less than the amount such holder would have received if such Taxes had not been required to be withheld or deducted;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Additional Amounts will not be paid: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490" w:right="479" w:bottom="1440" w:gutter="0" w:footer="0" w:header="0"/>
        </w:sectPr>
      </w:pPr>
    </w:p>
    <w:bookmarkStart w:id="61" w:name="page62"/>
    <w:bookmarkEnd w:id="61"/>
    <w:p>
      <w:pPr>
        <w:ind w:right="80" w:firstLine="419"/>
        <w:spacing w:after="0" w:line="296" w:lineRule="auto"/>
        <w:tabs>
          <w:tab w:leader="none" w:pos="678"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the Taxes giving rise to such Additional Amounts would not have been imposed, deducted or withheld but for the existence of any present or former connection between the Holder or beneficial owner of a Note (or between a fiduciary, settlor, beneficiary, member or shareholder of, or possessor of power over, the Holder or beneficial owner of such Note, if the Holder or beneficial owner is an estate, nominee, trust, partnership or corporation) and the relevant Taxing Jurisdiction (other than the receipt of such payment or the acquisition, ownership, holding or disposition of, or the execution, delivery, registration or enforcement of, such Note or Note Guarantee);</w:t>
      </w:r>
    </w:p>
    <w:p>
      <w:pPr>
        <w:spacing w:after="0" w:line="53" w:lineRule="exact"/>
        <w:rPr>
          <w:rFonts w:ascii="Arial" w:cs="Arial" w:eastAsia="Arial" w:hAnsi="Arial"/>
          <w:sz w:val="16"/>
          <w:szCs w:val="16"/>
          <w:color w:val="auto"/>
        </w:rPr>
      </w:pPr>
    </w:p>
    <w:p>
      <w:pPr>
        <w:ind w:left="680" w:hanging="261"/>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subsection (e) of this Section 4.20, with respect to any estate, inheritance, gift, sales, transfer or similar tax;</w:t>
      </w:r>
    </w:p>
    <w:p>
      <w:pPr>
        <w:spacing w:after="0" w:line="117" w:lineRule="exact"/>
        <w:rPr>
          <w:rFonts w:ascii="Arial" w:cs="Arial" w:eastAsia="Arial" w:hAnsi="Arial"/>
          <w:sz w:val="18"/>
          <w:szCs w:val="18"/>
          <w:color w:val="auto"/>
        </w:rPr>
      </w:pPr>
    </w:p>
    <w:p>
      <w:pPr>
        <w:ind w:right="580" w:firstLine="419"/>
        <w:spacing w:after="0" w:line="277" w:lineRule="auto"/>
        <w:tabs>
          <w:tab w:leader="none" w:pos="6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subsection (e) of this Section 4.20, with respect to any Taxes payable otherwise than by deduction or withholding from payments under or with respect to such Note;</w:t>
      </w:r>
    </w:p>
    <w:p>
      <w:pPr>
        <w:spacing w:after="0" w:line="62" w:lineRule="exact"/>
        <w:rPr>
          <w:rFonts w:ascii="Arial" w:cs="Arial" w:eastAsia="Arial" w:hAnsi="Arial"/>
          <w:sz w:val="18"/>
          <w:szCs w:val="18"/>
          <w:color w:val="auto"/>
        </w:rPr>
      </w:pPr>
    </w:p>
    <w:p>
      <w:pPr>
        <w:ind w:right="60" w:firstLine="419"/>
        <w:spacing w:after="0" w:line="288" w:lineRule="auto"/>
        <w:tabs>
          <w:tab w:leader="none" w:pos="67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the extent such Taxes would not have been imposed, deducted or withheld if the Holder or beneficial owner of the Note or beneficial owner of any payment on such Note had (i) made a declaration of non-residence, or any other claim or filing for exemption, to which it is entitled or (ii) complied with (to the extent legally eligible to do so) any certification, identification, information, documentation or other reporting requirement concerning the nationality, residence, identity or connection with the relevant Taxing Jurisdiction of such Holder or beneficial owner of such Note or any payment on such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such declaration of nonresidence or other claim or filing for exemption or such compliance is required by the applicable law of the Taxing Jurisdiction as a precondition to exemption from, or reduction in the rate of the imposition, deduction or withholding of, such Taxes and (y) at least 30 days prior to the first payment date with respect to which such declaration of nonresidence or other claim or filing for exemption or such compliance is required under the applicable law of the Taxing Jurisdiction, the relevant Holder at that time has been notified in writing by the Issuer, any Guarantor or any other Person through whom payment may be made that a declaration of non-residence or other claim or filing for exemption or such compliance is required to be made);</w:t>
      </w:r>
    </w:p>
    <w:p>
      <w:pPr>
        <w:spacing w:after="0" w:line="60" w:lineRule="exact"/>
        <w:rPr>
          <w:rFonts w:ascii="Arial" w:cs="Arial" w:eastAsia="Arial" w:hAnsi="Arial"/>
          <w:sz w:val="16"/>
          <w:szCs w:val="16"/>
          <w:color w:val="auto"/>
        </w:rPr>
      </w:pPr>
    </w:p>
    <w:p>
      <w:pPr>
        <w:ind w:firstLine="419"/>
        <w:spacing w:after="0" w:line="259" w:lineRule="auto"/>
        <w:tabs>
          <w:tab w:leader="none" w:pos="6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such Taxes would not have been imposed, deducted or withheld if the Note had been presented for payment (where presentation is required)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40"/>
          </w:cols>
          <w:pgMar w:left="880" w:top="490" w:right="479" w:bottom="1440" w:gutter="0" w:footer="0" w:header="0"/>
        </w:sectPr>
      </w:pPr>
    </w:p>
    <w:bookmarkStart w:id="62" w:name="page63"/>
    <w:bookmarkEnd w:id="62"/>
    <w:p>
      <w:pPr>
        <w:ind w:left="440" w:right="20" w:firstLine="419"/>
        <w:spacing w:after="0" w:line="259" w:lineRule="auto"/>
        <w:tabs>
          <w:tab w:leader="none" w:pos="1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with respect to any payment under or with respect to a Note to any Holder that is a fiduciary or partnership or any person other than the sole beneficial owner of such payment or Note, to the extent that a beneficiary or settlor with respect to such fiduciary, a member of such a partnership or the beneficial owner of such payment or Note would not have been entitled to the Additional Amounts had such beneficiary, settlor, member or beneficial owner been the actual Holder of such Note;</w:t>
      </w:r>
    </w:p>
    <w:p>
      <w:pPr>
        <w:spacing w:after="0" w:line="78" w:lineRule="exact"/>
        <w:rPr>
          <w:rFonts w:ascii="Arial" w:cs="Arial" w:eastAsia="Arial" w:hAnsi="Arial"/>
          <w:sz w:val="18"/>
          <w:szCs w:val="18"/>
          <w:color w:val="auto"/>
        </w:rPr>
      </w:pPr>
    </w:p>
    <w:p>
      <w:pPr>
        <w:ind w:left="440" w:right="180" w:firstLine="419"/>
        <w:spacing w:after="0" w:line="296" w:lineRule="auto"/>
        <w:tabs>
          <w:tab w:leader="none" w:pos="11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the extent such Taxes are imposed or withheld pursuant to Section 1471 through 1474 of the Internal Revenue Code, as of the Issue Date (or any amended or successor version of such sections that are substantively comparable and not materially more onerous to comply with), any regulations promulgated thereunder, any official interpretations thereof, any similar law or regulation adopted pursuant to an intergovernmental agreement between a non-U.S. jurisdiction and the United States implementing the foregoing or any agreements entered into pursuant to Section 1471(b)(1) of the Code as of the Issue Date (or any amended or successor version described above); and</w:t>
      </w:r>
    </w:p>
    <w:p>
      <w:pPr>
        <w:spacing w:after="0" w:line="53" w:lineRule="exact"/>
        <w:rPr>
          <w:rFonts w:ascii="Arial" w:cs="Arial" w:eastAsia="Arial" w:hAnsi="Arial"/>
          <w:sz w:val="16"/>
          <w:szCs w:val="16"/>
          <w:color w:val="auto"/>
        </w:rPr>
      </w:pPr>
    </w:p>
    <w:p>
      <w:pPr>
        <w:ind w:left="1120" w:hanging="261"/>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combination of items (1) through (7) above.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foregoing provisions shall survive any termination or discharge of this Indenture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Taxing Jurisdiction with respect to any successor Person to the Issuer or a Guarantor.</w:t>
      </w:r>
    </w:p>
    <w:p>
      <w:pPr>
        <w:spacing w:after="0" w:line="170" w:lineRule="exact"/>
        <w:rPr>
          <w:sz w:val="20"/>
          <w:szCs w:val="20"/>
          <w:color w:val="auto"/>
        </w:rPr>
      </w:pPr>
    </w:p>
    <w:p>
      <w:pPr>
        <w:ind w:firstLine="987"/>
        <w:spacing w:after="0" w:line="255" w:lineRule="auto"/>
        <w:tabs>
          <w:tab w:leader="none" w:pos="12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or the applicable Guarantor, if it is the applicable withholding agent, will make any applicable withholding or deduction required by law and remit the full amount deducted or withheld to the relevant authority in accordance with applicable law. The Issuer or the applicable Guarantor will furnish to the Trustee, within 30 days after the date the payment of any Taxes deducted or withheld is due pursuant to applicable law, certified copies of tax receipts or, if such tax receipts are not reasonably available to the Issuer or such Guarantor, such other documentation that provides reasonable evidence of such payment by the Issuer or such Guarantor. Copies of such receipts or other documentation will be made available to the Holders or the Paying Agent, as applicable, upon request.</w:t>
      </w:r>
    </w:p>
    <w:p>
      <w:pPr>
        <w:spacing w:after="0" w:line="192" w:lineRule="exact"/>
        <w:rPr>
          <w:rFonts w:ascii="Arial" w:cs="Arial" w:eastAsia="Arial" w:hAnsi="Arial"/>
          <w:sz w:val="18"/>
          <w:szCs w:val="18"/>
          <w:color w:val="auto"/>
        </w:rPr>
      </w:pPr>
    </w:p>
    <w:p>
      <w:pPr>
        <w:ind w:right="160" w:firstLine="987"/>
        <w:spacing w:after="0" w:line="254" w:lineRule="auto"/>
        <w:tabs>
          <w:tab w:leader="none" w:pos="1226"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 least 30 days prior to each date on which any payment under or with respect to any Notes is due and payable, if the Issuer or any Guarantor will be obligated to pay Additional Amounts with respect to such payment, the Issuer or such Guarantor will deliver to the Trustee and the Paying Agent an Officers’ Certificate stating the fact that such Additional Amounts will be payable and the amounts so payable and will set forth such other information necessary to enable such Trustee and Paying Agents to pay such Additional Amounts to Holders of such Notes on the payment date. Notwithstanding the foregoing, if the obligation to pay Additional Amounts arises after the 30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any such date, the Issuer or the applicable Guarantor will deliver to the Trustee and the Paying Agent an Officers’ Certificate as described in the preceding sentence and will pay such Additional Amounts promptly after such obligation arises. The Trustee and the Paying Agent shall be entitled but shall not be obligated to rely on each Officers’ Certificate until receipt of a further Officers’ Certificate addressing such matters.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490" w:right="479" w:bottom="1440" w:gutter="0" w:footer="0" w:header="0"/>
        </w:sectPr>
      </w:pPr>
    </w:p>
    <w:bookmarkStart w:id="63" w:name="page64"/>
    <w:bookmarkEnd w:id="63"/>
    <w:p>
      <w:pPr>
        <w:ind w:firstLine="987"/>
        <w:spacing w:after="0" w:line="263" w:lineRule="auto"/>
        <w:tabs>
          <w:tab w:leader="none" w:pos="1243"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Whenever in this Indenture or the Notes there is mentioned, in any context, the payment of principal, premium, if any, interest or of any other amount payable under or with respect to any Note, such mention shall be deemed to include mention of the payment of Additional Amounts to the extent that, in such context, Additional Amounts are, were or would be payable in respect thereof.</w:t>
      </w:r>
    </w:p>
    <w:p>
      <w:pPr>
        <w:spacing w:after="0" w:line="183" w:lineRule="exact"/>
        <w:rPr>
          <w:rFonts w:ascii="Arial" w:cs="Arial" w:eastAsia="Arial" w:hAnsi="Arial"/>
          <w:sz w:val="18"/>
          <w:szCs w:val="18"/>
          <w:color w:val="auto"/>
        </w:rPr>
      </w:pPr>
    </w:p>
    <w:p>
      <w:pPr>
        <w:ind w:right="100" w:firstLine="987"/>
        <w:spacing w:after="0" w:line="259" w:lineRule="auto"/>
        <w:tabs>
          <w:tab w:leader="none" w:pos="12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to the foregoing, the Issuer and the Guarantors will pay any present or future stamp, court or documentary Taxes or any other excise, property or similar Taxes that arise in any Taxing Jurisdiction from the execution, issue, delivery, enforcement or registration of the Notes, the Indenture, any Guarantee or any other document or instrument in relation thereto, and the Issuer and the Guarantors will indemnify the Holders of the Notes for any such Taxes paid by such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FIVE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9" w:lineRule="auto"/>
        <w:tabs>
          <w:tab w:leader="none" w:pos="1236" w:val="left"/>
        </w:tabs>
        <w:numPr>
          <w:ilvl w:val="1"/>
          <w:numId w:val="66"/>
        </w:numPr>
        <w:rPr>
          <w:rFonts w:ascii="Arial" w:cs="Arial" w:eastAsia="Arial" w:hAnsi="Arial"/>
          <w:sz w:val="18"/>
          <w:szCs w:val="18"/>
          <w:color w:val="auto"/>
        </w:rPr>
      </w:pPr>
      <w:r>
        <w:rPr>
          <w:rFonts w:ascii="Arial" w:cs="Arial" w:eastAsia="Arial" w:hAnsi="Arial"/>
          <w:sz w:val="18"/>
          <w:szCs w:val="18"/>
          <w:color w:val="auto"/>
        </w:rPr>
        <w:t>(i) Neither Parent nor the Issuer shall consolidate or merge with or into any other Person or Transfer all or substantially all of the properties or assets of Parent and its Subsidiaries, taken as a whole and (ii) neither Parent nor the Issuer shall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8" w:lineRule="exact"/>
        <w:rPr>
          <w:rFonts w:ascii="Arial" w:cs="Arial" w:eastAsia="Arial" w:hAnsi="Arial"/>
          <w:sz w:val="18"/>
          <w:szCs w:val="18"/>
          <w:color w:val="auto"/>
        </w:rPr>
      </w:pPr>
    </w:p>
    <w:p>
      <w:pPr>
        <w:ind w:left="440" w:right="200" w:firstLine="419"/>
        <w:spacing w:after="0" w:line="286" w:lineRule="auto"/>
        <w:tabs>
          <w:tab w:leader="none" w:pos="111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Kingdom, the United States, any State thereof or the District of Columbia, and</w:t>
      </w:r>
    </w:p>
    <w:p>
      <w:pPr>
        <w:spacing w:after="0" w:line="57" w:lineRule="exact"/>
        <w:rPr>
          <w:sz w:val="20"/>
          <w:szCs w:val="20"/>
          <w:color w:val="auto"/>
        </w:rPr>
      </w:pPr>
    </w:p>
    <w:p>
      <w:pPr>
        <w:ind w:left="440" w:right="380" w:firstLine="419"/>
        <w:spacing w:after="0" w:line="259" w:lineRule="auto"/>
        <w:tabs>
          <w:tab w:leader="none" w:pos="11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corporation organized or existing under the laws of a member state of the European Union (as it existed on December 31, 2003), Switzerland, the United Kingdom, the United States, any State thereof or the District of Columbia;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490" w:right="439" w:bottom="1440" w:gutter="0" w:footer="0" w:header="0"/>
        </w:sectPr>
      </w:pPr>
    </w:p>
    <w:bookmarkStart w:id="64" w:name="page65"/>
    <w:bookmarkEnd w:id="64"/>
    <w:p>
      <w:pPr>
        <w:ind w:firstLine="419"/>
        <w:spacing w:after="0" w:line="286" w:lineRule="auto"/>
        <w:tabs>
          <w:tab w:leader="none" w:pos="678"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Person formed by or surviving any such consolidation or merger (if other than Parent or the Issuer, as the case may be) or the Person to which such Transfer has been made assumes all the obligations of Parent, the Issuer or such Subsidiary under the Notes, the Note Guarantees and this Indenture pursuant to a supplemental indenture or amendment of the relevant documents; and</w:t>
      </w:r>
    </w:p>
    <w:p>
      <w:pPr>
        <w:spacing w:after="0" w:line="57" w:lineRule="exact"/>
        <w:rPr>
          <w:rFonts w:ascii="Arial" w:cs="Arial" w:eastAsia="Arial" w:hAnsi="Arial"/>
          <w:sz w:val="17"/>
          <w:szCs w:val="17"/>
          <w:color w:val="auto"/>
        </w:rPr>
      </w:pPr>
    </w:p>
    <w:p>
      <w:pPr>
        <w:ind w:left="680" w:hanging="261"/>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rFonts w:ascii="Arial" w:cs="Arial" w:eastAsia="Arial" w:hAnsi="Arial"/>
          <w:sz w:val="18"/>
          <w:szCs w:val="18"/>
          <w:color w:val="auto"/>
        </w:rPr>
      </w:pPr>
    </w:p>
    <w:p>
      <w:pPr>
        <w:ind w:left="800" w:hanging="253"/>
        <w:spacing w:after="0"/>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Notwithstanding the foregoing, none of the following shall be permitted:</w:t>
      </w:r>
    </w:p>
    <w:p>
      <w:pPr>
        <w:spacing w:after="0" w:line="117" w:lineRule="exact"/>
        <w:rPr>
          <w:sz w:val="20"/>
          <w:szCs w:val="20"/>
          <w:color w:val="auto"/>
        </w:rPr>
      </w:pPr>
    </w:p>
    <w:p>
      <w:pPr>
        <w:ind w:right="340" w:firstLine="419"/>
        <w:spacing w:after="0" w:line="308" w:lineRule="auto"/>
        <w:tabs>
          <w:tab w:leader="none" w:pos="67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38" w:lineRule="exact"/>
        <w:rPr>
          <w:rFonts w:ascii="Arial" w:cs="Arial" w:eastAsia="Arial" w:hAnsi="Arial"/>
          <w:sz w:val="17"/>
          <w:szCs w:val="17"/>
          <w:color w:val="auto"/>
        </w:rPr>
      </w:pPr>
    </w:p>
    <w:p>
      <w:pPr>
        <w:ind w:right="40" w:firstLine="419"/>
        <w:spacing w:after="0" w:line="277" w:lineRule="auto"/>
        <w:tabs>
          <w:tab w:leader="none" w:pos="6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property or assets of Crown and its Subsidiaries, taken as a whole, to Crown, other than any Transfer to a Subsidiary of Crown; and</w:t>
      </w:r>
    </w:p>
    <w:p>
      <w:pPr>
        <w:spacing w:after="0" w:line="62" w:lineRule="exact"/>
        <w:rPr>
          <w:rFonts w:ascii="Arial" w:cs="Arial" w:eastAsia="Arial" w:hAnsi="Arial"/>
          <w:sz w:val="18"/>
          <w:szCs w:val="18"/>
          <w:color w:val="auto"/>
        </w:rPr>
      </w:pPr>
    </w:p>
    <w:p>
      <w:pPr>
        <w:ind w:right="100" w:firstLine="419"/>
        <w:spacing w:after="0" w:line="342" w:lineRule="auto"/>
        <w:tabs>
          <w:tab w:leader="none" w:pos="67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23" w:lineRule="exact"/>
        <w:rPr>
          <w:rFonts w:ascii="Arial" w:cs="Arial" w:eastAsia="Arial" w:hAnsi="Arial"/>
          <w:sz w:val="16"/>
          <w:szCs w:val="16"/>
          <w:color w:val="auto"/>
        </w:rPr>
      </w:pPr>
    </w:p>
    <w:p>
      <w:pPr>
        <w:ind w:left="780" w:hanging="233"/>
        <w:spacing w:after="0"/>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Section 5.01 shall not prohibit:</w:t>
      </w:r>
    </w:p>
    <w:p>
      <w:pPr>
        <w:spacing w:after="0" w:line="117" w:lineRule="exact"/>
        <w:rPr>
          <w:sz w:val="20"/>
          <w:szCs w:val="20"/>
          <w:color w:val="auto"/>
        </w:rPr>
      </w:pPr>
    </w:p>
    <w:p>
      <w:pPr>
        <w:ind w:left="680" w:hanging="26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consolidation or merger between the Issuer and a Guarantor other than Crown;</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consolidation or merger between a Guarantor and any other Guarantor other than Crown;</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consolidation or merger between a Subsidiary (other than the Issuer) that is not a Guarantor and any other Subsidiary other than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Crown;</w:t>
      </w:r>
    </w:p>
    <w:p>
      <w:pPr>
        <w:spacing w:after="0" w:line="102" w:lineRule="exact"/>
        <w:rPr>
          <w:rFonts w:ascii="Arial" w:cs="Arial" w:eastAsia="Arial" w:hAnsi="Arial"/>
          <w:sz w:val="17"/>
          <w:szCs w:val="17"/>
          <w:color w:val="auto"/>
        </w:rPr>
      </w:pPr>
    </w:p>
    <w:p>
      <w:pPr>
        <w:ind w:left="680" w:hanging="261"/>
        <w:spacing w:after="0"/>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consolidation or merger of Parent with or into an Affiliate for the purposes of reincorporating Parent in another jurisdiction;</w:t>
      </w:r>
    </w:p>
    <w:p>
      <w:pPr>
        <w:spacing w:after="0" w:line="128" w:lineRule="exact"/>
        <w:rPr>
          <w:rFonts w:ascii="Arial" w:cs="Arial" w:eastAsia="Arial" w:hAnsi="Arial"/>
          <w:sz w:val="17"/>
          <w:szCs w:val="17"/>
          <w:color w:val="auto"/>
        </w:rPr>
      </w:pPr>
    </w:p>
    <w:p>
      <w:pPr>
        <w:ind w:right="480" w:firstLine="419"/>
        <w:spacing w:after="0" w:line="277" w:lineRule="auto"/>
        <w:tabs>
          <w:tab w:leader="none" w:pos="6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Guarantor to the Issuer and/or any other Guarantor other than Crown; or</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80"/>
          </w:cols>
          <w:pgMar w:left="880" w:top="490" w:right="539" w:bottom="1440" w:gutter="0" w:footer="0" w:header="0"/>
        </w:sectPr>
      </w:pPr>
    </w:p>
    <w:bookmarkStart w:id="65" w:name="page66"/>
    <w:bookmarkEnd w:id="65"/>
    <w:p>
      <w:pPr>
        <w:ind w:left="440" w:firstLine="419"/>
        <w:spacing w:after="0" w:line="277"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Transfer of all or substantially all of the properties or assets of a Subsidiary (other than the Issuer) that is not a Guarantor to any other Subsidiary other than Crown;</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each case involving the Issuer or a Guarantor, if the Issuer or such Guarantor is not the surviving entity of such transaction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to which such Transfer is made, the surviving entity or the Person to which such Transfer is made shall comply with subsection (a)(2) of this Section 5.01.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Upon any consolidation, combination or merger of Parent, the Issuer or any other Guarantor, or any Transfer of all or substantially all of the assets of Parent or the Issuer in accordance with the foregoing provisions of Section 5.01,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this Indenture, the Notes and the Note Guarantees with the same effect as if such surviving entity had been named therein as Parent, the Issuer or such Guarantor, as the case may be, and, except in the case of a Transfer to Parent or any of its Subsidiaries, Parent, the Issuer or such Guarantor, as the case may be, shall be released from the obligation to pay the principal of and interest on the Notes or in respect of its Note Guarantee, as the case may be, and all of Parent’s, the Issuer’s or such Guarantor’s, as the case may be, other obligations and covenants under the Notes, this Indenture and its Note Guarantee, if applicable.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SIX</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of the following constitutes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with respect to the Notes:</w:t>
      </w:r>
    </w:p>
    <w:p>
      <w:pPr>
        <w:spacing w:after="0" w:line="117" w:lineRule="exact"/>
        <w:rPr>
          <w:sz w:val="20"/>
          <w:szCs w:val="20"/>
          <w:color w:val="auto"/>
        </w:rPr>
      </w:pPr>
    </w:p>
    <w:p>
      <w:pPr>
        <w:ind w:left="1120" w:hanging="261"/>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with respect to the Notes;</w:t>
      </w:r>
    </w:p>
    <w:p>
      <w:pPr>
        <w:spacing w:after="0" w:line="117" w:lineRule="exact"/>
        <w:rPr>
          <w:rFonts w:ascii="Arial" w:cs="Arial" w:eastAsia="Arial" w:hAnsi="Arial"/>
          <w:sz w:val="18"/>
          <w:szCs w:val="18"/>
          <w:color w:val="auto"/>
        </w:rPr>
      </w:pPr>
    </w:p>
    <w:p>
      <w:pPr>
        <w:jc w:val="center"/>
        <w:ind w:left="5360" w:right="1400" w:hanging="4501"/>
        <w:spacing w:after="0" w:line="449" w:lineRule="auto"/>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in payment when due of principal or premium, if any, on the Notes at maturity, upon redemption or otherwise; -55-</w:t>
      </w:r>
    </w:p>
    <w:p>
      <w:pPr>
        <w:sectPr>
          <w:pgSz w:w="11900" w:h="16838" w:orient="portrait"/>
          <w:cols w:equalWidth="0" w:num="1">
            <w:col w:w="10980"/>
          </w:cols>
          <w:pgMar w:left="440" w:top="490" w:right="479" w:bottom="1440" w:gutter="0" w:footer="0" w:header="0"/>
        </w:sectPr>
      </w:pPr>
    </w:p>
    <w:bookmarkStart w:id="66" w:name="page67"/>
    <w:bookmarkEnd w:id="66"/>
    <w:p>
      <w:pPr>
        <w:ind w:right="100" w:firstLine="419"/>
        <w:spacing w:after="0" w:line="277" w:lineRule="auto"/>
        <w:tabs>
          <w:tab w:leader="none" w:pos="678"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failure by Parent or any Subsidiary for 30 days after receipt of notice from the Trustee or Holders of at least 25% in principal amount of Notes then outstanding under this Indenture to comply with any of the provisions under Section 4.08;</w:t>
      </w:r>
    </w:p>
    <w:p>
      <w:pPr>
        <w:spacing w:after="0" w:line="62" w:lineRule="exact"/>
        <w:rPr>
          <w:rFonts w:ascii="Arial" w:cs="Arial" w:eastAsia="Arial" w:hAnsi="Arial"/>
          <w:sz w:val="18"/>
          <w:szCs w:val="18"/>
          <w:color w:val="auto"/>
        </w:rPr>
      </w:pPr>
    </w:p>
    <w:p>
      <w:pPr>
        <w:ind w:firstLine="419"/>
        <w:spacing w:after="0" w:line="263" w:lineRule="auto"/>
        <w:tabs>
          <w:tab w:leader="none" w:pos="6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failure by Parent or any Subsidiary of Parent for 60 days after receipt of notice from the Trustee or the Holders of at least 25% in principal amount of Notes then outstanding under this Indenture to comply with any covenant or agreement contained in this Indenture (other than the covenants and agreements specified in clauses (1) through (3) of this Section 6.01);</w:t>
      </w:r>
    </w:p>
    <w:p>
      <w:pPr>
        <w:spacing w:after="0" w:line="75" w:lineRule="exact"/>
        <w:rPr>
          <w:rFonts w:ascii="Arial" w:cs="Arial" w:eastAsia="Arial" w:hAnsi="Arial"/>
          <w:sz w:val="18"/>
          <w:szCs w:val="18"/>
          <w:color w:val="auto"/>
        </w:rPr>
      </w:pPr>
    </w:p>
    <w:p>
      <w:pPr>
        <w:ind w:right="120" w:firstLine="419"/>
        <w:spacing w:after="0" w:line="290" w:lineRule="auto"/>
        <w:tabs>
          <w:tab w:leader="none" w:pos="678"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which default (a) is caused by a failure to pay when due at final stated maturity (giving effect to any grace period related thereto) principal of such Indebtedness (a “</w:t>
      </w:r>
      <w:r>
        <w:rPr>
          <w:rFonts w:ascii="Arial" w:cs="Arial" w:eastAsia="Arial" w:hAnsi="Arial"/>
          <w:sz w:val="16"/>
          <w:szCs w:val="16"/>
          <w:u w:val="single" w:color="auto"/>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$75,000,000 or more and, in each case, Parent has received notice specifying the default from the Trustee or Holders of at least 25% of the aggregate principal amount of Notes then outstanding and does not cure the default within 30 days;</w:t>
      </w:r>
    </w:p>
    <w:p>
      <w:pPr>
        <w:spacing w:after="0" w:line="57" w:lineRule="exact"/>
        <w:rPr>
          <w:rFonts w:ascii="Arial" w:cs="Arial" w:eastAsia="Arial" w:hAnsi="Arial"/>
          <w:sz w:val="16"/>
          <w:szCs w:val="16"/>
          <w:color w:val="auto"/>
        </w:rPr>
      </w:pPr>
    </w:p>
    <w:p>
      <w:pPr>
        <w:ind w:right="40" w:firstLine="419"/>
        <w:spacing w:after="0" w:line="263" w:lineRule="auto"/>
        <w:tabs>
          <w:tab w:leader="none" w:pos="6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failure by Parent or any of its Subsidiaries to pay final judgments (net of any amounts covered by insurance and as to which such insurer has not denied responsibility or coverage in writing) aggregating $75,000,000 or more, which judgments are not paid, discharged, bonded or stayed within 60 days after their entry;</w:t>
      </w:r>
    </w:p>
    <w:p>
      <w:pPr>
        <w:spacing w:after="0" w:line="75" w:lineRule="exact"/>
        <w:rPr>
          <w:rFonts w:ascii="Arial" w:cs="Arial" w:eastAsia="Arial" w:hAnsi="Arial"/>
          <w:sz w:val="18"/>
          <w:szCs w:val="18"/>
          <w:color w:val="auto"/>
        </w:rPr>
      </w:pPr>
    </w:p>
    <w:p>
      <w:pPr>
        <w:ind w:firstLine="419"/>
        <w:spacing w:after="0" w:line="290" w:lineRule="auto"/>
        <w:tabs>
          <w:tab w:leader="none" w:pos="678"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a court having jurisdiction over Parent, the Issuer or any other Subsidiary of Parent enters (x) a decree or order for relief in respect of Parent, the Issuer or any Subsidiary of Parent that is a Significant Subsidiary or group of Subsidiaries of Parent that, taken together, would constitute a Significant Subsidiary in an involuntary case or proceeding under any Bankruptcy Law or (y) a decree or order adjudging Parent, the Issuer or any Subsidiary of Parent that is a Significant Subsidiary or group of Subsidiaries of Parent that, taken together, would constitute a Significant Subsidiary as bankrupt or insolvent, or approving as properly filed a petition seeking reorganization, arrangement, adjustment or composition of or in respect of Parent, the Issuer or any such Subsidiary or group of Subsidiaries under any Bankruptcy Law, or appointing a custodian, receiver, liquidator, assignee, trustee, sequestrator or other similar official of Parent, the Issuer or any such Subsidiary or group of Subsidiaries or of any substantial part of its property, or ordering the winding up or liquidation of its affairs, and the</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40"/>
          </w:cols>
          <w:pgMar w:left="880" w:top="490" w:right="479" w:bottom="1440" w:gutter="0" w:footer="0" w:header="0"/>
        </w:sectPr>
      </w:pPr>
    </w:p>
    <w:bookmarkStart w:id="67" w:name="page68"/>
    <w:bookmarkEnd w:id="6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continuance of any such decree or order for relief or any such other decree or order unstayed and in effect for a period of 60 consecutive days or</w:t>
      </w:r>
    </w:p>
    <w:p>
      <w:pPr>
        <w:spacing w:after="0" w:line="46" w:lineRule="exact"/>
        <w:rPr>
          <w:sz w:val="20"/>
          <w:szCs w:val="20"/>
          <w:color w:val="auto"/>
        </w:rPr>
      </w:pPr>
    </w:p>
    <w:p>
      <w:pPr>
        <w:ind w:left="440" w:hanging="4"/>
        <w:spacing w:after="0" w:line="270" w:lineRule="auto"/>
        <w:tabs>
          <w:tab w:leader="none" w:pos="725" w:val="left"/>
        </w:tabs>
        <w:numPr>
          <w:ilvl w:val="0"/>
          <w:numId w:val="75"/>
        </w:numPr>
        <w:rPr>
          <w:rFonts w:ascii="Arial" w:cs="Arial" w:eastAsia="Arial" w:hAnsi="Arial"/>
          <w:sz w:val="17"/>
          <w:szCs w:val="17"/>
          <w:color w:val="auto"/>
        </w:rPr>
      </w:pPr>
      <w:r>
        <w:rPr>
          <w:rFonts w:ascii="Arial" w:cs="Arial" w:eastAsia="Arial" w:hAnsi="Arial"/>
          <w:sz w:val="17"/>
          <w:szCs w:val="17"/>
          <w:color w:val="auto"/>
        </w:rPr>
        <w:t>Parent, the Issuer or any Subsidiary of Parent that is a Significant Subsidiary or group of Subsidiaries of Parent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Parent, the Issuer or any such Subsidiary or group of Subsidiaries or for all or substantially all the property and assets of Parent, the Issuer or any such Subsidiary or group of Subsidiaries, (iii) effects any general assignment for the benefit of creditors or (iv) generally is not paying its debts as they become due; and</w:t>
      </w:r>
    </w:p>
    <w:p>
      <w:pPr>
        <w:spacing w:after="0" w:line="70" w:lineRule="exact"/>
        <w:rPr>
          <w:rFonts w:ascii="Arial" w:cs="Arial" w:eastAsia="Arial" w:hAnsi="Arial"/>
          <w:sz w:val="17"/>
          <w:szCs w:val="17"/>
          <w:color w:val="auto"/>
        </w:rPr>
      </w:pPr>
    </w:p>
    <w:p>
      <w:pPr>
        <w:ind w:left="440" w:right="100" w:firstLine="419"/>
        <w:spacing w:after="0" w:line="259" w:lineRule="auto"/>
        <w:tabs>
          <w:tab w:leader="none" w:pos="111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Note Guarantee of any Guarantor that is a Significant Subsidiary ceases to be in full force and effect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 of Maturity; Rescission</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If an Event of Default occurs and is continuing under this Indenture, either the Trustee, by notice in writing to the Issuer, or the Holders of at least 25% in aggregate principal amount of the Notes then outstanding may, by notice in writing to the Issuer and the Trustee, specifying the respective Event of Default and that it is a “notice of acceleration”,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Notwithstanding the foregoing, if after such acceleration but before a judgment or decree based on such acceleration is obtained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the Holders of a majority in aggregate principal amount of outstanding Notes may rescind and annul such acceleration if:</w:t>
      </w:r>
    </w:p>
    <w:p>
      <w:pPr>
        <w:spacing w:after="0" w:line="103" w:lineRule="exact"/>
        <w:rPr>
          <w:sz w:val="20"/>
          <w:szCs w:val="20"/>
          <w:color w:val="auto"/>
        </w:rPr>
      </w:pPr>
    </w:p>
    <w:p>
      <w:pPr>
        <w:ind w:left="440" w:right="620" w:firstLine="419"/>
        <w:spacing w:after="0" w:line="277" w:lineRule="auto"/>
        <w:tabs>
          <w:tab w:leader="none" w:pos="11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Events of Default, other than nonpayment of principal, premium, if any, or interest that has become due solely because of the acceleration, have been cured or waived;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40" w:top="490" w:right="499" w:bottom="1440" w:gutter="0" w:footer="0" w:header="0"/>
        </w:sectPr>
      </w:pPr>
    </w:p>
    <w:bookmarkStart w:id="68" w:name="page69"/>
    <w:bookmarkEnd w:id="68"/>
    <w:p>
      <w:pPr>
        <w:ind w:left="440" w:right="60" w:firstLine="419"/>
        <w:spacing w:after="0" w:line="277"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the payment of such interest is lawful, interest on overdue installments of interest and overdue principal, which has become due otherwise than by such declaration of acceleration, has been paid;</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has paid the Trustee its reasonable compensation and reimbursed the Trustee for its expenses, disbursements, indemnities and advances; and</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Other Remedies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by the Holders of a majority of the principal amount outstanding of the Notes to settle, compromise, adjust or otherwise conclude any proceedings to which it is a party.</w:t>
      </w:r>
    </w:p>
    <w:p>
      <w:pPr>
        <w:spacing w:after="0" w:line="187"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Waiver of Existing Defaults and Events of Default</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4" w:lineRule="auto"/>
        <w:tabs>
          <w:tab w:leader="none" w:pos="12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Subject to Sections 2.10, 6.02, 6.08 and 8.02, the Holders of a majority in principal amount of the Notes then outstanding shall have the right to waive past Defaults under this Indenture </w:t>
      </w:r>
      <w:r>
        <w:rPr>
          <w:rFonts w:ascii="Arial" w:cs="Arial" w:eastAsia="Arial" w:hAnsi="Arial"/>
          <w:sz w:val="16"/>
          <w:szCs w:val="16"/>
          <w:i w:val="1"/>
          <w:iCs w:val="1"/>
          <w:color w:val="auto"/>
        </w:rPr>
        <w:t>except</w:t>
      </w:r>
      <w:r>
        <w:rPr>
          <w:rFonts w:ascii="Arial" w:cs="Arial" w:eastAsia="Arial" w:hAnsi="Arial"/>
          <w:sz w:val="16"/>
          <w:szCs w:val="16"/>
          <w:color w:val="auto"/>
        </w:rPr>
        <w:t xml:space="preserve"> a Default in the payment of the principal of, or interest or premium, if any, on any Note as specified in clauses (1) and (2) of Section 6.01 or in respect of a covenant or a provision which cannot be modified or amended without the consent of all Holders as provided for in Section 8.02.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 This subsection (a) of this Section 6.04 shall be in lieu of TIA § 316(a)</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(1)(B), and TIA § 316(a)(1)(B) is hereby expressly excluded from this Indenture and the Notes, as permitted by the TIA.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490" w:right="459" w:bottom="1440" w:gutter="0" w:footer="0" w:header="0"/>
        </w:sectPr>
      </w:pPr>
    </w:p>
    <w:bookmarkStart w:id="69" w:name="page70"/>
    <w:bookmarkEnd w:id="69"/>
    <w:p>
      <w:pPr>
        <w:ind w:right="320" w:firstLine="987"/>
        <w:spacing w:after="0" w:line="263"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Control by Majority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Subject to Sections 2.10 and 7.01, the Holders of a majority in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if the Trustee, being advised by counsel, determines that the action so directed may not lawfully be taken or if the Trustee in good faith shall, by a Responsible Officer, determine that the proceedings so directed may involve it in personal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reasonably satisfactory to it against any loss or expense caused by taking such action or following such direction. This Section 6.05 shall be in lieu of TIA § 316(a)(1)(A), and TIA § 316(a)(1)(A) is hereby expressly excluded from this Indenture and the Notes, as permitted by the TIA.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Subject to Section 6.08, a Holder may not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Holder has given the Trustee written notice of a continuing Event of Default;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the Notes then outstanding make a written request to the Trustee to pursue the remedy;</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490" w:right="459" w:bottom="1440" w:gutter="0" w:footer="0" w:header="0"/>
        </w:sectPr>
      </w:pPr>
    </w:p>
    <w:bookmarkStart w:id="70" w:name="page71"/>
    <w:bookmarkEnd w:id="70"/>
    <w:p>
      <w:pPr>
        <w:ind w:left="440" w:right="260" w:firstLine="419"/>
        <w:spacing w:after="0" w:line="277" w:lineRule="auto"/>
        <w:tabs>
          <w:tab w:leader="none" w:pos="1118"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A Noteholder may not use any provision of this Indenture to disturb or prejudice the rights of another Noteholder or to obtain a preference or priority over another Noteholder.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No Personal Liability of Directors, Officers, Employees and </w:t>
      </w:r>
      <w:r>
        <w:rPr>
          <w:rFonts w:ascii="Arial" w:cs="Arial" w:eastAsia="Arial" w:hAnsi="Arial"/>
          <w:sz w:val="18"/>
          <w:szCs w:val="18"/>
          <w:u w:val="single" w:color="auto"/>
          <w:color w:val="auto"/>
        </w:rPr>
        <w:t>Stockholders.</w:t>
      </w:r>
    </w:p>
    <w:p>
      <w:pPr>
        <w:spacing w:after="0" w:line="225" w:lineRule="exact"/>
        <w:rPr>
          <w:sz w:val="20"/>
          <w:szCs w:val="20"/>
          <w:color w:val="auto"/>
        </w:rPr>
      </w:pPr>
    </w:p>
    <w:p>
      <w:pPr>
        <w:jc w:val="both"/>
        <w:ind w:right="280" w:firstLine="991"/>
        <w:spacing w:after="0" w:line="311" w:lineRule="auto"/>
        <w:rPr>
          <w:sz w:val="20"/>
          <w:szCs w:val="20"/>
          <w:color w:val="auto"/>
        </w:rPr>
      </w:pPr>
      <w:r>
        <w:rPr>
          <w:rFonts w:ascii="Arial" w:cs="Arial" w:eastAsia="Arial" w:hAnsi="Arial"/>
          <w:sz w:val="16"/>
          <w:szCs w:val="16"/>
          <w:color w:val="auto"/>
        </w:rPr>
        <w:t>No director, officer, employee, incorporator or stockholder of Parent or of any Subsidiary of Parent,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Collection Suit by Trustee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490" w:right="459" w:bottom="1440" w:gutter="0" w:footer="0" w:header="0"/>
        </w:sectPr>
      </w:pPr>
    </w:p>
    <w:bookmarkStart w:id="71" w:name="page72"/>
    <w:bookmarkEnd w:id="7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78" w:lineRule="exact"/>
        <w:rPr>
          <w:sz w:val="20"/>
          <w:szCs w:val="20"/>
          <w:color w:val="auto"/>
        </w:rPr>
      </w:pPr>
    </w:p>
    <w:p>
      <w:pPr>
        <w:ind w:right="600" w:firstLine="991"/>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Priorities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the Trustee collects any money pursuant to this Article Six, it shall pay out the money in the following order:</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Trustee for amounts due under Section 7.07;</w:t>
      </w:r>
    </w:p>
    <w:p>
      <w:pPr>
        <w:spacing w:after="0" w:line="117" w:lineRule="exact"/>
        <w:rPr>
          <w:sz w:val="20"/>
          <w:szCs w:val="20"/>
          <w:color w:val="auto"/>
        </w:rPr>
      </w:pPr>
    </w:p>
    <w:p>
      <w:pPr>
        <w:ind w:left="440" w:right="140" w:firstLine="423"/>
        <w:spacing w:after="0" w:line="277" w:lineRule="auto"/>
        <w:rPr>
          <w:sz w:val="20"/>
          <w:szCs w:val="20"/>
          <w:color w:val="auto"/>
        </w:rPr>
      </w:pPr>
      <w:r>
        <w:rPr>
          <w:rFonts w:ascii="Arial" w:cs="Arial" w:eastAsia="Arial" w:hAnsi="Arial"/>
          <w:sz w:val="18"/>
          <w:szCs w:val="18"/>
          <w:color w:val="auto"/>
        </w:rPr>
        <w:t>SECOND: to Noteholders for amounts due and unpaid on the Notes for principal, premium, if any, and interest, ratably, without preference or priority of any kind, according to the amounts due and payable on the Notes; and</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Issuer or, to the extent the Trustee collects any amount from any Guarantor, to such Guarantor.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Trustee may fix a record date and payment date for any payment to Noteholders pursuant to this Section 6.11.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Holders of more than 10% in aggregate principal amount of the outstanding Notes.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490" w:right="4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SEVEN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5" w:lineRule="exact"/>
        <w:rPr>
          <w:sz w:val="20"/>
          <w:szCs w:val="20"/>
          <w:color w:val="auto"/>
        </w:rPr>
      </w:pPr>
    </w:p>
    <w:p>
      <w:pPr>
        <w:jc w:val="both"/>
        <w:ind w:right="20" w:firstLine="987"/>
        <w:spacing w:after="0" w:line="263"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would exercise or use under the same circumstances.</w:t>
      </w:r>
    </w:p>
    <w:p>
      <w:pPr>
        <w:spacing w:after="0" w:line="184"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The Trustee shall not be deemed to have actual knowledge of any Default or Event of Default unless written notice of any event which is in fact such a default is received by the Trustee at the Corporate Trust Office of the Trustee, and such notice references the Notes and this Indenture.</w:t>
      </w:r>
    </w:p>
    <w:p>
      <w:pPr>
        <w:spacing w:after="0" w:line="124" w:lineRule="exact"/>
        <w:rPr>
          <w:sz w:val="20"/>
          <w:szCs w:val="20"/>
          <w:color w:val="auto"/>
        </w:rPr>
      </w:pPr>
    </w:p>
    <w:p>
      <w:pPr>
        <w:ind w:left="1240" w:hanging="253"/>
        <w:spacing w:after="0"/>
        <w:tabs>
          <w:tab w:leader="none" w:pos="12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Except during the continuance of a Default or an Event of Default of which a Responsible Officer of the Trustee has actual knowledge:</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Trustee need perform only those duties expressly set forth in this Indenture and no others.</w:t>
      </w:r>
    </w:p>
    <w:p>
      <w:pPr>
        <w:spacing w:after="0" w:line="117" w:lineRule="exact"/>
        <w:rPr>
          <w:rFonts w:ascii="Arial" w:cs="Arial" w:eastAsia="Arial" w:hAnsi="Arial"/>
          <w:sz w:val="18"/>
          <w:szCs w:val="18"/>
          <w:color w:val="auto"/>
        </w:rPr>
      </w:pPr>
    </w:p>
    <w:p>
      <w:pPr>
        <w:ind w:left="440" w:firstLine="419"/>
        <w:spacing w:after="0" w:line="271" w:lineRule="auto"/>
        <w:tabs>
          <w:tab w:leader="none" w:pos="111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subject to the requirement in the preceding sentence, if applicable.</w:t>
      </w:r>
    </w:p>
    <w:p>
      <w:pPr>
        <w:spacing w:after="0" w:line="178" w:lineRule="exact"/>
        <w:rPr>
          <w:rFonts w:ascii="Arial" w:cs="Arial" w:eastAsia="Arial" w:hAnsi="Arial"/>
          <w:sz w:val="17"/>
          <w:szCs w:val="17"/>
          <w:color w:val="auto"/>
        </w:rPr>
      </w:pPr>
    </w:p>
    <w:p>
      <w:pPr>
        <w:ind w:right="820" w:firstLine="987"/>
        <w:spacing w:after="0" w:line="277" w:lineRule="auto"/>
        <w:tabs>
          <w:tab w:leader="none" w:pos="1233"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sz w:val="20"/>
          <w:szCs w:val="20"/>
          <w:color w:val="auto"/>
        </w:rPr>
      </w:pPr>
    </w:p>
    <w:p>
      <w:pPr>
        <w:ind w:left="5360" w:right="4340" w:hanging="4501"/>
        <w:spacing w:after="0" w:line="490" w:lineRule="auto"/>
        <w:tabs>
          <w:tab w:leader="none" w:pos="111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paragraph does not limit the effect of subsection (b) of this Section 7.01. -62-</w:t>
      </w:r>
    </w:p>
    <w:p>
      <w:pPr>
        <w:sectPr>
          <w:pgSz w:w="11900" w:h="16838" w:orient="portrait"/>
          <w:cols w:equalWidth="0" w:num="1">
            <w:col w:w="11020"/>
          </w:cols>
          <w:pgMar w:left="440" w:top="490" w:right="439" w:bottom="1440" w:gutter="0" w:footer="0" w:header="0"/>
        </w:sectPr>
      </w:pPr>
    </w:p>
    <w:bookmarkStart w:id="73" w:name="page74"/>
    <w:bookmarkEnd w:id="73"/>
    <w:p>
      <w:pPr>
        <w:ind w:left="440" w:right="60" w:firstLine="419"/>
        <w:spacing w:after="0" w:line="277" w:lineRule="auto"/>
        <w:tabs>
          <w:tab w:leader="none" w:pos="1114"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11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the terms of this Indenture.</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rights, powers or duties.</w:t>
      </w:r>
    </w:p>
    <w:p>
      <w:pPr>
        <w:spacing w:after="0" w:line="170" w:lineRule="exact"/>
        <w:rPr>
          <w:rFonts w:ascii="Arial" w:cs="Arial" w:eastAsia="Arial" w:hAnsi="Arial"/>
          <w:sz w:val="18"/>
          <w:szCs w:val="18"/>
          <w:color w:val="auto"/>
        </w:rPr>
      </w:pPr>
    </w:p>
    <w:p>
      <w:pPr>
        <w:ind w:right="160" w:firstLine="987"/>
        <w:spacing w:after="0" w:line="277" w:lineRule="auto"/>
        <w:tabs>
          <w:tab w:leader="none" w:pos="1243"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Whether or not therein expressly so provided, subsections (a), (b), (c) and (e) of this Section 7.01 shall govern every provision of this Indenture that in any way relates to the Trustee.</w:t>
      </w:r>
    </w:p>
    <w:p>
      <w:pPr>
        <w:spacing w:after="0" w:line="170" w:lineRule="exact"/>
        <w:rPr>
          <w:rFonts w:ascii="Arial" w:cs="Arial" w:eastAsia="Arial" w:hAnsi="Arial"/>
          <w:sz w:val="18"/>
          <w:szCs w:val="18"/>
          <w:color w:val="auto"/>
        </w:rPr>
      </w:pPr>
    </w:p>
    <w:p>
      <w:pPr>
        <w:ind w:right="80" w:firstLine="987"/>
        <w:spacing w:after="0" w:line="259" w:lineRule="auto"/>
        <w:tabs>
          <w:tab w:leader="none" w:pos="123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fully indemnified the Trustee to the satisfaction of the Trustee, against the costs, expenses and liabilities which might be incurred by it in compliance with such request or direction (including, but not limited to, the fees and disbursements of agents and attorneys).</w:t>
      </w:r>
    </w:p>
    <w:p>
      <w:pPr>
        <w:spacing w:after="0" w:line="186" w:lineRule="exact"/>
        <w:rPr>
          <w:rFonts w:ascii="Arial" w:cs="Arial" w:eastAsia="Arial" w:hAnsi="Arial"/>
          <w:sz w:val="18"/>
          <w:szCs w:val="18"/>
          <w:color w:val="auto"/>
        </w:rPr>
      </w:pPr>
    </w:p>
    <w:p>
      <w:pPr>
        <w:ind w:firstLine="987"/>
        <w:spacing w:after="0" w:line="308" w:lineRule="auto"/>
        <w:tabs>
          <w:tab w:leader="none" w:pos="1213"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Subject to Section 7.01:</w:t>
      </w:r>
    </w:p>
    <w:p>
      <w:pPr>
        <w:spacing w:after="0" w:line="117" w:lineRule="exact"/>
        <w:rPr>
          <w:sz w:val="20"/>
          <w:szCs w:val="20"/>
          <w:color w:val="auto"/>
        </w:rPr>
      </w:pPr>
    </w:p>
    <w:p>
      <w:pPr>
        <w:ind w:left="440" w:right="180" w:firstLine="419"/>
        <w:spacing w:after="0" w:line="257" w:lineRule="auto"/>
        <w:tabs>
          <w:tab w:leader="none" w:pos="111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facsimile, .pdf attachment or other electronically transmitted form) believed by it to be genuine and to have been signed or presented by the proper party or parties, whether such document is in original, facsimile, .pdf attachment or other electronically transmitted form; even if it has a monetary limit.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490" w:right="459" w:bottom="1440" w:gutter="0" w:footer="0" w:header="0"/>
        </w:sectPr>
      </w:pPr>
    </w:p>
    <w:bookmarkStart w:id="74" w:name="page75"/>
    <w:bookmarkEnd w:id="74"/>
    <w:p>
      <w:pPr>
        <w:ind w:right="140" w:firstLine="419"/>
        <w:spacing w:after="0" w:line="293" w:lineRule="auto"/>
        <w:tabs>
          <w:tab w:leader="none" w:pos="674"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sole and absolute discretion, may make such further inquiry or investigation into such facts or matters as it may see fit at the sole cost of the Issuer and shall incur no liability or additional liability of any kind by reason of such inquiry or investigation except for liability resulting from the Trustee’s negligence or willful misconduct, and, if the Trustee shall determine to make such further inquiry or investigation, it shall be entitled to examine the books, records and premises of the Issuer, personally or by agent or attorney.</w:t>
      </w:r>
    </w:p>
    <w:p>
      <w:pPr>
        <w:spacing w:after="0" w:line="56" w:lineRule="exact"/>
        <w:rPr>
          <w:rFonts w:ascii="Arial" w:cs="Arial" w:eastAsia="Arial" w:hAnsi="Arial"/>
          <w:sz w:val="16"/>
          <w:szCs w:val="16"/>
          <w:color w:val="auto"/>
        </w:rPr>
      </w:pPr>
    </w:p>
    <w:p>
      <w:pPr>
        <w:ind w:right="220" w:firstLine="419"/>
        <w:spacing w:after="0" w:line="263" w:lineRule="auto"/>
        <w:tabs>
          <w:tab w:leader="none" w:pos="6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which shall conform to the provisions of Section 11.05. The Trustee shall be protected and shall not be liable for any action it takes or omits to take in good faith in reliance on such certificate or opinion.</w:t>
      </w:r>
    </w:p>
    <w:p>
      <w:pPr>
        <w:spacing w:after="0" w:line="75" w:lineRule="exact"/>
        <w:rPr>
          <w:rFonts w:ascii="Arial" w:cs="Arial" w:eastAsia="Arial" w:hAnsi="Arial"/>
          <w:sz w:val="18"/>
          <w:szCs w:val="18"/>
          <w:color w:val="auto"/>
        </w:rPr>
      </w:pPr>
    </w:p>
    <w:p>
      <w:pPr>
        <w:ind w:right="280" w:firstLine="419"/>
        <w:spacing w:after="0" w:line="277" w:lineRule="auto"/>
        <w:tabs>
          <w:tab w:leader="none" w:pos="6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by it with due care.</w:t>
      </w:r>
    </w:p>
    <w:p>
      <w:pPr>
        <w:spacing w:after="0" w:line="62" w:lineRule="exact"/>
        <w:rPr>
          <w:rFonts w:ascii="Arial" w:cs="Arial" w:eastAsia="Arial" w:hAnsi="Arial"/>
          <w:sz w:val="18"/>
          <w:szCs w:val="18"/>
          <w:color w:val="auto"/>
        </w:rPr>
      </w:pPr>
    </w:p>
    <w:p>
      <w:pPr>
        <w:ind w:right="480" w:firstLine="419"/>
        <w:spacing w:after="0" w:line="308" w:lineRule="auto"/>
        <w:tabs>
          <w:tab w:leader="none" w:pos="674"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Trustee shall not be liable for any action it takes or omits to take in good faith which it reasonably believes to be authorized or within its rights or powers;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Trustee’s conduct does not constitute negligence or willful misconduct.</w:t>
      </w:r>
    </w:p>
    <w:p>
      <w:pPr>
        <w:spacing w:after="0" w:line="38" w:lineRule="exact"/>
        <w:rPr>
          <w:rFonts w:ascii="Arial" w:cs="Arial" w:eastAsia="Arial" w:hAnsi="Arial"/>
          <w:sz w:val="17"/>
          <w:szCs w:val="17"/>
          <w:color w:val="auto"/>
        </w:rPr>
      </w:pPr>
    </w:p>
    <w:p>
      <w:pPr>
        <w:ind w:right="300" w:firstLine="419"/>
        <w:spacing w:after="0" w:line="263" w:lineRule="auto"/>
        <w:tabs>
          <w:tab w:leader="none" w:pos="6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75" w:lineRule="exact"/>
        <w:rPr>
          <w:rFonts w:ascii="Arial" w:cs="Arial" w:eastAsia="Arial" w:hAnsi="Arial"/>
          <w:sz w:val="18"/>
          <w:szCs w:val="18"/>
          <w:color w:val="auto"/>
        </w:rPr>
      </w:pPr>
    </w:p>
    <w:p>
      <w:pPr>
        <w:jc w:val="both"/>
        <w:ind w:firstLine="419"/>
        <w:spacing w:after="0" w:line="263" w:lineRule="auto"/>
        <w:tabs>
          <w:tab w:leader="none" w:pos="6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(including but not limited to as Registrar and as Paying Agent), and each agent, custodian and other person employed to act hereunder.</w:t>
      </w:r>
    </w:p>
    <w:p>
      <w:pPr>
        <w:spacing w:after="0" w:line="75" w:lineRule="exact"/>
        <w:rPr>
          <w:rFonts w:ascii="Arial" w:cs="Arial" w:eastAsia="Arial" w:hAnsi="Arial"/>
          <w:sz w:val="18"/>
          <w:szCs w:val="18"/>
          <w:color w:val="auto"/>
        </w:rPr>
      </w:pPr>
    </w:p>
    <w:p>
      <w:pPr>
        <w:ind w:right="220" w:firstLine="419"/>
        <w:spacing w:after="0" w:line="277" w:lineRule="auto"/>
        <w:tabs>
          <w:tab w:leader="none" w:pos="6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 of the Trustee to perform any discretionary act enumerated in this Indenture shall not be construed as a duty, and the Trustee shall not be answerable for other than its own negligence or willful misconduct in the performance of such act.</w:t>
      </w:r>
    </w:p>
    <w:p>
      <w:pPr>
        <w:spacing w:after="0" w:line="62" w:lineRule="exact"/>
        <w:rPr>
          <w:rFonts w:ascii="Arial" w:cs="Arial" w:eastAsia="Arial" w:hAnsi="Arial"/>
          <w:sz w:val="18"/>
          <w:szCs w:val="18"/>
          <w:color w:val="auto"/>
        </w:rPr>
      </w:pPr>
    </w:p>
    <w:p>
      <w:pPr>
        <w:ind w:right="20" w:firstLine="419"/>
        <w:spacing w:after="0" w:line="259" w:lineRule="auto"/>
        <w:tabs>
          <w:tab w:leader="none" w:pos="6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may from time to time request that the Issuer deliver an Officers’ Certificate setting forth the names of individuals and/or titles of officers authorized at such time to take specified actions pursuant to the Indenture, which Officers’ Certificate may be signed by any persons authorized to sign an Officers’ Certificate, including any person specified as so authorized in any such certificate previously delivered and not superseded.</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40"/>
          </w:cols>
          <w:pgMar w:left="880" w:top="490" w:right="479" w:bottom="1440" w:gutter="0" w:footer="0" w:header="0"/>
        </w:sectPr>
      </w:pPr>
    </w:p>
    <w:bookmarkStart w:id="75" w:name="page76"/>
    <w:bookmarkEnd w:id="75"/>
    <w:p>
      <w:pPr>
        <w:ind w:left="1200" w:hanging="341"/>
        <w:spacing w:after="0"/>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Trustee shall have no duty to inquire as to the performance of the covenants of the Issuer.</w:t>
      </w:r>
    </w:p>
    <w:p>
      <w:pPr>
        <w:spacing w:after="0" w:line="117" w:lineRule="exact"/>
        <w:rPr>
          <w:rFonts w:ascii="Arial" w:cs="Arial" w:eastAsia="Arial" w:hAnsi="Arial"/>
          <w:sz w:val="18"/>
          <w:szCs w:val="18"/>
          <w:color w:val="auto"/>
        </w:rPr>
      </w:pPr>
    </w:p>
    <w:p>
      <w:pPr>
        <w:ind w:left="440" w:right="120" w:firstLine="419"/>
        <w:spacing w:after="0" w:line="257" w:lineRule="auto"/>
        <w:tabs>
          <w:tab w:leader="none" w:pos="12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it being understood that the Trustee shall use reasonable best efforts which are consistent with accepted practices in the banking industry to resume performance as soon as practicable under the circumstances.</w:t>
      </w:r>
    </w:p>
    <w:p>
      <w:pPr>
        <w:spacing w:after="0" w:line="79" w:lineRule="exact"/>
        <w:rPr>
          <w:rFonts w:ascii="Arial" w:cs="Arial" w:eastAsia="Arial" w:hAnsi="Arial"/>
          <w:sz w:val="18"/>
          <w:szCs w:val="18"/>
          <w:color w:val="auto"/>
        </w:rPr>
      </w:pPr>
    </w:p>
    <w:p>
      <w:pPr>
        <w:ind w:left="440" w:right="460" w:firstLine="419"/>
        <w:spacing w:after="0" w:line="277" w:lineRule="auto"/>
        <w:tabs>
          <w:tab w:leader="none" w:pos="12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Trustee entitled to assume without enquiry, that the Issuer has performed in accordance with all of the provisions in the Indenture, unless notified to the contrary.</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2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Under no circumstances will the Trustee be liable to the Issuer for any consequential loss (being loss of business, goodwill, opportunity or profit), even if advised of the possibility of such loss or damage.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57"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it must eliminate such conflict within 90 days, apply to the Commission for permission to continue as Trustee or resign. Any Agent may do the same with like rights. The Trustee shall also be subject to Sections 7.10 and 7.11.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the Notes or any Note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490"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7.05.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a Default or an Event of Default occurs and is continuing and if it is known to a Responsible Officer of the Trustee, the Trustee shall give to each Noteholder a notice of the Default or Event of Default within 90 days after it occurs in the manner and to the extent provided in the TIA and otherwise as provided in this Indenture. Except in the case of a Default or an Event of Default relating to the payment of the principal of or interest on any Note (including payments pursuant to a redemption or repurchase of the Notes pursuant to the provisions of this Indenture) or relating to Article Five of this Indenture, the Trustee may withhold the notice if and so long as a Responsible Officer in good faith determines that withholding the notice is in the interests of 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If required by TIA § 313(a), within 60 days after March 1 of any year, commencing on the March 1 following the date of this Indenture, the Trustee shall mail to each Noteholder a brief report dated as of such date that complies with TIA § 313(a). The Trustee also shall comply with TIA § 313(b)(2). The Trustee shall also transmit by mail all reports as required by TIA § 313(c) and TIA § 313(d).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Reports pursuant to this Section 7.06 shall be transmitted by mail:</w:t>
      </w:r>
    </w:p>
    <w:p>
      <w:pPr>
        <w:spacing w:after="0" w:line="117" w:lineRule="exact"/>
        <w:rPr>
          <w:sz w:val="20"/>
          <w:szCs w:val="20"/>
          <w:color w:val="auto"/>
        </w:rPr>
      </w:pPr>
    </w:p>
    <w:p>
      <w:pPr>
        <w:ind w:left="1120" w:hanging="261"/>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all Holders of Notes, as the names and addresses of such Holders appear on the Registrar’s books; and</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such Holders of Notes as have, within the two years preceding such transmission, filed their names and addresses with the Trustee for that purpose.</w:t>
      </w:r>
    </w:p>
    <w:p>
      <w:pPr>
        <w:spacing w:after="0" w:line="170"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A copy of each report at the time of its mailing to Holders shall be filed with the Commission and each stock exchange on which the Notes are listed. The Issuer shall promptly notify the Trustee, in writing, when the Notes are listed on any stock exchange or delisted therefrom.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Issuer and the Guarantors shall pay to the Trustee from time to time reasonable compensation as agreed upon for its services hereunder (which compensation shall not be limited by any provision of law in regard to the compensation of a trustee of an express trust). The Issuer and the Guarantors shall reimburse the Trustee upon request for all reasonable out-of-pocket disbursements, expenses and advances incurred or made by it in connection with the Trustee’s duties under this Indenture, including, but not limited to, the reasonable compensation, disbursements and expenses of the Trustee’s agents and external counsel and such additional fees as may be applicable in the event of a potential Event of Default, an Event of Default or in relation to the exceptional duties.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490" w:right="459" w:bottom="1440" w:gutter="0" w:footer="0" w:header="0"/>
        </w:sectPr>
      </w:pPr>
    </w:p>
    <w:bookmarkStart w:id="77" w:name="page78"/>
    <w:bookmarkEnd w:id="77"/>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incurred by each of them in connection with the acceptance or performance of its duties under this Indenture and including the reasonable costs and expenses of defending itself against any claim or liability in connection with the exercise or performance of any of its powers or duties hereunder (including, without limitation, settlement costs). The Trustee shall notify the Issuer and the Guarantors in writing promptly of any claim of which a Responsible Officer of the Trustee has actual knowledge asserted against the Trustee for which it may seek indemnity;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by the Trustee to so notify the Issuer and the Guarantors shall not relieve the Issuer and Guarantors of their obligations hereunder except to the extent the Issuer and the Guarantors are actually prejudiced thereby. In the event that a conflict of interest exists, the Trustee may have separate counsel and the Issuer shall pay the reasonable fees and expenses of such counsel.</w:t>
      </w:r>
    </w:p>
    <w:p>
      <w:pPr>
        <w:spacing w:after="0" w:line="18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Notwithstanding the foregoing, the Issuer and the Guarantors need not reimburse the Trustee for any expense or indemnify it against any loss or liability to have been incurred by the Trustee through its own negligence, bad faith or willful misconduct.</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w:t>
      </w:r>
    </w:p>
    <w:p>
      <w:pPr>
        <w:spacing w:after="0" w:line="187"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When the Trustee incurs expenses or renders services after an Event of Default specified in Section 6.01 (7) occurs, the expenses and the compensation for the services are intended to constitute expenses of administration under any applicable Bankruptcy Law.</w:t>
      </w:r>
    </w:p>
    <w:p>
      <w:pPr>
        <w:spacing w:after="0" w:line="146"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For purposes of this Section 7.07, the term “Trustee” shall include any trustee appointed pursuant to this Article Seven. The provisions of this Section 7.07 shall apply to Trustee in its capacity as Paying Agent, Transfer Agent or Registrar and any other Agent under this Indenture.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490" w:right="459" w:bottom="1440" w:gutter="0" w:footer="0" w:header="0"/>
        </w:sectPr>
      </w:pPr>
    </w:p>
    <w:bookmarkStart w:id="78" w:name="page79"/>
    <w:bookmarkEnd w:id="7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provisions of this Section 7.07 shall survive the satisfaction and discharge of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their election if:</w:t>
      </w:r>
    </w:p>
    <w:p>
      <w:pPr>
        <w:spacing w:after="0" w:line="41" w:lineRule="exact"/>
        <w:rPr>
          <w:sz w:val="20"/>
          <w:szCs w:val="20"/>
          <w:color w:val="auto"/>
        </w:rPr>
      </w:pPr>
    </w:p>
    <w:p>
      <w:pPr>
        <w:ind w:left="1120" w:hanging="261"/>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Issuer shall promptly appoint a successor Trustee.</w:t>
      </w:r>
    </w:p>
    <w:p>
      <w:pPr>
        <w:spacing w:after="0" w:line="170"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If a successor Trustee does not take office within 60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retiring Trustee resigns and a court has not appointed a successor within 60 days, such retiring Trustee may appoint a successor that meets the eligibility requirements of Section 7.10.</w:t>
      </w:r>
    </w:p>
    <w:p>
      <w:pPr>
        <w:spacing w:after="0" w:line="17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70"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490" w:right="47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7.09. </w:t>
      </w:r>
      <w:r>
        <w:rPr>
          <w:rFonts w:ascii="Arial" w:cs="Arial" w:eastAsia="Arial" w:hAnsi="Arial"/>
          <w:sz w:val="18"/>
          <w:szCs w:val="18"/>
          <w:u w:val="single" w:color="auto"/>
          <w:color w:val="auto"/>
        </w:rPr>
        <w:t>Successor Trustee by Consolidation, Merger, etc</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Any corporation into which the Trustee may be merged or converted, or any corporation with which the Trustee may be consolidated, or any corporation resulting from any merger, conversion or consolidation to which the Trustee shall be a party, or any corporation, including affiliated corporations, to which the Trustee shall sell or otherwise transfer: (a) all or substantially all of its assets or (b) all or substantially all of its corporate trust business shall, on the date when the merger, conversion, consolidation or transfer becomes effective and to the extent permitted by any applicable laws and subject to the requirements set forth in Section 7.10 of this Indenture become the successor Trustee under this Indenture without the execution or filing of any paper or any further act on the part of the parties to this Indenture, unless otherwise required by the Issuer, and after the said effective date all references in this Indenture to the Trustee shall be deemed to be references to such successor corporation. Written notice of any such merger, conversion, consolidation or transfer shall immediately be given to the Issuer by the Trustee.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This Indenture shall always have a Trustee who satisfies the requirements of TIA § 310(a)(1) and (2) in every respect. The Trustee shall have a combined capital and surplus of at least $100,000,000 as set forth in the most recent applicable published annual report of condition. The Trustee shall comply with TIA § 310(b);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there shall be excluded from the operation of TIA § 310(b)(1) any indenture or indentures under which other securities or certificates of interest or participation in other securities of the Issuer are outstanding if the requirements for such exclusion set forth in TIA § 310(b)(1) are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Issuer</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Trustee is subject to and shall comply with TIA § 311(a), excluding any creditor relationship listed in TIA § 311(b). A Trustee who has resigned or been removed shall be subject to TIA § 311(a) to the extent indicated therein.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490"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7.12.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Issuer shall cause each Paying Agent other than the Trustee or other parties to this Indenture to execute and deliver to it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an instrument in which such Paying Agent shall agree with the Trustee, subject to the provisions of this Section 7.12:</w:t>
      </w:r>
    </w:p>
    <w:p>
      <w:pPr>
        <w:spacing w:after="0" w:line="103" w:lineRule="exact"/>
        <w:rPr>
          <w:sz w:val="20"/>
          <w:szCs w:val="20"/>
          <w:color w:val="auto"/>
        </w:rPr>
      </w:pPr>
    </w:p>
    <w:p>
      <w:pPr>
        <w:ind w:left="440" w:right="120" w:firstLine="419"/>
        <w:spacing w:after="0" w:line="308" w:lineRule="auto"/>
        <w:tabs>
          <w:tab w:leader="none" w:pos="115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1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62" w:lineRule="exact"/>
        <w:rPr>
          <w:rFonts w:ascii="Arial" w:cs="Arial" w:eastAsia="Arial" w:hAnsi="Arial"/>
          <w:sz w:val="18"/>
          <w:szCs w:val="18"/>
          <w:color w:val="auto"/>
        </w:rPr>
      </w:pPr>
    </w:p>
    <w:p>
      <w:pPr>
        <w:ind w:left="440" w:right="60" w:firstLine="419"/>
        <w:spacing w:after="0" w:line="308" w:lineRule="auto"/>
        <w:tabs>
          <w:tab w:leader="none" w:pos="114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Communications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In no event shall the Agent or any other entity of U.S. Bank Trust Company, National Association be liable for any Losses arising to the Agent or any other entity of U.S. Bank Trust Company, National Association receiving or transmitting any data from any Issuer, any Authorized Person or any party to the transaction via any non-secure method of transmission or communication, such as, but without limitation, by facsimile or email.</w:t>
      </w:r>
    </w:p>
    <w:p>
      <w:pPr>
        <w:spacing w:after="0" w:line="14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parties hereto accept that some methods of communication are not secure and the Agent or any other entity of U.S. Bank Trust Company, National Association shall incur no liability for receiving instructions via any such non-secure method. Agent and Trustee shall have the right to accept and act upon any notice, instruction, or other communication, including any funds transfer instruction, (each, a “Notice”) received pursuant to this Indenture by electronic transmission (including by e-mail, facsimile transmission, web portal or other electronic methods), and shall not have any duty to confirm that the person sending such Notice is, in fact, a person authorized to do so. Electronic signatures believed by Agent or Trustee to comply with the ESIGN Act of 2000 or other applicable law (including electronic images of handwritten signatures and digital signatures provided by DocuSign, Orbit, Adobe Sign or any other digital signature provider identified by any other party hereto and acceptable to Agent or Trustee) shall be deemed original signatures for all purposes. Each other party to this Indenture assumes all risks arising out of the use of electronic signatures and electronic methods to send Notices to Agent and Trustee, including without limitation the risk of Agent or Trustee acting on an unauthorized Notice and the risk of interception or misuse by third parties. Notwithstanding the foregoing, Agent or Trustee may in any instance and in its sole discretion require that a Notice in the form of an original document bearing a manual signature be delivered to Agent or Trustee in lieu of, or in addition to, any such electronic Notice.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40"/>
          </w:cols>
          <w:pgMar w:left="440" w:top="490" w:right="5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EIGHT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Without Consent of Noteholders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Notwithstanding Section 8.02, the Issuer and Trustee may modify and amend this Indenture, the Notes or the Note Guarantees without the consent of any Holder for any of the following purposes:</w:t>
      </w:r>
    </w:p>
    <w:p>
      <w:pPr>
        <w:spacing w:after="0" w:line="62" w:lineRule="exact"/>
        <w:rPr>
          <w:sz w:val="20"/>
          <w:szCs w:val="20"/>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Physical Notes;</w:t>
      </w:r>
    </w:p>
    <w:p>
      <w:pPr>
        <w:spacing w:after="0" w:line="117" w:lineRule="exact"/>
        <w:rPr>
          <w:rFonts w:ascii="Arial" w:cs="Arial" w:eastAsia="Arial" w:hAnsi="Arial"/>
          <w:sz w:val="18"/>
          <w:szCs w:val="18"/>
          <w:color w:val="auto"/>
        </w:rPr>
      </w:pPr>
    </w:p>
    <w:p>
      <w:pPr>
        <w:ind w:left="440" w:right="840" w:firstLine="419"/>
        <w:spacing w:after="0" w:line="27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provide for the assumption of the Issuer’s or any Guarantor’s obligations to the Holders of Notes in the case of a merger or consolidation or sale of all or substantially all of the Issuer’s or such Guarantor’s assets;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conform the text of the Indenture, Note Guarantees or the Notes to any provision of the “Description of the Notes” contained in the Offering Memorandum to the extent that such provision in the “Description of the Notes” contained in the Offering Memorandum was intended to be a verbatim recitation of a provision of this Indenture, Note Guarantees or the Notes;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add any Guarantor or release any Guarantor from its Note Guarantee if such release is in accordance with the terms of this Indenture;</w:t>
      </w:r>
    </w:p>
    <w:p>
      <w:pPr>
        <w:spacing w:after="0" w:line="140" w:lineRule="exact"/>
        <w:rPr>
          <w:rFonts w:ascii="Arial" w:cs="Arial" w:eastAsia="Arial" w:hAnsi="Arial"/>
          <w:sz w:val="16"/>
          <w:szCs w:val="16"/>
          <w:color w:val="auto"/>
        </w:rPr>
      </w:pPr>
    </w:p>
    <w:p>
      <w:pPr>
        <w:ind w:left="440" w:right="320" w:firstLine="419"/>
        <w:spacing w:after="0" w:line="27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add to the covenants of the Issuer and the Guarantors for the benefit of the Holders of the Notes or to surrender any right or power conferred upon the Issuer and the Guarantors;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provide for or confirm the issuance of Additional Notes;</w:t>
      </w:r>
    </w:p>
    <w:p>
      <w:pPr>
        <w:spacing w:after="0" w:line="117"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rights under this Indenture of any Holder in any material respect; or</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comply with requirements of the Commission in order to effect or maintain the qualification of this Indenture under the TIA.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490" w:right="47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8.02. </w:t>
      </w:r>
      <w:r>
        <w:rPr>
          <w:rFonts w:ascii="Arial" w:cs="Arial" w:eastAsia="Arial" w:hAnsi="Arial"/>
          <w:sz w:val="18"/>
          <w:szCs w:val="18"/>
          <w:u w:val="single" w:color="auto"/>
          <w:color w:val="auto"/>
        </w:rPr>
        <w:t>With Consent of Noteholders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to the extent provided in Section 8.01 and subsection (b) of this Section 8.02, this Indenture, the Notes or the Note Guarantees may be amended with the consent of the Holders of at least a majority in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the Note Guarantees may be waived with the consent of the Holders of at least a majority in principal amount of the then outstanding Notes voting as a single class (including, without limitation, consents obtained in connection with a purchase of, tender offer or exchange offer for Notes).</w:t>
      </w:r>
    </w:p>
    <w:p>
      <w:pPr>
        <w:spacing w:after="0" w:line="192" w:lineRule="exact"/>
        <w:rPr>
          <w:rFonts w:ascii="Arial" w:cs="Arial" w:eastAsia="Arial" w:hAnsi="Arial"/>
          <w:sz w:val="18"/>
          <w:szCs w:val="18"/>
          <w:color w:val="auto"/>
        </w:rPr>
      </w:pPr>
    </w:p>
    <w:p>
      <w:pPr>
        <w:ind w:right="540" w:firstLine="987"/>
        <w:spacing w:after="0" w:line="277" w:lineRule="auto"/>
        <w:tabs>
          <w:tab w:leader="none" w:pos="1246"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Notwithstanding subsection (a) of this Section 8.02, without the consent of each Holder of Notes issued under this Indenture, an amendment or waiver may not (with respect to any Note held by a non-consenting Holder):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reduce the principal amount of Notes issued under this Indenture whose Holders must consent to an amendment, supplement or waiver;</w:t>
      </w:r>
    </w:p>
    <w:p>
      <w:pPr>
        <w:spacing w:after="0" w:line="140" w:lineRule="exact"/>
        <w:rPr>
          <w:rFonts w:ascii="Arial" w:cs="Arial" w:eastAsia="Arial" w:hAnsi="Arial"/>
          <w:sz w:val="16"/>
          <w:szCs w:val="16"/>
          <w:color w:val="auto"/>
        </w:rPr>
      </w:pPr>
    </w:p>
    <w:p>
      <w:pPr>
        <w:ind w:left="440" w:right="60" w:firstLine="419"/>
        <w:spacing w:after="0" w:line="301" w:lineRule="auto"/>
        <w:tabs>
          <w:tab w:leader="none" w:pos="111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reduce the principal amount of or change the Maturity Date of any Notes, or alter the provisions with respect to the redemption of any such Notes other than, except as set forth in clause (7) below, the provisions of Section 4.08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Notes;</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any change to the provisions of this Indenture relating to the waiver of past Defaults or the rights of Holders of the Notes issued hereunder to receive payments of principal of or interest and Additional Amounts, if any, on the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490" w:right="459" w:bottom="1440" w:gutter="0" w:footer="0" w:header="0"/>
        </w:sectPr>
      </w:pPr>
    </w:p>
    <w:bookmarkStart w:id="83" w:name="page84"/>
    <w:bookmarkEnd w:id="83"/>
    <w:p>
      <w:pPr>
        <w:jc w:val="both"/>
        <w:ind w:left="440" w:right="260" w:firstLine="419"/>
        <w:spacing w:after="0" w:line="286" w:lineRule="auto"/>
        <w:tabs>
          <w:tab w:leader="none" w:pos="1118"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after the Issuer’s obligation to purchase Notes arises hereunder, amend, change or modify in any material respect the obligation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57" w:lineRule="exact"/>
        <w:rPr>
          <w:rFonts w:ascii="Arial" w:cs="Arial" w:eastAsia="Arial" w:hAnsi="Arial"/>
          <w:sz w:val="17"/>
          <w:szCs w:val="17"/>
          <w:color w:val="auto"/>
        </w:rPr>
      </w:pPr>
    </w:p>
    <w:p>
      <w:pPr>
        <w:ind w:left="440" w:right="6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release Parent, Crown or any other Guarantor that is a Significant Subsidiary from any of its obligations under its Note Guarantee or this Indenture otherwise than in accordance with the terms of this Indenture; or</w:t>
      </w:r>
    </w:p>
    <w:p>
      <w:pPr>
        <w:spacing w:after="0" w:line="62" w:lineRule="exact"/>
        <w:rPr>
          <w:rFonts w:ascii="Arial" w:cs="Arial" w:eastAsia="Arial" w:hAnsi="Arial"/>
          <w:sz w:val="18"/>
          <w:szCs w:val="18"/>
          <w:color w:val="auto"/>
        </w:rPr>
      </w:pPr>
    </w:p>
    <w:p>
      <w:pPr>
        <w:ind w:left="440" w:right="50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modify or change any provision of this Indenture affecting the ranking of the Notes or Note Guarantees in a manner adverse to the Holders of Notes.</w:t>
      </w:r>
    </w:p>
    <w:p>
      <w:pPr>
        <w:spacing w:after="0" w:line="170" w:lineRule="exact"/>
        <w:rPr>
          <w:rFonts w:ascii="Arial" w:cs="Arial" w:eastAsia="Arial" w:hAnsi="Arial"/>
          <w:sz w:val="18"/>
          <w:szCs w:val="18"/>
          <w:color w:val="auto"/>
        </w:rPr>
      </w:pPr>
    </w:p>
    <w:p>
      <w:pPr>
        <w:ind w:right="80" w:firstLine="987"/>
        <w:spacing w:after="0" w:line="277" w:lineRule="auto"/>
        <w:tabs>
          <w:tab w:leader="none" w:pos="1236" w:val="left"/>
        </w:tabs>
        <w:numPr>
          <w:ilvl w:val="1"/>
          <w:numId w:val="96"/>
        </w:numPr>
        <w:rPr>
          <w:rFonts w:ascii="Arial" w:cs="Arial" w:eastAsia="Arial" w:hAnsi="Arial"/>
          <w:sz w:val="18"/>
          <w:szCs w:val="18"/>
          <w:color w:val="auto"/>
        </w:rPr>
      </w:pPr>
      <w:r>
        <w:rPr>
          <w:rFonts w:ascii="Arial" w:cs="Arial" w:eastAsia="Arial" w:hAnsi="Arial"/>
          <w:sz w:val="18"/>
          <w:szCs w:val="18"/>
          <w:color w:val="auto"/>
        </w:rPr>
        <w:t>It shall not be necessary for the consent of the Holders of Notes under this Section 8.02 to approve the particular form of any proposed amendment, supplement or waiver, but it shall be sufficient if such consent approves the substance thereof.</w:t>
      </w:r>
    </w:p>
    <w:p>
      <w:pPr>
        <w:spacing w:after="0" w:line="170" w:lineRule="exact"/>
        <w:rPr>
          <w:rFonts w:ascii="Arial" w:cs="Arial" w:eastAsia="Arial" w:hAnsi="Arial"/>
          <w:sz w:val="18"/>
          <w:szCs w:val="18"/>
          <w:color w:val="auto"/>
        </w:rPr>
      </w:pPr>
    </w:p>
    <w:p>
      <w:pPr>
        <w:ind w:firstLine="987"/>
        <w:spacing w:after="0" w:line="279" w:lineRule="auto"/>
        <w:tabs>
          <w:tab w:leader="none" w:pos="1236" w:val="left"/>
        </w:tabs>
        <w:numPr>
          <w:ilvl w:val="1"/>
          <w:numId w:val="96"/>
        </w:numPr>
        <w:rPr>
          <w:rFonts w:ascii="Arial" w:cs="Arial" w:eastAsia="Arial" w:hAnsi="Arial"/>
          <w:sz w:val="17"/>
          <w:szCs w:val="17"/>
          <w:color w:val="auto"/>
        </w:rPr>
      </w:pPr>
      <w:r>
        <w:rPr>
          <w:rFonts w:ascii="Arial" w:cs="Arial" w:eastAsia="Arial" w:hAnsi="Arial"/>
          <w:sz w:val="17"/>
          <w:szCs w:val="17"/>
          <w:color w:val="auto"/>
        </w:rPr>
        <w:t>After an amendment, supplement or waiver under Section 8.01 or this Section 8.02 becomes effective, the Issuer shall send to the Holders affected thereby a notice briefly describing the amendment, supplement or waiver. The Issuer may elect in its sole discretion to have the Trustee mail such notice prepared by the Issuer on the Issuer’s behalf and at the Issuer’s sole expense. Any failure of the Issuer to send such notice, or any defect therein, shall not, however, in any way impair or affect the validity of any such amendment, supplement or waiver.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Every amendment or supplement to this Indenture, the Notes or the Note Guarantees shall comply with the TIA as then in effect.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280" w:firstLine="987"/>
        <w:spacing w:after="0" w:line="286" w:lineRule="auto"/>
        <w:tabs>
          <w:tab w:leader="none" w:pos="1226" w:val="left"/>
        </w:tabs>
        <w:numPr>
          <w:ilvl w:val="0"/>
          <w:numId w:val="97"/>
        </w:numPr>
        <w:rPr>
          <w:rFonts w:ascii="Arial" w:cs="Arial" w:eastAsia="Arial" w:hAnsi="Arial"/>
          <w:sz w:val="17"/>
          <w:szCs w:val="17"/>
          <w:color w:val="auto"/>
        </w:rPr>
      </w:pPr>
      <w:r>
        <w:rPr>
          <w:rFonts w:ascii="Arial" w:cs="Arial" w:eastAsia="Arial" w:hAnsi="Arial"/>
          <w:sz w:val="17"/>
          <w:szCs w:val="17"/>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65" w:lineRule="exact"/>
        <w:rPr>
          <w:rFonts w:ascii="Arial" w:cs="Arial" w:eastAsia="Arial" w:hAnsi="Arial"/>
          <w:sz w:val="17"/>
          <w:szCs w:val="17"/>
          <w:color w:val="auto"/>
        </w:rPr>
      </w:pPr>
    </w:p>
    <w:p>
      <w:pPr>
        <w:ind w:right="40" w:firstLine="987"/>
        <w:spacing w:after="0" w:line="263" w:lineRule="auto"/>
        <w:tabs>
          <w:tab w:leader="none" w:pos="12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490" w:right="459" w:bottom="1440" w:gutter="0" w:footer="0" w:header="0"/>
        </w:sectPr>
      </w:pPr>
    </w:p>
    <w:bookmarkStart w:id="84" w:name="page85"/>
    <w:bookmarkEnd w:id="8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184" w:lineRule="exact"/>
        <w:rPr>
          <w:sz w:val="20"/>
          <w:szCs w:val="20"/>
          <w:color w:val="auto"/>
        </w:rPr>
      </w:pPr>
    </w:p>
    <w:p>
      <w:pPr>
        <w:ind w:right="140" w:firstLine="987"/>
        <w:spacing w:after="0" w:line="259" w:lineRule="auto"/>
        <w:tabs>
          <w:tab w:leader="none" w:pos="122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After an amendment, supplement, waiver or other action under Section 8.01 or Section 8.02 becomes effective, it shall bind every Noteholder, unless it makes a change described in any of clauses (1) through (9) of Section 8.02(b). In that case the amendment, supplement, waiver or other action shall bind each Noteholder who has consented to it and every subsequent Noteholder or portion of a Note that evidences the same debt as the consenting Holder’s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Trustee To Sign Amendments, etc</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 11.04, that such amendment, supplement or waiver is authorized or permitted by this Indenture and is a legal, valid and binding obligation of the Issuer and the Guarantors, enforceable against the Issuer and the Guarantors in accordance with its terms (subject to customary exceptions).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490" w:right="459"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NINE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DISCHARGE OF INDENTURE;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Discharge of Indenture</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This Indenture will be discharged and will cease to be of further effect as to the Notes and the Note Guarantees, and the Trustee, at the expense of the Issuer, will execute proper instruments acknowledging satisfaction and discharge of this Indenture, the Notes and the Note Guarantees, when all amounts due to the Trustee shall have been paid and either:</w:t>
      </w:r>
    </w:p>
    <w:p>
      <w:pPr>
        <w:spacing w:after="0" w:line="76" w:lineRule="exact"/>
        <w:rPr>
          <w:sz w:val="20"/>
          <w:szCs w:val="20"/>
          <w:color w:val="auto"/>
        </w:rPr>
      </w:pPr>
    </w:p>
    <w:p>
      <w:pPr>
        <w:ind w:left="440" w:right="100" w:firstLine="419"/>
        <w:spacing w:after="0" w:line="277" w:lineRule="auto"/>
        <w:tabs>
          <w:tab w:leader="none" w:pos="1118"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Issuer delivers to the Trustee all outstanding Notes issued under this Indenture (other than Notes which have been replaced because of mutilation, loss, destruction or wrongful taking as provided in Section 2.08 hereof) for cancellation; or</w:t>
      </w:r>
    </w:p>
    <w:p>
      <w:pPr>
        <w:spacing w:after="0" w:line="62" w:lineRule="exact"/>
        <w:rPr>
          <w:rFonts w:ascii="Arial" w:cs="Arial" w:eastAsia="Arial" w:hAnsi="Arial"/>
          <w:sz w:val="18"/>
          <w:szCs w:val="18"/>
          <w:color w:val="auto"/>
        </w:rPr>
      </w:pPr>
    </w:p>
    <w:p>
      <w:pPr>
        <w:ind w:left="440" w:firstLine="419"/>
        <w:spacing w:after="0" w:line="283" w:lineRule="auto"/>
        <w:tabs>
          <w:tab w:leader="none" w:pos="1118" w:val="left"/>
        </w:tabs>
        <w:numPr>
          <w:ilvl w:val="1"/>
          <w:numId w:val="99"/>
        </w:numPr>
        <w:rPr>
          <w:rFonts w:ascii="Arial" w:cs="Arial" w:eastAsia="Arial" w:hAnsi="Arial"/>
          <w:sz w:val="16"/>
          <w:szCs w:val="16"/>
          <w:color w:val="auto"/>
        </w:rPr>
      </w:pPr>
      <w:r>
        <w:rPr>
          <w:rFonts w:ascii="Arial" w:cs="Arial" w:eastAsia="Arial" w:hAnsi="Arial"/>
          <w:sz w:val="16"/>
          <w:szCs w:val="16"/>
          <w:color w:val="auto"/>
        </w:rPr>
        <w:t>(a) all Notes outstanding under this Indenture (I) have become due and payable, whether at maturity or as a result of the sending of a notice of redemption,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Euro, EU Government Obligations or a combination thereof in such amounts as will be sufficient, in the opinion of a nationally recognized firm of independent public accountants, to pay the principal of, premium, if any, and interest on the Notes outstanding under this Indenture on the maturity date or on the applicable optional redemption date, as the case may be; (b) no Default or Event of Default shall have occurred and be continuing on the date of such deposit or shall occur as a result of such deposit and such deposit shall not result in a breach or violation of, or constitute a default under, any other instrument to which the Issuer or any Guarantor is a party or by which the Issuer or any Guarantor is bound;</w:t>
      </w:r>
    </w:p>
    <w:p>
      <w:pPr>
        <w:spacing w:after="0" w:line="5" w:lineRule="exact"/>
        <w:rPr>
          <w:rFonts w:ascii="Arial" w:cs="Arial" w:eastAsia="Arial" w:hAnsi="Arial"/>
          <w:sz w:val="16"/>
          <w:szCs w:val="16"/>
          <w:color w:val="auto"/>
        </w:rPr>
      </w:pPr>
    </w:p>
    <w:p>
      <w:pPr>
        <w:ind w:left="440" w:right="20" w:hanging="4"/>
        <w:spacing w:after="0" w:line="292" w:lineRule="auto"/>
        <w:tabs>
          <w:tab w:leader="none" w:pos="68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Issuer or any Guarantor has paid or caused to be paid all sums payable by the Issuer or any Guarantor under this Indenture; and (d) the Issuer has delivered (I) irrevocable instructions to the Trustee under this Indenture to apply the deposited money toward the payment of the Notes at maturity or the redemption date, as the case may be, and (II) an Officers’ Certificate and an Opinion of Counsel each stating that all conditions precedent herein provided for relating to the satisfaction and discharge of this Indenture have been complied with and that such satisfaction and discharge does not result in a default under any agreement or instrument then known to such counsel which binds or affects the Issuer.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acknowledge satisfaction and discharge of this Indenture on demand of and at the expense of the Issuer.</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20"/>
          </w:cols>
          <w:pgMar w:left="440" w:top="490" w:right="539" w:bottom="1440" w:gutter="0" w:footer="0" w:header="0"/>
        </w:sectPr>
      </w:pPr>
    </w:p>
    <w:bookmarkStart w:id="86" w:name="page87"/>
    <w:bookmarkEnd w:id="86"/>
    <w:p>
      <w:pPr>
        <w:ind w:right="3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the satisfaction and discharge of this Indenture, the obligations of the Issuer in Article Two and in Sections 4.01, 4.02, 7.07, 9.05 and 9.06 shall survive such satisfaction and discharge.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Legal Defeasance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The Issuer may, at its option and at any time, elect to have its obligations and the obligations of the Guarantors discharged with respect to the outstanding Notes on a date the conditions set forth in Section 9.04 are satisfied (hereinafter, “</w:t>
      </w:r>
      <w:r>
        <w:rPr>
          <w:rFonts w:ascii="Arial" w:cs="Arial" w:eastAsia="Arial" w:hAnsi="Arial"/>
          <w:sz w:val="16"/>
          <w:szCs w:val="16"/>
          <w:u w:val="single" w:color="auto"/>
          <w:color w:val="auto"/>
        </w:rPr>
        <w:t>Legal Defeasance</w:t>
      </w:r>
      <w:r>
        <w:rPr>
          <w:rFonts w:ascii="Arial" w:cs="Arial" w:eastAsia="Arial" w:hAnsi="Arial"/>
          <w:sz w:val="16"/>
          <w:szCs w:val="16"/>
          <w:color w:val="auto"/>
        </w:rPr>
        <w:t>”). For this purpose, such Legal Defeasance means that the Issuer will be deemed to have paid and discharged the entire indebtedness represented by the outstanding Notes and to have satisfied all their other obligations under such Notes and this Indenture insofar as such Notes are concerned (and the Trustee, at the expense of the Issuer, shall, subject to Section 9.06, execute instruments in form and substance reasonably satisfactory to the Trustee and the Issuer acknowledging the same), except for the following which shall survive until otherwise terminated or discharged hereunder: (1) the rights of Holders of outstanding Notes to receive solely from the trust funds described in Section 9.04 and as more fully set forth in Section 9.04, payments in respect of the principal of, premium, if any, and interest on such Notes when such payments are due, (2) the Issuer’s obligations with respect to such Notes under Article Two and Sections 4.02, 4.03 and 4.05, (3) the rights, powers, trusts, duties, and immunities of the Trustee hereunder (including claims of, or payments to, the Trustee under or pursuant to Section 7.07) and the Issuer’s obligations in connection therewith and (4) this Article Nine.</w:t>
      </w:r>
    </w:p>
    <w:p>
      <w:pPr>
        <w:spacing w:after="0" w:line="16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 provide the Trustee with written notice of its desire to terminate such Note Guarantee prior to the delivery of the Opinions of Counsel referred to in Section 9.04.</w:t>
      </w:r>
    </w:p>
    <w:p>
      <w:pPr>
        <w:spacing w:after="0" w:line="171"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The Issuer may, at its option and at any time, elect to have their obligations and the obligations of the Guarantors under Sections 4.08, 4.11, 4.15, 4.16 and 4.17 (except for obligations mandated by the TIA) and clause (3) of Section 5.01(a) released with respect to the outstanding Notes on a date the conditions set forth in Section 9.04 are satisfied (hereinaf -</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490" w:right="459" w:bottom="1440" w:gutter="0" w:footer="0" w:header="0"/>
        </w:sectPr>
      </w:pPr>
    </w:p>
    <w:bookmarkStart w:id="87" w:name="page88"/>
    <w:bookmarkEnd w:id="87"/>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ter, “</w:t>
      </w:r>
      <w:r>
        <w:rPr>
          <w:rFonts w:ascii="Arial" w:cs="Arial" w:eastAsia="Arial" w:hAnsi="Arial"/>
          <w:sz w:val="18"/>
          <w:szCs w:val="18"/>
          <w:u w:val="single" w:color="auto"/>
          <w:color w:val="auto"/>
        </w:rPr>
        <w:t>Covenant Defeasance</w:t>
      </w:r>
      <w:r>
        <w:rPr>
          <w:rFonts w:ascii="Arial" w:cs="Arial" w:eastAsia="Arial" w:hAnsi="Arial"/>
          <w:sz w:val="18"/>
          <w:szCs w:val="18"/>
          <w:color w:val="auto"/>
        </w:rPr>
        <w:t>”).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and (6) shall not constitute Events of Default.</w:t>
      </w:r>
    </w:p>
    <w:p>
      <w:pPr>
        <w:spacing w:after="0" w:line="19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Notwithstanding any discharge or release of any obligations under this Indenture pursuant to Section 9.02 or this Section 9.03, the Issuer’s obligations in Article Two and Sections 7.07, 9.05, 9.06, 9.07 and 9.08 shall survive until such time as the Notes have been paid in full. Thereafter, the Issuer’s obligations in Sections 7.07, 9.05, 9.07 and 9.08 shall survive.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shall be the conditions to application of Section 9.02 or Section 9.03 to the outstanding Notes:</w:t>
      </w:r>
    </w:p>
    <w:p>
      <w:pPr>
        <w:spacing w:after="0" w:line="117" w:lineRule="exact"/>
        <w:rPr>
          <w:sz w:val="20"/>
          <w:szCs w:val="20"/>
          <w:color w:val="auto"/>
        </w:rPr>
      </w:pPr>
    </w:p>
    <w:p>
      <w:pPr>
        <w:ind w:left="440" w:right="20" w:firstLine="419"/>
        <w:spacing w:after="0" w:line="255" w:lineRule="auto"/>
        <w:tabs>
          <w:tab w:leader="none" w:pos="111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in trust, for the benefit of the Holders of the Notes issued under this Indenture, cash in Euros, EU Government Obligations or a combination thereof in such amounts as will be sufficient, in the opinion of a nationally recognized firm of independent public accountants (such opinion shall be addressed and delivered to the Trustee, and upon which the Trustee shall have no liability in relying), to pay the principal, premium, if any, and interest on the Notes outstanding under this Indenture on the stated maturity date or on the applicable optional redemption date, as the case may be, and the Issuer must specify whether such Notes are being defeased to maturity or to a particular redemption date;</w:t>
      </w:r>
    </w:p>
    <w:p>
      <w:pPr>
        <w:spacing w:after="0" w:line="84" w:lineRule="exact"/>
        <w:rPr>
          <w:rFonts w:ascii="Arial" w:cs="Arial" w:eastAsia="Arial" w:hAnsi="Arial"/>
          <w:sz w:val="18"/>
          <w:szCs w:val="18"/>
          <w:color w:val="auto"/>
        </w:rPr>
      </w:pPr>
    </w:p>
    <w:p>
      <w:pPr>
        <w:ind w:left="440" w:firstLine="419"/>
        <w:spacing w:after="0" w:line="254" w:lineRule="auto"/>
        <w:tabs>
          <w:tab w:leader="none" w:pos="111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(upon which the Trustee shall have no liability in relying) confirming that (a) the Issuer has received from, or there has been published by, the Internal Revenue Service a ruling or (b) since the date of this Indenture, there has been a change in the applicable U.S. federal income tax law, in either case to the effect that, and based thereon such Opinion of Counsel shall confirm that, the beneficial owners of the Notes outstanding under this Indenture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490" w:right="499" w:bottom="1440" w:gutter="0" w:footer="0" w:header="0"/>
        </w:sectPr>
      </w:pPr>
    </w:p>
    <w:bookmarkStart w:id="88" w:name="page89"/>
    <w:bookmarkEnd w:id="88"/>
    <w:p>
      <w:pPr>
        <w:ind w:right="160" w:firstLine="419"/>
        <w:spacing w:after="0" w:line="257" w:lineRule="auto"/>
        <w:tabs>
          <w:tab w:leader="none" w:pos="6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case of Covenant Defeasance, the Issuer shall have delivered to the Trustee an Opinion of Counsel in the United States (upon which the Trustee shall have no liability in relying) confirming that the beneficial owners of the Notes outstanding under this Indenture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9" w:lineRule="exact"/>
        <w:rPr>
          <w:rFonts w:ascii="Arial" w:cs="Arial" w:eastAsia="Arial" w:hAnsi="Arial"/>
          <w:sz w:val="18"/>
          <w:szCs w:val="18"/>
          <w:color w:val="auto"/>
        </w:rPr>
      </w:pPr>
    </w:p>
    <w:p>
      <w:pPr>
        <w:ind w:firstLine="419"/>
        <w:spacing w:after="0" w:line="263" w:lineRule="auto"/>
        <w:tabs>
          <w:tab w:leader="none" w:pos="6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75" w:lineRule="exact"/>
        <w:rPr>
          <w:rFonts w:ascii="Arial" w:cs="Arial" w:eastAsia="Arial" w:hAnsi="Arial"/>
          <w:sz w:val="18"/>
          <w:szCs w:val="18"/>
          <w:color w:val="auto"/>
        </w:rPr>
      </w:pPr>
    </w:p>
    <w:p>
      <w:pPr>
        <w:ind w:right="340" w:firstLine="419"/>
        <w:spacing w:after="0" w:line="263" w:lineRule="auto"/>
        <w:tabs>
          <w:tab w:leader="none" w:pos="6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Parent or any of its Subsidiaries is a party or by which Parent or any of its Subsidiaries is bound;</w:t>
      </w:r>
    </w:p>
    <w:p>
      <w:pPr>
        <w:spacing w:after="0" w:line="75" w:lineRule="exact"/>
        <w:rPr>
          <w:rFonts w:ascii="Arial" w:cs="Arial" w:eastAsia="Arial" w:hAnsi="Arial"/>
          <w:sz w:val="18"/>
          <w:szCs w:val="18"/>
          <w:color w:val="auto"/>
        </w:rPr>
      </w:pPr>
    </w:p>
    <w:p>
      <w:pPr>
        <w:ind w:right="80" w:firstLine="419"/>
        <w:spacing w:after="0" w:line="259" w:lineRule="auto"/>
        <w:tabs>
          <w:tab w:leader="none" w:pos="6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applicable Bankruptcy Law;</w:t>
      </w:r>
    </w:p>
    <w:p>
      <w:pPr>
        <w:spacing w:after="0" w:line="78" w:lineRule="exact"/>
        <w:rPr>
          <w:rFonts w:ascii="Arial" w:cs="Arial" w:eastAsia="Arial" w:hAnsi="Arial"/>
          <w:sz w:val="18"/>
          <w:szCs w:val="18"/>
          <w:color w:val="auto"/>
        </w:rPr>
      </w:pPr>
    </w:p>
    <w:p>
      <w:pPr>
        <w:jc w:val="both"/>
        <w:ind w:right="160" w:firstLine="419"/>
        <w:spacing w:after="0" w:line="286" w:lineRule="auto"/>
        <w:tabs>
          <w:tab w:leader="none" w:pos="67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(upon which the Trustee shall have no liability in relying) stating that the deposit was not made by the Issuer with the intent of preferring the Holders of Notes issued under this Indenture over the other creditors of the Issuer with the intent of defeating, hindering, delaying or defrauding creditors of the Issuer or others; and</w:t>
      </w:r>
    </w:p>
    <w:p>
      <w:pPr>
        <w:spacing w:after="0" w:line="57" w:lineRule="exact"/>
        <w:rPr>
          <w:rFonts w:ascii="Arial" w:cs="Arial" w:eastAsia="Arial" w:hAnsi="Arial"/>
          <w:sz w:val="17"/>
          <w:szCs w:val="17"/>
          <w:color w:val="auto"/>
        </w:rPr>
      </w:pPr>
    </w:p>
    <w:p>
      <w:pPr>
        <w:ind w:right="80" w:firstLine="419"/>
        <w:spacing w:after="0" w:line="263" w:lineRule="auto"/>
        <w:tabs>
          <w:tab w:leader="none" w:pos="6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480"/>
          </w:cols>
          <w:pgMar w:left="880" w:top="490" w:right="5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9.05. </w:t>
      </w:r>
      <w:r>
        <w:rPr>
          <w:rFonts w:ascii="Arial" w:cs="Arial" w:eastAsia="Arial" w:hAnsi="Arial"/>
          <w:sz w:val="18"/>
          <w:szCs w:val="18"/>
          <w:u w:val="single" w:color="auto"/>
          <w:color w:val="auto"/>
        </w:rPr>
        <w:t>Deposited Money and EU Government Obligations To Be Held in Trust.</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All money and EU Government Obligations (including the proceeds thereof) deposited with the Trustee pursuant to Sections 9.01 and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pacing w:after="0" w:line="157"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The Issuer and the Guarantors shall (on a joint and several basis) pay and indemnify the Trustee against any tax, fee or other charge imposed on or assessed against the EU Government Obligations deposited pursuant to Sections 9.01 and 9.04 or the principal, premium, if any, and interest received in respect thereof other than any such tax, fee or other charge which by law is for the account of the Holders of the outstanding Notes.</w:t>
      </w:r>
    </w:p>
    <w:p>
      <w:pPr>
        <w:spacing w:after="0" w:line="149" w:lineRule="exact"/>
        <w:rPr>
          <w:sz w:val="20"/>
          <w:szCs w:val="20"/>
          <w:color w:val="auto"/>
        </w:rPr>
      </w:pPr>
    </w:p>
    <w:p>
      <w:pPr>
        <w:ind w:right="260" w:firstLine="991"/>
        <w:spacing w:after="0" w:line="301" w:lineRule="auto"/>
        <w:rPr>
          <w:sz w:val="20"/>
          <w:szCs w:val="20"/>
          <w:color w:val="auto"/>
        </w:rPr>
      </w:pPr>
      <w:r>
        <w:rPr>
          <w:rFonts w:ascii="Arial" w:cs="Arial" w:eastAsia="Arial" w:hAnsi="Arial"/>
          <w:sz w:val="16"/>
          <w:szCs w:val="16"/>
          <w:color w:val="auto"/>
        </w:rPr>
        <w:t>Anything in this Article Nine to the contrary notwithstanding, the Trustee shall deliver or pay to the Issuer from time to time upon a request of the Issuer any money or EU Government Obligations held by it as provided in Sections 9.01 and 9.04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Legal Defeasance or Covenant Defeasance.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If the Trustee or any Paying Agent is unable to apply any money or EU Government Obligations in accordance with Section 9.01, 9.02 or 9.03 by reason of any legal proceeding or by reason of any order or judgment of any court or governmental authority enjoining, restraining or otherwise prohibiting such application, the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EU Government Obligations in accordance with Section 9.01, 9.02 or 9.03;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EU Government Obligations held by the Trustee or any Paying Agent.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490" w:right="47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9.07. </w:t>
      </w:r>
      <w:r>
        <w:rPr>
          <w:rFonts w:ascii="Arial" w:cs="Arial" w:eastAsia="Arial" w:hAnsi="Arial"/>
          <w:sz w:val="18"/>
          <w:szCs w:val="18"/>
          <w:u w:val="single" w:color="auto"/>
          <w:color w:val="auto"/>
        </w:rPr>
        <w:t>Moneys Held by Paying Agent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In connection with the satisfaction and discharge of this Indenture, all moneys and EU Government Obligations then held by any Paying Agent under the provisions of this Indenture shall, upon written demand of the Issuer, be paid or delivered to the Trustee, or if sufficient moneys and EU Government Obligations have been deposited pursuant to Section 9.04, to the Issuer upon a request of the Issuer (or, if such moneys and EU Government Obligations had been deposited by the Guarantors, to such Guarantors), and thereupon such Paying Agent shall be released from all further liability with respect to such moneys.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Moneys Held by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Any moneys and EU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EU Government Obligations are then held by the Issuer or the Guarantors in trust, such moneys and EU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EU Government Obligations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 Section 2.06, or cause to be published once a week for two successive weeks, in one newspaper published in the English language, customarily published each Business Day and of general circulation in The City of New York, the State of New York, and in one newspaper published in the English language, customarily published each Business Day and of general circulation in London, England, a notice that such moneys and EU Government Obligations remains unclaimed and that, after a date specified therein, which shall not be less than 30 days from the date of such mailing or publication, any unclaimed balance of such moneys and EU Government Obligations then remaining will be repaid or returned to the Issuer. After payment or return to the Issuer or the Guarantors or the release of any moneys and EU Government Obligations held in trust by the Issuer or any Guarantors, as the case may be, Holders entitled thereto must look only to the Issuer and the Guarantors for payment as general creditors unless applicable abandoned property law designates another Person.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490" w:right="479" w:bottom="1440" w:gutter="0" w:footer="0" w:header="0"/>
        </w:sectPr>
      </w:pPr>
    </w:p>
    <w:bookmarkStart w:id="91" w:name="page92"/>
    <w:bookmarkEnd w:id="91"/>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TEN</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GUARANTEE OF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The Guarantors, by execution of this Indenture, jointly and severally, guarantee to each Holder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w:t>
      </w:r>
    </w:p>
    <w:p>
      <w:pPr>
        <w:spacing w:after="0" w:line="182"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w:t>
      </w:r>
    </w:p>
    <w:p>
      <w:pPr>
        <w:spacing w:after="0" w:line="4" w:lineRule="exact"/>
        <w:rPr>
          <w:sz w:val="20"/>
          <w:szCs w:val="20"/>
          <w:color w:val="auto"/>
        </w:rPr>
      </w:pPr>
    </w:p>
    <w:p>
      <w:pPr>
        <w:ind w:left="4" w:right="40" w:hanging="4"/>
        <w:spacing w:after="0" w:line="260" w:lineRule="auto"/>
        <w:tabs>
          <w:tab w:leader="none" w:pos="26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any declaration of acceleration of such obligations as provided in Article Six, such obligations (whether or not due and payable) shall forthwith become due and payable by each Guarantor for the purpose of this Guarantee.</w:t>
      </w:r>
    </w:p>
    <w:p>
      <w:pPr>
        <w:spacing w:after="0" w:line="185"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The Guarantors shall have the right to seek contribution from any non-paying Guarantor so long as the exercise of such right does not impair the rights of any Holder under the Note Guarantees.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4"/>
          </w:cols>
          <w:pgMar w:left="436" w:top="490" w:right="49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10.02. </w:t>
      </w:r>
      <w:r>
        <w:rPr>
          <w:rFonts w:ascii="Arial" w:cs="Arial" w:eastAsia="Arial" w:hAnsi="Arial"/>
          <w:sz w:val="18"/>
          <w:szCs w:val="18"/>
          <w:u w:val="single" w:color="auto"/>
          <w:color w:val="auto"/>
        </w:rPr>
        <w:t>Execution and Delivery of Note Guarantee</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 xml:space="preserve">To further evidence the Note Guarantee set forth in Section 10.01, each Guarantor hereby agrees that a notation of such Note Guarantee, substantially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shall be endorsed on each Note authenticated and delivered by the Trustee and such Note Guarantee shall be executed by either manual, facsimile, .pdf attachment or other electronically transmitted signature of an Officer of each Guarantor. The validity and enforceability of any Note Guarantee shall not be affected by the fact that it is not affixed to any particular Note.</w:t>
      </w:r>
    </w:p>
    <w:p>
      <w:pPr>
        <w:spacing w:after="0" w:line="15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Each of the Guarantors hereby agrees that its Note Guarantee set forth in Section 10.01 shall be in full force and effect notwithstanding any failure to endorse on each Note a notation of such Note Guarantee.</w:t>
      </w:r>
    </w:p>
    <w:p>
      <w:pPr>
        <w:spacing w:after="0" w:line="17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an Officer of a Guarantor whose signature is on this Indenture or a Note Guarantee no longer holds that office at the time the Trustee authenticates the Note on which such Note Guarantee is endorsed or at any time thereafter, such Guarantor’s Guarantee of such Note shall be valid nevertheless.</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any Note Guarantee set forth in this Indenture on behalf of the Guarantor.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Release of Guarantors</w:t>
      </w:r>
      <w:r>
        <w:rPr>
          <w:rFonts w:ascii="Arial" w:cs="Arial" w:eastAsia="Arial" w:hAnsi="Arial"/>
          <w:sz w:val="18"/>
          <w:szCs w:val="18"/>
          <w:color w:val="auto"/>
        </w:rPr>
        <w:t>.</w:t>
      </w:r>
    </w:p>
    <w:p>
      <w:pPr>
        <w:spacing w:after="0" w:line="225" w:lineRule="exact"/>
        <w:rPr>
          <w:sz w:val="20"/>
          <w:szCs w:val="20"/>
          <w:color w:val="auto"/>
        </w:rPr>
      </w:pPr>
    </w:p>
    <w:p>
      <w:pPr>
        <w:ind w:left="1220" w:hanging="233"/>
        <w:spacing w:after="0"/>
        <w:tabs>
          <w:tab w:leader="none" w:pos="12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Note Guarantee of a Guarantor (other than Parent) will be unconditionally released and discharged upon any of the following:</w:t>
      </w:r>
    </w:p>
    <w:p>
      <w:pPr>
        <w:spacing w:after="0" w:line="140" w:lineRule="exact"/>
        <w:rPr>
          <w:rFonts w:ascii="Arial" w:cs="Arial" w:eastAsia="Arial" w:hAnsi="Arial"/>
          <w:sz w:val="16"/>
          <w:szCs w:val="16"/>
          <w:color w:val="auto"/>
        </w:rPr>
      </w:pPr>
    </w:p>
    <w:p>
      <w:pPr>
        <w:ind w:left="440" w:right="320" w:firstLine="419"/>
        <w:spacing w:after="0" w:line="342" w:lineRule="auto"/>
        <w:tabs>
          <w:tab w:leader="none" w:pos="111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15" w:lineRule="exact"/>
        <w:rPr>
          <w:rFonts w:ascii="Arial" w:cs="Arial" w:eastAsia="Arial" w:hAnsi="Arial"/>
          <w:sz w:val="16"/>
          <w:szCs w:val="16"/>
          <w:color w:val="auto"/>
        </w:rPr>
      </w:pPr>
    </w:p>
    <w:p>
      <w:pPr>
        <w:jc w:val="both"/>
        <w:ind w:left="440" w:right="60" w:firstLine="419"/>
        <w:spacing w:after="0" w:line="259" w:lineRule="auto"/>
        <w:tabs>
          <w:tab w:leader="none" w:pos="11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Guarantor is also released from all of its obligations in respect of Indebtedness under each Credit Facility;</w:t>
      </w:r>
    </w:p>
    <w:p>
      <w:pPr>
        <w:spacing w:after="0" w:line="78"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each Credit Facility, except to the extent such Guarantor is otherwise required to provide a Guarantee pursuant to Section 4.17;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440" w:top="490" w:right="499" w:bottom="1440" w:gutter="0" w:footer="0" w:header="0"/>
        </w:sectPr>
      </w:pPr>
    </w:p>
    <w:bookmarkStart w:id="93" w:name="page94"/>
    <w:bookmarkEnd w:id="93"/>
    <w:p>
      <w:pPr>
        <w:ind w:left="440" w:right="440" w:firstLine="419"/>
        <w:spacing w:after="0" w:line="277" w:lineRule="auto"/>
        <w:tabs>
          <w:tab w:leader="none" w:pos="11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upon the contemporaneous release or discharge of all Guarantees by such Guarantor which would have required such Guarantor to guarantee the Notes pursuant to Section 4.17.</w:t>
      </w:r>
    </w:p>
    <w:p>
      <w:pPr>
        <w:spacing w:after="0" w:line="170" w:lineRule="exact"/>
        <w:rPr>
          <w:rFonts w:ascii="Arial" w:cs="Arial" w:eastAsia="Arial" w:hAnsi="Arial"/>
          <w:sz w:val="18"/>
          <w:szCs w:val="18"/>
          <w:color w:val="auto"/>
        </w:rPr>
      </w:pPr>
    </w:p>
    <w:p>
      <w:pPr>
        <w:ind w:right="440" w:firstLine="987"/>
        <w:spacing w:after="0" w:line="277" w:lineRule="auto"/>
        <w:tabs>
          <w:tab w:leader="none" w:pos="124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Except as provided under Article Five, a Note Guarantee of Parent may be released and discharged only with the consent of each Holder of Notes to which such Note Guarantee relates.</w:t>
      </w:r>
    </w:p>
    <w:p>
      <w:pPr>
        <w:spacing w:after="0" w:line="170" w:lineRule="exact"/>
        <w:rPr>
          <w:rFonts w:ascii="Arial" w:cs="Arial" w:eastAsia="Arial" w:hAnsi="Arial"/>
          <w:sz w:val="18"/>
          <w:szCs w:val="18"/>
          <w:color w:val="auto"/>
        </w:rPr>
      </w:pPr>
    </w:p>
    <w:p>
      <w:pPr>
        <w:ind w:firstLine="987"/>
        <w:spacing w:after="0" w:line="290" w:lineRule="auto"/>
        <w:tabs>
          <w:tab w:leader="none" w:pos="123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No such release or discharge of a Note Guarantee of a Guarantor shall be effective against the Trustee or the Holders of Notes to which such Note Guarantee relates (i) if a Default or Event of Default shall have occurred and be continuing under this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this Indenture relating to such transactions have been complied with and that such release and discharge is authorized and permitted under this Indenture.</w:t>
      </w:r>
    </w:p>
    <w:p>
      <w:pPr>
        <w:spacing w:after="0" w:line="165" w:lineRule="exact"/>
        <w:rPr>
          <w:rFonts w:ascii="Arial" w:cs="Arial" w:eastAsia="Arial" w:hAnsi="Arial"/>
          <w:sz w:val="16"/>
          <w:szCs w:val="16"/>
          <w:color w:val="auto"/>
        </w:rPr>
      </w:pPr>
    </w:p>
    <w:p>
      <w:pPr>
        <w:ind w:right="200" w:firstLine="987"/>
        <w:spacing w:after="0" w:line="277" w:lineRule="auto"/>
        <w:tabs>
          <w:tab w:leader="none" w:pos="124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Trustee shall execute any documents reasonably requested by either the Issuer or a Guarantor in order to evidence the release of such Guarantor from its obligations under its Guarantee endorsed on the Notes and under this Article 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9" w:lineRule="auto"/>
        <w:rPr>
          <w:sz w:val="20"/>
          <w:szCs w:val="20"/>
          <w:color w:val="auto"/>
        </w:rPr>
      </w:pPr>
      <w:r>
        <w:rPr>
          <w:rFonts w:ascii="Arial" w:cs="Arial" w:eastAsia="Arial" w:hAnsi="Arial"/>
          <w:sz w:val="17"/>
          <w:szCs w:val="17"/>
          <w:color w:val="auto"/>
        </w:rPr>
        <w:t>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10.04 is knowingly made in contemplation of such benefits.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40" w:top="490" w:right="49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10.05.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The Issuer or any Guarantor shall give prompt written notice to the Trustee of any fact known to the Issuer or any such Guarantor which would prohibit the making of any payment to or by the Trustee at its Corporate Trust Office in respect of the Note Guarantees. Notwithstanding the provisions of this Article Ten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one Business Day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Trustee shall not have received the notice referred to in this Section 10.05 at least one Business Day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one Business Day prior to such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Limitation on Guarantor’s Liability</w:t>
      </w:r>
      <w:r>
        <w:rPr>
          <w:rFonts w:ascii="Arial" w:cs="Arial" w:eastAsia="Arial" w:hAnsi="Arial"/>
          <w:sz w:val="18"/>
          <w:szCs w:val="18"/>
          <w:color w:val="auto"/>
        </w:rPr>
        <w:t>.</w:t>
      </w:r>
    </w:p>
    <w:p>
      <w:pPr>
        <w:spacing w:after="0" w:line="225" w:lineRule="exact"/>
        <w:rPr>
          <w:sz w:val="20"/>
          <w:szCs w:val="20"/>
          <w:color w:val="auto"/>
        </w:rPr>
      </w:pPr>
    </w:p>
    <w:p>
      <w:pPr>
        <w:ind w:left="1220" w:hanging="233"/>
        <w:spacing w:after="0"/>
        <w:tabs>
          <w:tab w:leader="none" w:pos="122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To the extent applicable, a Guarantor’s liability in respect of its Note Guarantee shall be limited to the extent set forth below:</w:t>
      </w:r>
    </w:p>
    <w:p>
      <w:pPr>
        <w:spacing w:after="0" w:line="128" w:lineRule="exact"/>
        <w:rPr>
          <w:rFonts w:ascii="Arial" w:cs="Arial" w:eastAsia="Arial" w:hAnsi="Arial"/>
          <w:sz w:val="17"/>
          <w:szCs w:val="17"/>
          <w:color w:val="auto"/>
        </w:rPr>
      </w:pPr>
    </w:p>
    <w:p>
      <w:pPr>
        <w:ind w:left="440" w:firstLine="419"/>
        <w:spacing w:after="0" w:line="254" w:lineRule="auto"/>
        <w:tabs>
          <w:tab w:leader="none" w:pos="111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Limitations Applicable to U.S. Guarantors</w:t>
      </w:r>
      <w:r>
        <w:rPr>
          <w:rFonts w:ascii="Arial" w:cs="Arial" w:eastAsia="Arial" w:hAnsi="Arial"/>
          <w:sz w:val="18"/>
          <w:szCs w:val="18"/>
          <w:color w:val="auto"/>
        </w:rPr>
        <w:t>. Each Guarantor that is incorporated, organized or formed, as the case may be, under the laws of the United States, any State thereof or the District of Columbia (a “</w:t>
      </w:r>
      <w:r>
        <w:rPr>
          <w:rFonts w:ascii="Arial" w:cs="Arial" w:eastAsia="Arial" w:hAnsi="Arial"/>
          <w:sz w:val="18"/>
          <w:szCs w:val="18"/>
          <w:u w:val="single" w:color="auto"/>
          <w:color w:val="auto"/>
        </w:rPr>
        <w:t>U.S. Guarantor</w:t>
      </w:r>
      <w:r>
        <w:rPr>
          <w:rFonts w:ascii="Arial" w:cs="Arial" w:eastAsia="Arial" w:hAnsi="Arial"/>
          <w:sz w:val="18"/>
          <w:szCs w:val="18"/>
          <w:color w:val="auto"/>
        </w:rPr>
        <w:t>”), and by its acceptance hereof, each Holder, hereby confirm that it is the intention of all such parties that the Guarantee of a U.S.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U.S. Guarantor hereby irrevocably agree that the obligations of a U.S. Guarantor under its Note Guarantee shall be limited to the maximum amount as will, after giving effect to all other contingent and fixed liabilities of such U.S. Guarantor result in the obligations of such U.S. Guarantor not constituting such a fraudulent transfer or conveyance.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490" w:right="479" w:bottom="1440" w:gutter="0" w:footer="0" w:header="0"/>
        </w:sectPr>
      </w:pPr>
    </w:p>
    <w:bookmarkStart w:id="95" w:name="page96"/>
    <w:bookmarkEnd w:id="95"/>
    <w:p>
      <w:pPr>
        <w:ind w:left="680" w:hanging="261"/>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19"/>
        <w:spacing w:after="0" w:line="269" w:lineRule="auto"/>
        <w:tabs>
          <w:tab w:leader="none" w:pos="678"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Limitations Applicable to German Guarantors</w:t>
      </w:r>
      <w:r>
        <w:rPr>
          <w:rFonts w:ascii="Arial" w:cs="Arial" w:eastAsia="Arial" w:hAnsi="Arial"/>
          <w:sz w:val="17"/>
          <w:szCs w:val="17"/>
          <w:color w:val="auto"/>
        </w:rPr>
        <w:t>. Each Guarantor incorporated, organized or formed, as the case may be, in Germany (a “</w:t>
      </w:r>
      <w:r>
        <w:rPr>
          <w:rFonts w:ascii="Arial" w:cs="Arial" w:eastAsia="Arial" w:hAnsi="Arial"/>
          <w:sz w:val="17"/>
          <w:szCs w:val="17"/>
          <w:u w:val="single" w:color="auto"/>
          <w:color w:val="auto"/>
        </w:rPr>
        <w:t>German Guarantor</w:t>
      </w:r>
      <w:r>
        <w:rPr>
          <w:rFonts w:ascii="Arial" w:cs="Arial" w:eastAsia="Arial" w:hAnsi="Arial"/>
          <w:sz w:val="17"/>
          <w:szCs w:val="17"/>
          <w:color w:val="auto"/>
        </w:rPr>
        <w:t xml:space="preserve">”), and by its acceptance hereof, each Holder, hereby confirm that the liability of such German Guarantor shall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its Note Guarantee not constituting a fraudulent conveyance or fraudulent transfer under applicable law. Each German Guarantor that makes a payment or distribution under its Note Guarantee shall be entitled to a contribution from each other Guarantor in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based on the Adjusted Net Assets of each Guarantor. The obligation of any German Guarantor under this Article Ten will be binding only to the extent that it would not result in a prohibited repayment to such Guarantor’s shareholders of assets necessary to maintain the nominal registered capital of such German Guarantor (Section 30 et seq. GmbH Act).</w:t>
      </w:r>
    </w:p>
    <w:p>
      <w:pPr>
        <w:spacing w:after="0" w:line="77" w:lineRule="exact"/>
        <w:rPr>
          <w:rFonts w:ascii="Arial" w:cs="Arial" w:eastAsia="Arial" w:hAnsi="Arial"/>
          <w:sz w:val="17"/>
          <w:szCs w:val="17"/>
          <w:color w:val="auto"/>
        </w:rPr>
      </w:pPr>
    </w:p>
    <w:p>
      <w:pPr>
        <w:ind w:left="680" w:hanging="261"/>
        <w:spacing w:after="0"/>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Limitations Applicable to Swiss Guarantors</w:t>
      </w:r>
      <w:r>
        <w:rPr>
          <w:rFonts w:ascii="Arial" w:cs="Arial" w:eastAsia="Arial" w:hAnsi="Arial"/>
          <w:sz w:val="16"/>
          <w:szCs w:val="16"/>
          <w:color w:val="auto"/>
        </w:rPr>
        <w:t>. Each Guarantor incorporated, organized or formed, as the case may be, in Switzerland (a</w:t>
      </w:r>
    </w:p>
    <w:p>
      <w:pPr>
        <w:spacing w:after="0" w:line="4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Guarantor</w:t>
      </w:r>
      <w:r>
        <w:rPr>
          <w:rFonts w:ascii="Arial" w:cs="Arial" w:eastAsia="Arial" w:hAnsi="Arial"/>
          <w:sz w:val="16"/>
          <w:szCs w:val="16"/>
          <w:color w:val="auto"/>
        </w:rPr>
        <w:t>”) and by its acceptance hereof, each Holder, hereby confirm that the liability of such Swiss Guarantor shall be limited to the maximum amount as will, after giving effect to all other contingent and fixed liabilities of such Swiss Guarantor and after giving effect to any collections from or payments made by or on behalf of any other Guarantor, result in the obligations of such Swiss Guarantor under its Note Guarantee not constituting a fraudulent conveyance or fraudulent transfer under applicable law. The obligations of any Swiss Guarantor under its Note Guarantee shall be limited so that they do not result in a prohibited repayment of the share capital of such Swiss Guarantor (Section 680 of the Swiss Code of Obligations), and infringe the mandatory provisions on reserves (Sections 671 to 674 of the Swiss Code of Obligations).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Limitations Applicable to French Guarantors</w:t>
      </w:r>
      <w:r>
        <w:rPr>
          <w:rFonts w:ascii="Arial" w:cs="Arial" w:eastAsia="Arial" w:hAnsi="Arial"/>
          <w:sz w:val="17"/>
          <w:szCs w:val="17"/>
          <w:color w:val="auto"/>
        </w:rPr>
        <w:t>. Each Guarantor incorporated, organized or formed, as the case may be, in France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French Guarantor</w:t>
      </w:r>
      <w:r>
        <w:rPr>
          <w:rFonts w:ascii="Arial" w:cs="Arial" w:eastAsia="Arial" w:hAnsi="Arial"/>
          <w:sz w:val="16"/>
          <w:szCs w:val="16"/>
          <w:color w:val="auto"/>
        </w:rPr>
        <w:t>”), and by its acceptance hereof, each Holder, hereby confirm that the obligation and liability of such French Guarantor or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(a) will not include any obligation or liability which if incurred would constitute prohibited financial assistance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Article L. 225-216 of the French Commercial Code and/or would constitute a “misuse of corporate assets or powers”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Articles L. 241-3 or L. 242-6 of the French Commercial Code (such articles are applicable to </w:t>
      </w:r>
      <w:r>
        <w:rPr>
          <w:rFonts w:ascii="Arial" w:cs="Arial" w:eastAsia="Arial" w:hAnsi="Arial"/>
          <w:sz w:val="16"/>
          <w:szCs w:val="16"/>
          <w:i w:val="1"/>
          <w:iCs w:val="1"/>
          <w:color w:val="auto"/>
        </w:rPr>
        <w:t>sociétés en commandite par actions</w:t>
      </w:r>
      <w:r>
        <w:rPr>
          <w:rFonts w:ascii="Arial" w:cs="Arial" w:eastAsia="Arial" w:hAnsi="Arial"/>
          <w:sz w:val="16"/>
          <w:szCs w:val="16"/>
          <w:color w:val="auto"/>
        </w:rPr>
        <w:t xml:space="preserve"> and to </w:t>
      </w:r>
      <w:r>
        <w:rPr>
          <w:rFonts w:ascii="Arial" w:cs="Arial" w:eastAsia="Arial" w:hAnsi="Arial"/>
          <w:sz w:val="16"/>
          <w:szCs w:val="16"/>
          <w:i w:val="1"/>
          <w:iCs w:val="1"/>
          <w:color w:val="auto"/>
        </w:rPr>
        <w:t>societés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par actions simplifiées </w:t>
      </w:r>
      <w:r>
        <w:rPr>
          <w:rFonts w:ascii="Arial" w:cs="Arial" w:eastAsia="Arial" w:hAnsi="Arial"/>
          <w:sz w:val="18"/>
          <w:szCs w:val="18"/>
          <w:color w:val="auto"/>
        </w:rPr>
        <w:t>pursuant to Articles L. 243-1 and L. 244-1 of the French Commercial Code); and (b) shall be limited to the</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520"/>
          </w:cols>
          <w:pgMar w:left="880" w:top="490" w:right="499" w:bottom="1440" w:gutter="0" w:footer="0" w:header="0"/>
        </w:sectPr>
      </w:pPr>
    </w:p>
    <w:bookmarkStart w:id="96" w:name="page97"/>
    <w:bookmarkEnd w:id="96"/>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extent required by applicable law to the maximum amount any such French Guarantor can pay without exceeding its financial capacity or otherwise resulting in insolvency of such French Guarantor, as of the date the Note Guarantee is subscribed or, if later further amended, restated or reaffirmed, as of such later date, and the Note Guarantee given by any of Société de Participations Carnaudmetalbox SAS, Crown Bevcan France SAS, Crown Emballage France SAS, Crown Développement SAS, Crown Europe SAS, Gunther SAS, Litec France SAS, Mima Packaging Systems SAS, Nordic SAS, Société Civile Immobilière des Baquets, Société Civile Immobilière Rousseau-Ivry, Scybele SAS, SPG France Holdings SAS and Strapex SAS and each other Subsidiary Guarantor incorporated, organized or formed, as the case may be, in France (each, a “</w:t>
      </w:r>
      <w:r>
        <w:rPr>
          <w:rFonts w:ascii="Arial" w:cs="Arial" w:eastAsia="Arial" w:hAnsi="Arial"/>
          <w:sz w:val="16"/>
          <w:szCs w:val="16"/>
          <w:u w:val="single" w:color="auto"/>
          <w:color w:val="auto"/>
        </w:rPr>
        <w:t>French Subsidiary Guarantor</w:t>
      </w:r>
      <w:r>
        <w:rPr>
          <w:rFonts w:ascii="Arial" w:cs="Arial" w:eastAsia="Arial" w:hAnsi="Arial"/>
          <w:sz w:val="16"/>
          <w:szCs w:val="16"/>
          <w:color w:val="auto"/>
        </w:rPr>
        <w:t>”) will in addition be limited as to each French Subsidiary Guarantor or its subsidiaries, to the extent required by French law, to an amount that represents either (i) the amount of such proceeds made available to such French Subsidiary Guarantor via intragroup loans or otherwise or (ii) the equivalent in Euros of the portion of the proceeds of the Notes used directly or indirectly to repay or refinance obligations of or obligations guaranteed (to the extent permitted under French law) by, such French Subsidiary Guarantor or its subsidiaries, or to fund or refinance (directly or indirectly) advances or loans to such French Subsidiary Guarantor from time to time.</w:t>
      </w:r>
    </w:p>
    <w:p>
      <w:pPr>
        <w:spacing w:after="0" w:line="64" w:lineRule="exact"/>
        <w:rPr>
          <w:sz w:val="20"/>
          <w:szCs w:val="20"/>
          <w:color w:val="auto"/>
        </w:rPr>
      </w:pPr>
    </w:p>
    <w:p>
      <w:pPr>
        <w:jc w:val="center"/>
        <w:ind w:left="4" w:right="60" w:firstLine="419"/>
        <w:spacing w:after="0" w:line="287" w:lineRule="auto"/>
        <w:tabs>
          <w:tab w:leader="none" w:pos="681"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Limitations Applicable to the Dutch Guarantors</w:t>
      </w:r>
      <w:r>
        <w:rPr>
          <w:rFonts w:ascii="Arial" w:cs="Arial" w:eastAsia="Arial" w:hAnsi="Arial"/>
          <w:sz w:val="16"/>
          <w:szCs w:val="16"/>
          <w:color w:val="auto"/>
        </w:rPr>
        <w:t>. Each Guarantor incorporated, organized or formed, as the case may be, in the Netherlands (a “</w:t>
      </w:r>
      <w:r>
        <w:rPr>
          <w:rFonts w:ascii="Arial" w:cs="Arial" w:eastAsia="Arial" w:hAnsi="Arial"/>
          <w:sz w:val="16"/>
          <w:szCs w:val="16"/>
          <w:u w:val="single" w:color="auto"/>
          <w:color w:val="auto"/>
        </w:rPr>
        <w:t>Dutch Guarantor</w:t>
      </w:r>
      <w:r>
        <w:rPr>
          <w:rFonts w:ascii="Arial" w:cs="Arial" w:eastAsia="Arial" w:hAnsi="Arial"/>
          <w:sz w:val="16"/>
          <w:szCs w:val="16"/>
          <w:color w:val="auto"/>
        </w:rPr>
        <w:t>”) and, by its acceptance hereof, each Holder, hereby confirm that the Dutch Guarantors shall not be liable under its Note Guarantee to the extent that, if it were so liable, its entry into its Note Guarantee would violate (a) section 2:98c of the Dutch Civil Code,</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its corporate interest or (c) section 3:45 of the Dutch Civil Code or sections 42 or 43 of the Dutch Bankruptcy Act (</w:t>
      </w:r>
      <w:r>
        <w:rPr>
          <w:rFonts w:ascii="Arial" w:cs="Arial" w:eastAsia="Arial" w:hAnsi="Arial"/>
          <w:sz w:val="17"/>
          <w:szCs w:val="17"/>
          <w:i w:val="1"/>
          <w:iCs w:val="1"/>
          <w:color w:val="auto"/>
        </w:rPr>
        <w:t>Faillissementswet</w:t>
      </w:r>
      <w:r>
        <w:rPr>
          <w:rFonts w:ascii="Arial" w:cs="Arial" w:eastAsia="Arial" w:hAnsi="Arial"/>
          <w:sz w:val="17"/>
          <w:szCs w:val="17"/>
          <w:color w:val="auto"/>
        </w:rPr>
        <w:t>).</w:t>
      </w:r>
    </w:p>
    <w:p>
      <w:pPr>
        <w:spacing w:after="0" w:line="114" w:lineRule="exact"/>
        <w:rPr>
          <w:rFonts w:ascii="Arial" w:cs="Arial" w:eastAsia="Arial" w:hAnsi="Arial"/>
          <w:sz w:val="17"/>
          <w:szCs w:val="17"/>
          <w:color w:val="auto"/>
        </w:rPr>
      </w:pPr>
    </w:p>
    <w:p>
      <w:pPr>
        <w:ind w:left="4" w:right="40" w:firstLine="419"/>
        <w:spacing w:after="0" w:line="270" w:lineRule="auto"/>
        <w:tabs>
          <w:tab w:leader="none" w:pos="681"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Limitations Applicable to the Luxembourg Guarantors</w:t>
      </w:r>
      <w:r>
        <w:rPr>
          <w:rFonts w:ascii="Arial" w:cs="Arial" w:eastAsia="Arial" w:hAnsi="Arial"/>
          <w:sz w:val="17"/>
          <w:szCs w:val="17"/>
          <w:color w:val="auto"/>
        </w:rPr>
        <w:t>. Each Guarantor incorporated, organized or formed, as the case may be, in Luxembourg or which may be incorporated, organized or formed in the future, as the case may be, in Luxembourg (a “</w:t>
      </w:r>
      <w:r>
        <w:rPr>
          <w:rFonts w:ascii="Arial" w:cs="Arial" w:eastAsia="Arial" w:hAnsi="Arial"/>
          <w:sz w:val="17"/>
          <w:szCs w:val="17"/>
          <w:u w:val="single" w:color="auto"/>
          <w:color w:val="auto"/>
        </w:rPr>
        <w:t>Luxembourg Guarantor</w:t>
      </w:r>
      <w:r>
        <w:rPr>
          <w:rFonts w:ascii="Arial" w:cs="Arial" w:eastAsia="Arial" w:hAnsi="Arial"/>
          <w:sz w:val="17"/>
          <w:szCs w:val="17"/>
          <w:color w:val="auto"/>
        </w:rPr>
        <w:t>”) and, by its acceptance hereof, each Holder, hereby confirm that all liabilities and obligations of such Luxembourg Guarantor arising under any Guarantee, including, without limitation, under any Note Guarantee, shall (a) not in any circumstances include any obligation or liability which, if incurred, would constitute a misuse of corporate assets under article 1500-11 of the Luxembourg law on commercial companies dated 10 August 1915, as amended from time to time (the “</w:t>
      </w:r>
      <w:r>
        <w:rPr>
          <w:rFonts w:ascii="Arial" w:cs="Arial" w:eastAsia="Arial" w:hAnsi="Arial"/>
          <w:sz w:val="17"/>
          <w:szCs w:val="17"/>
          <w:u w:val="single" w:color="auto"/>
          <w:color w:val="auto"/>
        </w:rPr>
        <w:t>1915 Law</w:t>
      </w:r>
      <w:r>
        <w:rPr>
          <w:rFonts w:ascii="Arial" w:cs="Arial" w:eastAsia="Arial" w:hAnsi="Arial"/>
          <w:sz w:val="17"/>
          <w:szCs w:val="17"/>
          <w:color w:val="auto"/>
        </w:rPr>
        <w:t>”) and (b) be limited, at all times, to an aggregate amount that does not exceed eighty percent (80%) of (i) the sum of such Luxembourg Guarantor’s “</w:t>
      </w:r>
      <w:r>
        <w:rPr>
          <w:rFonts w:ascii="Arial" w:cs="Arial" w:eastAsia="Arial" w:hAnsi="Arial"/>
          <w:sz w:val="17"/>
          <w:szCs w:val="17"/>
          <w:i w:val="1"/>
          <w:iCs w:val="1"/>
          <w:color w:val="auto"/>
        </w:rPr>
        <w:t>capitaux propres</w:t>
      </w:r>
      <w:r>
        <w:rPr>
          <w:rFonts w:ascii="Arial" w:cs="Arial" w:eastAsia="Arial" w:hAnsi="Arial"/>
          <w:sz w:val="17"/>
          <w:szCs w:val="17"/>
          <w:color w:val="auto"/>
        </w:rPr>
        <w:t>” (as referred to in Annex I to the Luxembourg Grand-Ducal Regulation dated 18 December 2015 setting out the form and content of the presentation of the balance sheet and profit and loss account and implementing articles 34, 35, 46, and 47 of the</w:t>
      </w:r>
    </w:p>
    <w:p>
      <w:pPr>
        <w:spacing w:after="0" w:line="11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564"/>
          </w:cols>
          <w:pgMar w:left="876" w:top="490" w:right="459" w:bottom="1440" w:gutter="0" w:footer="0" w:header="0"/>
        </w:sectPr>
      </w:pPr>
    </w:p>
    <w:bookmarkStart w:id="97" w:name="page98"/>
    <w:bookmarkEnd w:id="97"/>
    <w:p>
      <w:pPr>
        <w:ind w:left="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Luxembourg law of 19 December 2002 on the register of commerce and companies and the accounting and annual accounts of undertakings, as amended) (the “</w:t>
      </w:r>
      <w:r>
        <w:rPr>
          <w:rFonts w:ascii="Arial" w:cs="Arial" w:eastAsia="Arial" w:hAnsi="Arial"/>
          <w:sz w:val="17"/>
          <w:szCs w:val="17"/>
          <w:u w:val="single" w:color="auto"/>
          <w:color w:val="auto"/>
        </w:rPr>
        <w:t>Net Assets</w:t>
      </w:r>
      <w:r>
        <w:rPr>
          <w:rFonts w:ascii="Arial" w:cs="Arial" w:eastAsia="Arial" w:hAnsi="Arial"/>
          <w:sz w:val="17"/>
          <w:szCs w:val="17"/>
          <w:color w:val="auto"/>
        </w:rPr>
        <w:t>”) and its “</w:t>
      </w:r>
      <w:r>
        <w:rPr>
          <w:rFonts w:ascii="Arial" w:cs="Arial" w:eastAsia="Arial" w:hAnsi="Arial"/>
          <w:sz w:val="17"/>
          <w:szCs w:val="17"/>
          <w:i w:val="1"/>
          <w:iCs w:val="1"/>
          <w:color w:val="auto"/>
        </w:rPr>
        <w:t>dettes subordonnées</w:t>
      </w:r>
      <w:r>
        <w:rPr>
          <w:rFonts w:ascii="Arial" w:cs="Arial" w:eastAsia="Arial" w:hAnsi="Arial"/>
          <w:sz w:val="17"/>
          <w:szCs w:val="17"/>
          <w:color w:val="auto"/>
        </w:rPr>
        <w:t>” (as referred to in account 191 of the standard chart of accounts attached to the Luxembourg Grand-Ducal Regulation dated 10 June 2009 setting out the form and content of a standard chart of accounts, as the same may be amended or replaced) (the “</w:t>
      </w:r>
      <w:r>
        <w:rPr>
          <w:rFonts w:ascii="Arial" w:cs="Arial" w:eastAsia="Arial" w:hAnsi="Arial"/>
          <w:sz w:val="17"/>
          <w:szCs w:val="17"/>
          <w:u w:val="single" w:color="auto"/>
          <w:color w:val="auto"/>
        </w:rPr>
        <w:t>Subordinated Debts</w:t>
      </w:r>
      <w:r>
        <w:rPr>
          <w:rFonts w:ascii="Arial" w:cs="Arial" w:eastAsia="Arial" w:hAnsi="Arial"/>
          <w:sz w:val="17"/>
          <w:szCs w:val="17"/>
          <w:color w:val="auto"/>
        </w:rPr>
        <w:t>”), as reflected in the most recently available annual accounts of such Luxembourg Guarantor as at the date on which any Guarantee is realised and (ii) the sum of that Luxembourg Guarantor’s Net Assets and Subordinated Debts, as reflected in its last annual accounts available as at the date of execution of this Indenture (whether as an original party or by way of accession). The obligations of a Luxembourg Guarantor in respect of this Indenture and/or any Guarantee shall not extend to the guaranteeing or securing of any amount which would breach the prohibitions on financial assistance set out in the 1915 Law.</w:t>
      </w:r>
    </w:p>
    <w:p>
      <w:pPr>
        <w:spacing w:after="0" w:line="70" w:lineRule="exact"/>
        <w:rPr>
          <w:sz w:val="20"/>
          <w:szCs w:val="20"/>
          <w:color w:val="auto"/>
        </w:rPr>
      </w:pPr>
    </w:p>
    <w:p>
      <w:pPr>
        <w:ind w:left="440" w:firstLine="419"/>
        <w:spacing w:after="0" w:line="254" w:lineRule="auto"/>
        <w:tabs>
          <w:tab w:leader="none" w:pos="111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Limitations Applicable to Other Guarantors</w:t>
      </w:r>
      <w:r>
        <w:rPr>
          <w:rFonts w:ascii="Arial" w:cs="Arial" w:eastAsia="Arial" w:hAnsi="Arial"/>
          <w:sz w:val="18"/>
          <w:szCs w:val="18"/>
          <w:color w:val="auto"/>
        </w:rPr>
        <w:t>. Each Guarantor that is incorporated, organized or formed, as the case may be, under the laws of any jurisdiction other than one set forth in clauses (1) through (8) above (an “</w:t>
      </w:r>
      <w:r>
        <w:rPr>
          <w:rFonts w:ascii="Arial" w:cs="Arial" w:eastAsia="Arial" w:hAnsi="Arial"/>
          <w:sz w:val="18"/>
          <w:szCs w:val="18"/>
          <w:u w:val="single" w:color="auto"/>
          <w:color w:val="auto"/>
        </w:rPr>
        <w:t>Other Guarantor</w:t>
      </w:r>
      <w:r>
        <w:rPr>
          <w:rFonts w:ascii="Arial" w:cs="Arial" w:eastAsia="Arial" w:hAnsi="Arial"/>
          <w:sz w:val="18"/>
          <w:szCs w:val="18"/>
          <w:color w:val="auto"/>
        </w:rPr>
        <w:t>”), and by its acceptance hereof, each Holder, hereby confirm that it is the intention of all such parties that the Guarantee of an Other Guarantor does not constitute a fraudulent transfer or conveyance for purposes applicable law. To effectuate the foregoing intention, each Holder and each Other Guarantor hereby irrevocably agree that the obligations of an Other Guarantor under its Note Guarantee shall be limited to the maximum amount as will, after giving effect to all other contingent and fixed liabilities of such Other Guarantor result in the obligations of such Other Guarantor not constituting such a fraudulent transfer or conveyance.</w:t>
      </w:r>
    </w:p>
    <w:p>
      <w:pPr>
        <w:spacing w:after="0" w:line="19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Net Assets</w:t>
      </w:r>
      <w:r>
        <w:rPr>
          <w:rFonts w:ascii="Arial" w:cs="Arial" w:eastAsia="Arial" w:hAnsi="Arial"/>
          <w:sz w:val="17"/>
          <w:szCs w:val="17"/>
          <w:color w:val="auto"/>
        </w:rPr>
        <w:t>” of a Guarantor at any date means the lesser of (1) the amount by which (x) the fair value of the assets of such Guarantor exceeds the total amount of liabilities, including, without limitation, contingent liabilities, but excluding liabilities under its Note Guarantee, of such Guarantor at such date and (y) the present fair salable value of the assets of such Guarantor at such date exceeds (2) the amount that will be required to pay the probable liability of such Guarantor on its debts (after giving effect to all other fixed and contingent liabilities and after giving effect to any collection from any Subsidiary of such Guarantor in respect of the obligations of such Guarantor under its Note Guarantee), excluding Indebtedness in respect of its Note Guarantee, as they become absolute and matured.</w:t>
      </w:r>
    </w:p>
    <w:p>
      <w:pPr>
        <w:spacing w:after="0" w:line="178" w:lineRule="exact"/>
        <w:rPr>
          <w:sz w:val="20"/>
          <w:szCs w:val="20"/>
          <w:color w:val="auto"/>
        </w:rPr>
      </w:pPr>
    </w:p>
    <w:p>
      <w:pPr>
        <w:ind w:left="1240" w:hanging="253"/>
        <w:spacing w:after="0"/>
        <w:tabs>
          <w:tab w:leader="none" w:pos="124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If following the date of this Indenture and notwithstanding anything in Section 8.02 to the contrary: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 there shall be any change in the laws of the jurisdictions set forth in clauses (1) through (8) of subsection (a) of this Section 10.06 or</w:t>
      </w:r>
    </w:p>
    <w:p>
      <w:pPr>
        <w:spacing w:after="0" w:line="46" w:lineRule="exact"/>
        <w:rPr>
          <w:rFonts w:ascii="Arial" w:cs="Arial" w:eastAsia="Arial" w:hAnsi="Arial"/>
          <w:sz w:val="16"/>
          <w:szCs w:val="16"/>
          <w:color w:val="auto"/>
        </w:rPr>
      </w:pPr>
    </w:p>
    <w:p>
      <w:pPr>
        <w:ind w:left="440" w:right="20" w:hanging="4"/>
        <w:spacing w:after="0" w:line="260"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Restricted Subsidiary incorporated, organized or formed, as the case may be, under the laws of any jurisdiction other than ones set forth in clauses (1) through (8) of subsection (a)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490" w:right="479" w:bottom="1440" w:gutter="0" w:footer="0" w:header="0"/>
        </w:sectPr>
      </w:pPr>
    </w:p>
    <w:bookmarkStart w:id="98" w:name="page99"/>
    <w:bookmarkEnd w:id="9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Section 10.06 (a “</w:t>
      </w:r>
      <w:r>
        <w:rPr>
          <w:rFonts w:ascii="Arial" w:cs="Arial" w:eastAsia="Arial" w:hAnsi="Arial"/>
          <w:sz w:val="16"/>
          <w:szCs w:val="16"/>
          <w:u w:val="single" w:color="auto"/>
          <w:color w:val="auto"/>
        </w:rPr>
        <w:t>Future Guarantor</w:t>
      </w:r>
      <w:r>
        <w:rPr>
          <w:rFonts w:ascii="Arial" w:cs="Arial" w:eastAsia="Arial" w:hAnsi="Arial"/>
          <w:sz w:val="16"/>
          <w:szCs w:val="16"/>
          <w:color w:val="auto"/>
        </w:rPr>
        <w:t>”) shall be required to execute a Note Guarantee and the Issuer shall reasonably determine that clause</w:t>
      </w:r>
    </w:p>
    <w:p>
      <w:pPr>
        <w:spacing w:after="0" w:line="46" w:lineRule="exact"/>
        <w:rPr>
          <w:sz w:val="20"/>
          <w:szCs w:val="20"/>
          <w:color w:val="auto"/>
        </w:rPr>
      </w:pPr>
    </w:p>
    <w:p>
      <w:pPr>
        <w:ind w:left="440" w:right="60" w:hanging="4"/>
        <w:spacing w:after="0" w:line="260"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Other Guarantors shall not adequately address the limitations on such Guarantee imposed by applicable law of the jurisdiction of incorporation, organization or formation, as the case may be, of any such Future Guarantor; or</w:t>
      </w:r>
    </w:p>
    <w:p>
      <w:pPr>
        <w:spacing w:after="0" w:line="77" w:lineRule="exact"/>
        <w:rPr>
          <w:rFonts w:ascii="Arial" w:cs="Arial" w:eastAsia="Arial" w:hAnsi="Arial"/>
          <w:sz w:val="18"/>
          <w:szCs w:val="18"/>
          <w:color w:val="auto"/>
        </w:rPr>
      </w:pPr>
    </w:p>
    <w:p>
      <w:pPr>
        <w:ind w:left="1120" w:hanging="261"/>
        <w:spacing w:after="0"/>
        <w:tabs>
          <w:tab w:leader="none" w:pos="11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Issuer shall reasonably determine that it shall be necessary or advisable to amend the terms of clauses (1) through (8) of subsection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7"/>
          <w:szCs w:val="17"/>
          <w:color w:val="auto"/>
        </w:rPr>
        <w:t>(a) of this Section 10.06 or to add additional provisions related to the limitations imposed on the Note Guarantee of a Future Guarantor,</w:t>
      </w:r>
    </w:p>
    <w:p>
      <w:pPr>
        <w:spacing w:after="0" w:line="22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 xml:space="preserve">then upon the delivery of an Officers’ Certificate and Opinion of Counsel reasonably satisfactory to the Trustee, the Issuer shall be entitled to amend such clauses or add such additional provisions (including any related modifications to the form of Guarantee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as the case may be, in order for the Note Guarantee of a Guarantor not to so violate applicable law.</w:t>
      </w:r>
    </w:p>
    <w:p>
      <w:pPr>
        <w:spacing w:after="0" w:line="40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ARTICLE ELEVEN</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to be included in this Indenture by the TIA, the required provision shall control. If any provision of this Indenture modifies any TIA provision that may be so modified, such TIA provision shall be deemed to apply to this Indenture as so modified. If any provision of this Indenture excludes any TIA provision that may be so excluded, such TIA provision shall be excluded from this Indenture.</w:t>
      </w:r>
    </w:p>
    <w:p>
      <w:pPr>
        <w:spacing w:after="0" w:line="187" w:lineRule="exact"/>
        <w:rPr>
          <w:sz w:val="20"/>
          <w:szCs w:val="20"/>
          <w:color w:val="auto"/>
        </w:rPr>
      </w:pPr>
    </w:p>
    <w:p>
      <w:pPr>
        <w:ind w:right="340" w:firstLine="991"/>
        <w:spacing w:after="0" w:line="308" w:lineRule="auto"/>
        <w:rPr>
          <w:sz w:val="20"/>
          <w:szCs w:val="20"/>
          <w:color w:val="auto"/>
        </w:rPr>
      </w:pPr>
      <w:r>
        <w:rPr>
          <w:rFonts w:ascii="Arial" w:cs="Arial" w:eastAsia="Arial" w:hAnsi="Arial"/>
          <w:sz w:val="17"/>
          <w:szCs w:val="17"/>
          <w:color w:val="auto"/>
        </w:rPr>
        <w:t>The provisions of TIA §§ 310 through 317 that impose duties on any Person (including the provisions automatically deemed included unless expressly excluded by this Indenture) are a part of and govern this Indenture, whether or not physically contained herein.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40"/>
          </w:cols>
          <w:pgMar w:left="440" w:top="490" w:right="5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Issuer or any Guarantor: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Crown European Holdings S.A.</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 Rue Emmy Noether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93400 Saint-Ouen, France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Timothy Donahue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33 1 4918 4000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33 1 4918 4001</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(215) 698-5100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(215) 676-6011</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Cira Center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2929 Arch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Philadelphia, PA 19104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Ian A. Hartman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(215) 994-4000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(215) 994-2222</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Global Corporate Trust Services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Two Liberty Place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 South 16th Street, Suite 2000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Mail Station: EX-PA-WBSP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Michael Judge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215-761-9326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215-761-9412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Michael.Judge@usbank.com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490" w:right="479" w:bottom="1440" w:gutter="0" w:footer="0" w:header="0"/>
        </w:sectPr>
      </w:pPr>
    </w:p>
    <w:bookmarkStart w:id="100" w:name="page101"/>
    <w:bookmarkEnd w:id="10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to the Paying Agent, the Registrar or the Transfer Agent: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Elavon Financial Services DAC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Block F1, Cherrywood Business Park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Cherrywood, Dublin 18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D18 W319, Ireland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Relationship Management Group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+44 207 365 2577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CDRM@usbank.com</w:t>
      </w:r>
    </w:p>
    <w:p>
      <w:pPr>
        <w:spacing w:after="0" w:line="211"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The Issuer, the Guarantors or the Trustee by written notice to the others may designate additional or different addresses for subsequent notices or communications.</w:t>
      </w:r>
    </w:p>
    <w:p>
      <w:pPr>
        <w:spacing w:after="0" w:line="170"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 and the next Business Day after timely delivery to the courier, if sent by overnight air courier guaranteeing next day delivery.</w:t>
      </w:r>
    </w:p>
    <w:p>
      <w:pPr>
        <w:spacing w:after="0" w:line="15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87"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 notice or communication to a Holder is mailed in the manner provided above, it shall be deemed duly given, whether or not the addressee receives it.</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Communications by Holders with Other Holders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Issuer, the Guarantors, the Trustee, the Registrar, each Agent and anyone else shall have the protection of TIA § 312(c).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490"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Issuer or any Guarantor to the Trustee to take any action under this Indenture, the Issuer or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 shall furnish to the Trustee:</w:t>
      </w:r>
    </w:p>
    <w:p>
      <w:pPr>
        <w:spacing w:after="0" w:line="103" w:lineRule="exact"/>
        <w:rPr>
          <w:sz w:val="20"/>
          <w:szCs w:val="20"/>
          <w:color w:val="auto"/>
        </w:rPr>
      </w:pPr>
    </w:p>
    <w:p>
      <w:pPr>
        <w:ind w:left="440" w:right="40" w:firstLine="419"/>
        <w:spacing w:after="0" w:line="342" w:lineRule="auto"/>
        <w:tabs>
          <w:tab w:leader="none" w:pos="111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Officers’ Certificate (which shall include the statements set forth in Section 11.05 below) stating that, in the opinion of the signers, all conditions precedent and covenants, if any, provided for in this Indenture relating to the proposed action have been complied with; and</w:t>
      </w:r>
    </w:p>
    <w:p>
      <w:pPr>
        <w:spacing w:after="0" w:line="15" w:lineRule="exact"/>
        <w:rPr>
          <w:rFonts w:ascii="Arial" w:cs="Arial" w:eastAsia="Arial" w:hAnsi="Arial"/>
          <w:sz w:val="16"/>
          <w:szCs w:val="16"/>
          <w:color w:val="auto"/>
        </w:rPr>
      </w:pPr>
    </w:p>
    <w:p>
      <w:pPr>
        <w:ind w:left="440" w:right="120" w:firstLine="419"/>
        <w:spacing w:after="0" w:line="277" w:lineRule="auto"/>
        <w:tabs>
          <w:tab w:leader="none" w:pos="11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11.05 below) stating that, in the opinion of such counsel, all such conditions precedent and covenants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Statements Required in Certificate and Opinion</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Each certificate and opinion with respect to compliance by or on behalf of the Issuer or any Guarantor with a condition or covenant provided for in this Indenture shall include:</w:t>
      </w:r>
    </w:p>
    <w:p>
      <w:pPr>
        <w:spacing w:after="0" w:line="62" w:lineRule="exact"/>
        <w:rPr>
          <w:sz w:val="20"/>
          <w:szCs w:val="20"/>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covenant or condition has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The Trustee may make reasonable rules for action by or meetings of Noteholders. The Registrar and Paying Agent may make reasonable rules for their functions.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490" w:right="4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11.07. </w:t>
      </w:r>
      <w:r>
        <w:rPr>
          <w:rFonts w:ascii="Arial" w:cs="Arial" w:eastAsia="Arial" w:hAnsi="Arial"/>
          <w:sz w:val="18"/>
          <w:szCs w:val="18"/>
          <w:u w:val="single" w:color="auto"/>
          <w:color w:val="auto"/>
        </w:rPr>
        <w:t>Business Days; Legal Holidays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Business Day</w:t>
      </w:r>
      <w:r>
        <w:rPr>
          <w:rFonts w:ascii="Arial" w:cs="Arial" w:eastAsia="Arial" w:hAnsi="Arial"/>
          <w:sz w:val="17"/>
          <w:szCs w:val="17"/>
          <w:color w:val="auto"/>
        </w:rPr>
        <w:t>” is a day that is not a Legal Holiday. A “</w:t>
      </w:r>
      <w:r>
        <w:rPr>
          <w:rFonts w:ascii="Arial" w:cs="Arial" w:eastAsia="Arial" w:hAnsi="Arial"/>
          <w:sz w:val="17"/>
          <w:szCs w:val="17"/>
          <w:u w:val="single" w:color="auto"/>
          <w:color w:val="auto"/>
        </w:rPr>
        <w:t>Legal Holiday</w:t>
      </w:r>
      <w:r>
        <w:rPr>
          <w:rFonts w:ascii="Arial" w:cs="Arial" w:eastAsia="Arial" w:hAnsi="Arial"/>
          <w:sz w:val="17"/>
          <w:szCs w:val="17"/>
          <w:color w:val="auto"/>
        </w:rPr>
        <w:t>” is a Saturday, a Sunday or other day on which commercial banks in London, Luxembourg or France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This Indenture may not be used to interpret another indenture, loan, security or debt agreement of Parent or any Subsidiary thereof. No such indenture, loan, security or debt agreement may be used to interpret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parties may sign multiple counterparts of this Indenture. Each signed counterpart shall be deemed an original, but all of them together represent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490" w:right="4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11.13.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jc w:val="both"/>
        <w:ind w:right="460" w:firstLine="991"/>
        <w:spacing w:after="0" w:line="263" w:lineRule="auto"/>
        <w:rPr>
          <w:sz w:val="20"/>
          <w:szCs w:val="20"/>
          <w:color w:val="auto"/>
        </w:rPr>
      </w:pPr>
      <w:r>
        <w:rPr>
          <w:rFonts w:ascii="Arial" w:cs="Arial" w:eastAsia="Arial" w:hAnsi="Arial"/>
          <w:sz w:val="18"/>
          <w:szCs w:val="18"/>
          <w:color w:val="auto"/>
        </w:rPr>
        <w:t>THE ISSUER, EACH OF THE GUARANTORS AND THE TRUSTEE IRREVOCABLY WAIVES, TO THE FULLEST EXTENT PERMITTED BY APPLICABLE LAW, ANY AND ALL RIGHT TO TRIAL BY JURY IN ANY LEGAL PROCEEDING ARISING OUT OF OR RELATING TO THIS INDENTURE, THE NOTES OR THE TRANSACTIONS CONTEMPLATED 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Agent for Service; Submission to Jurisdiction; Waiver of Immunities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69" w:lineRule="auto"/>
        <w:tabs>
          <w:tab w:leader="none" w:pos="12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the execution and delivery of this Indenture, the Issuer and 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and acknowledges that CT Corporation System has accepted such designation, (ii) irrevocably submits to the non-exclusive jurisdiction of any such court in any such suit or proceeding in subsection (a)(i) above and (iii) agrees that service of process upon CT Corporation System and written notice of said service to the Issuer in accordance with this Section 11.16 shall be deemed in every respect effective service of process upon the Issuer or any Guarantor, if any, in any such suit or proceeding. The Issuer and each Guarantor further agrees to take any and all such action, including the execution and filing of any and all such documents and instruments as may be necessary to continue such designation and appointment of CT Corporation System in full force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490" w:right="479" w:bottom="1440" w:gutter="0" w:footer="0" w:header="0"/>
        </w:sectPr>
      </w:pPr>
    </w:p>
    <w:bookmarkStart w:id="104" w:name="page105"/>
    <w:bookmarkEnd w:id="104"/>
    <w:p>
      <w:pPr>
        <w:ind w:left="4" w:right="2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and effect so long as this Indenture shall be in full force and effect or any of the Notes shall be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 or any Guarantor may, by written notice to the Trustee, designate such additional or alternative agent for service of process under this Section 11.16 that</w:t>
      </w:r>
    </w:p>
    <w:p>
      <w:pPr>
        <w:ind w:left="4" w:right="260" w:hanging="4"/>
        <w:spacing w:after="0" w:line="253" w:lineRule="auto"/>
        <w:tabs>
          <w:tab w:leader="none" w:pos="2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Section 11.16. Such notice shall identify the name of such agent for process and the address of such agent for process in the Borough of Manhattan, The City of New York, the State of New York.</w:t>
      </w:r>
    </w:p>
    <w:p>
      <w:pPr>
        <w:spacing w:after="0" w:line="192" w:lineRule="exact"/>
        <w:rPr>
          <w:rFonts w:ascii="Arial" w:cs="Arial" w:eastAsia="Arial" w:hAnsi="Arial"/>
          <w:sz w:val="18"/>
          <w:szCs w:val="18"/>
          <w:color w:val="auto"/>
        </w:rPr>
      </w:pPr>
    </w:p>
    <w:p>
      <w:pPr>
        <w:ind w:left="4" w:right="20" w:firstLine="987"/>
        <w:spacing w:after="0" w:line="272" w:lineRule="auto"/>
        <w:tabs>
          <w:tab w:leader="none" w:pos="1247"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this Indenture, the Notes and the Note Guarantees. In addition, the Issuer and each Guarantor irrevocably waives and agrees not to assert, by way of motion, as a defense, or otherwise in any such suit, action or proceeding, any claim that it is not personally subject to the jurisdiction of the courts mentioned in subsection (a) of this Section 11.16 for any reason whatsoever, that such suit, action or proceeding is brought in an inconvenient forum or that the venue for such suit is improper, or that this Indenture, the Notes or the Note Guarantees or the subject matter hereof or thereof may not be enforced in such courts.</w:t>
      </w:r>
    </w:p>
    <w:p>
      <w:pPr>
        <w:spacing w:after="0" w:line="177" w:lineRule="exact"/>
        <w:rPr>
          <w:rFonts w:ascii="Arial" w:cs="Arial" w:eastAsia="Arial" w:hAnsi="Arial"/>
          <w:sz w:val="17"/>
          <w:szCs w:val="17"/>
          <w:color w:val="auto"/>
        </w:rPr>
      </w:pPr>
    </w:p>
    <w:p>
      <w:pPr>
        <w:ind w:left="4" w:firstLine="987"/>
        <w:spacing w:after="0" w:line="279" w:lineRule="auto"/>
        <w:tabs>
          <w:tab w:leader="none" w:pos="1237"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Section 11.16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Currency of Account; Conversion of Currency; Foreign Exchange Restrictions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Euros are the sole currency of account and payment for all sums payable by the Issuer and the Guarantors under or in connection with the Notes, the Note Guarantees or this Indenture, including damages related thereto. Any amount received or recovered in a currency other than Euro by a Holder of the Notes (whether as a result of, or of the enforcement of, a judgment or order of a court of any jurisdiction, in the winding-up or dissolution of the Issuer or otherwise) in respect of any sum expressed to be due to it from the Issuer shall only constitute a discharge to the Issuer to the extent of the Euro amount which the recipient is able to purchase with the amount so received or recovered in that other currency on the date of that receipt or recovery (or, if it is not practicable to make that purchase on that date, on the first date on which it is practicable to do so). If that Euro amount is less than the</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4"/>
          </w:cols>
          <w:pgMar w:left="436" w:top="490" w:right="479" w:bottom="1440" w:gutter="0" w:footer="0" w:header="0"/>
        </w:sectPr>
      </w:pPr>
    </w:p>
    <w:bookmarkStart w:id="105" w:name="page106"/>
    <w:bookmarkEnd w:id="10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Euro amount expressed to be due to the recipient under the Notes, the Issuer shall indemnify it against any loss sustained by it as a result as set forth in subsection (b) of this Section 11.17. In any event, the Issuer and the Guarantors shall indemnify the recipient against the cost of making any such purchase. For the purposes of this Section 11.17, it will be sufficient for the Holder of a Note to certify in a satisfactory manner (indicating sources of information used) that it would have suffered a loss had an actual purchase of Euros been made with the amount so received in that other currency on the date of receipt or recovery (or, if a purchase of Euros on such date had not been practicable, on the first date on which it would have been practicable, it being required that the need for a change of date be certified in the manner mentioned above). The indemnities set forth in this Section 11.17 constitute separate and independent obligations from other obligations of the Issuer and the Guarantors, shall give rise to a separate and independent cause of action, shall apply irrespective of any indulgence granted by any Holder of the Notes and shall continue in full force and effect despite any other judgment, order, claim or proof for a liquidated amount in respect of any sum due under the Notes.</w:t>
      </w:r>
    </w:p>
    <w:p>
      <w:pPr>
        <w:spacing w:after="0" w:line="166" w:lineRule="exact"/>
        <w:rPr>
          <w:sz w:val="20"/>
          <w:szCs w:val="20"/>
          <w:color w:val="auto"/>
        </w:rPr>
      </w:pPr>
    </w:p>
    <w:p>
      <w:pPr>
        <w:ind w:right="400" w:firstLine="987"/>
        <w:spacing w:after="0" w:line="277" w:lineRule="auto"/>
        <w:tabs>
          <w:tab w:leader="none" w:pos="124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Issuer and the Guarantors, jointly and severally, covenant and agree that the following provisions shall apply to conversion of currency in the case of the Notes, the Note Guarantees and this Indenture:</w:t>
      </w:r>
    </w:p>
    <w:p>
      <w:pPr>
        <w:spacing w:after="0" w:line="76" w:lineRule="exact"/>
        <w:rPr>
          <w:sz w:val="20"/>
          <w:szCs w:val="20"/>
          <w:color w:val="auto"/>
        </w:rPr>
      </w:pPr>
    </w:p>
    <w:p>
      <w:pPr>
        <w:ind w:left="1980" w:right="40" w:hanging="2422"/>
        <w:spacing w:after="0" w:line="257" w:lineRule="auto"/>
        <w:tabs>
          <w:tab w:leader="none" w:pos="1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(A) If for the purpose of obtaining judgment in, or enforcing the judgment of, any court in any country, it becomes necessary to convert into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 amount due in any other currency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 then the conversion shall be made at the rate of exchange prevailing on the Business Day before the day on which the judgment is given or the order of enforcement is made, as the case may be (unless a court shall otherwise determine).</w:t>
      </w:r>
    </w:p>
    <w:p>
      <w:pPr>
        <w:spacing w:after="0" w:line="107" w:lineRule="exact"/>
        <w:rPr>
          <w:sz w:val="20"/>
          <w:szCs w:val="20"/>
          <w:color w:val="auto"/>
        </w:rPr>
      </w:pPr>
    </w:p>
    <w:p>
      <w:pPr>
        <w:ind w:left="2420" w:right="40" w:hanging="441"/>
        <w:spacing w:after="0" w:line="296" w:lineRule="auto"/>
        <w:tabs>
          <w:tab w:leader="none" w:pos="24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there is a change in the rate of exchange prevailing between the Business Day before the day on which the judgment is given or an order of enforcement is made, as the case may be (or such other date as a court shall determine), and the date of receipt of the amount due, the Issuer and the Guarantors will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490" w:right="459" w:bottom="1440" w:gutter="0" w:footer="0" w:header="0"/>
        </w:sectPr>
      </w:pPr>
    </w:p>
    <w:bookmarkStart w:id="106" w:name="page107"/>
    <w:bookmarkEnd w:id="106"/>
    <w:p>
      <w:pPr>
        <w:ind w:left="440" w:right="60" w:firstLine="419"/>
        <w:spacing w:after="0" w:line="270" w:lineRule="auto"/>
        <w:tabs>
          <w:tab w:leader="none" w:pos="1118" w:val="left"/>
        </w:tabs>
        <w:numPr>
          <w:ilvl w:val="0"/>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event of the winding-up of the Issuer or any Guarantor at any time while any amount or damages owing under the Notes, the Guarantees and this Indenture, or any judgment or order rendered in respect thereof, shall remain outstanding, the Issuer and the Guarantors shall indemnify and hold the Holders and the Trustee harmless against any deficiency arising or resulting from any variation in rates of exchange between (i) the date as of which the Euro Currency Equivalent of the amount due or contingently due under the Notes, the Guarantees and this Indenture (other than under this subsection (b)(2)) is calculated for the purposes of such winding-up and (ii) the final date for the filing of proofs of claim in such winding-up. For the purpose of this subsection (b)(2), the final date for the filing of proofs of claim in the winding-up of the Issuer or any Guarantor shall be the date fixed by the liquidator or otherwise in accordance with the relevant provisions of applicable law as being the latest practicable date as at which liabilities of the Issuer or such Guarantor may be ascertained for such winding-up prior to payment by the liquidator or otherwise in respect thereto.</w:t>
      </w:r>
    </w:p>
    <w:p>
      <w:pPr>
        <w:spacing w:after="0" w:line="180" w:lineRule="exact"/>
        <w:rPr>
          <w:rFonts w:ascii="Arial" w:cs="Arial" w:eastAsia="Arial" w:hAnsi="Arial"/>
          <w:sz w:val="17"/>
          <w:szCs w:val="17"/>
          <w:color w:val="auto"/>
        </w:rPr>
      </w:pPr>
    </w:p>
    <w:p>
      <w:pPr>
        <w:ind w:firstLine="987"/>
        <w:spacing w:after="0" w:line="270" w:lineRule="auto"/>
        <w:tabs>
          <w:tab w:leader="none" w:pos="123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obligations contained in subsections (a), (b)(1)(B) and (b)(2) of this Section 11.17 shall constitute separate and independent obligations from the other obligations of the Issuer and the Guarantors under this Indenture, shall give rise to separate and independent causes of action against the Issuer and the Guarantors, shall apply irrespective of any waiver or extension granted by any Holder or the Trustee or either of them from time to time and shall continue in full force and effect notwithstanding any judgment or order or the filing of any proof of claim in the winding-up of the Issuer or any Guarantor for a liquidated sum in respect of amounts due hereunder (other than under subsection (b)(2) above) or under any such judgment or order. Any such deficiency as aforesaid shall be deemed to constitute a loss suffered by the Holders or the Trustee, as the case may be, and no proof or evidence of any actual loss shall be required by the Issuer or any Guarantor or the liquidator or otherwise or any of them. In the case of subsection (b)(2) above, the amount of such deficiency shall not be deemed to be reduced by any variation in rates of exchange occurring between the said final date and the date of any liquidating distribution.</w:t>
      </w:r>
    </w:p>
    <w:p>
      <w:pPr>
        <w:spacing w:after="0" w:line="180" w:lineRule="exact"/>
        <w:rPr>
          <w:rFonts w:ascii="Arial" w:cs="Arial" w:eastAsia="Arial" w:hAnsi="Arial"/>
          <w:sz w:val="17"/>
          <w:szCs w:val="17"/>
          <w:color w:val="auto"/>
        </w:rPr>
      </w:pPr>
    </w:p>
    <w:p>
      <w:pPr>
        <w:ind w:right="60" w:firstLine="987"/>
        <w:spacing w:after="0" w:line="263" w:lineRule="auto"/>
        <w:tabs>
          <w:tab w:leader="none" w:pos="124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term “rate(s) of exchange” shall mean the rate of exchange quoted by Reuters at 10:00 a.m. (New York time) for spot purchases of the Base Currency with the Judgment Currency other than the Base Currency referred to in subsections (b)(1) and (b)(2) above and includes any premiums and costs of exchange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BRRD and Other Regulatory Matters</w:t>
      </w:r>
      <w:r>
        <w:rPr>
          <w:rFonts w:ascii="Arial" w:cs="Arial" w:eastAsia="Arial" w:hAnsi="Arial"/>
          <w:sz w:val="18"/>
          <w:szCs w:val="18"/>
          <w:color w:val="auto"/>
        </w:rPr>
        <w:t>.</w:t>
      </w:r>
    </w:p>
    <w:p>
      <w:pPr>
        <w:spacing w:after="0" w:line="225" w:lineRule="exact"/>
        <w:rPr>
          <w:sz w:val="20"/>
          <w:szCs w:val="20"/>
          <w:color w:val="auto"/>
        </w:rPr>
      </w:pPr>
    </w:p>
    <w:p>
      <w:pPr>
        <w:ind w:left="1220" w:hanging="233"/>
        <w:spacing w:after="0"/>
        <w:tabs>
          <w:tab w:leader="none" w:pos="1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Paying Agent, Registrar and Transfer Agent are authorised and regulated by the Central Bank of Ireland (“</w:t>
      </w:r>
      <w:r>
        <w:rPr>
          <w:rFonts w:ascii="Arial" w:cs="Arial" w:eastAsia="Arial" w:hAnsi="Arial"/>
          <w:sz w:val="18"/>
          <w:szCs w:val="18"/>
          <w:u w:val="single" w:color="auto"/>
          <w:color w:val="auto"/>
        </w:rPr>
        <w:t>CBOI</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360"/>
        <w:spacing w:after="0"/>
        <w:rPr>
          <w:rFonts w:ascii="Arial" w:cs="Arial" w:eastAsia="Arial" w:hAnsi="Arial"/>
          <w:sz w:val="18"/>
          <w:szCs w:val="18"/>
          <w:color w:val="auto"/>
        </w:rPr>
      </w:pPr>
      <w:r>
        <w:rPr>
          <w:rFonts w:ascii="Arial" w:cs="Arial" w:eastAsia="Arial" w:hAnsi="Arial"/>
          <w:sz w:val="18"/>
          <w:szCs w:val="18"/>
          <w:color w:val="auto"/>
        </w:rPr>
        <w:t>-96-</w:t>
      </w:r>
    </w:p>
    <w:p>
      <w:pPr>
        <w:sectPr>
          <w:pgSz w:w="11900" w:h="16838" w:orient="portrait"/>
          <w:cols w:equalWidth="0" w:num="1">
            <w:col w:w="11000"/>
          </w:cols>
          <w:pgMar w:left="440" w:top="490" w:right="459" w:bottom="1440" w:gutter="0" w:footer="0" w:header="0"/>
        </w:sectPr>
      </w:pPr>
    </w:p>
    <w:bookmarkStart w:id="107" w:name="page108"/>
    <w:bookmarkEnd w:id="107"/>
    <w:p>
      <w:pPr>
        <w:ind w:right="140" w:firstLine="987"/>
        <w:spacing w:after="0" w:line="255" w:lineRule="auto"/>
        <w:tabs>
          <w:tab w:leader="none" w:pos="1246" w:val="left"/>
        </w:tabs>
        <w:numPr>
          <w:ilvl w:val="1"/>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connection with the worldwide effort against the funding of terrorism and money laundering activities, the Paying Agent, Registrar and Transfer Agent may be required under various national laws and regulations to which they are subject to obtain, verify and record information that identifies each person who opens an account with it. For a non-individual person such as a business entity, a charity, a trust or other legal entity the Paying Agent, Registrar and Transfer Agent shall be entitled to ask for documentation to verify such entity’s formation and legal existence as well as financial statements, licenses, identification and authorisation documents from individuals claiming authority to represent the entity or other relevant documentation.</w:t>
      </w:r>
    </w:p>
    <w:p>
      <w:pPr>
        <w:spacing w:after="0" w:line="192" w:lineRule="exact"/>
        <w:rPr>
          <w:rFonts w:ascii="Arial" w:cs="Arial" w:eastAsia="Arial" w:hAnsi="Arial"/>
          <w:sz w:val="18"/>
          <w:szCs w:val="18"/>
          <w:color w:val="auto"/>
        </w:rPr>
      </w:pPr>
    </w:p>
    <w:p>
      <w:pPr>
        <w:ind w:firstLine="987"/>
        <w:spacing w:after="0" w:line="254" w:lineRule="auto"/>
        <w:tabs>
          <w:tab w:leader="none" w:pos="123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parties to this Indenture acknowledge and agree that the obligations of Paying Agent, Registrar and Transfer Agent under this Indenture are limited by and subject to compliance by them with EU and US Federal anti-money laundering statutes and regulations. If the Paying Agent, Registrar and Transfer Agent or any of their directors know or suspect that a payment is the proceeds of criminal conduct, such person is required to report such information pursuant to the applicable authorities and such report shall not be treated as a breach by such person of any confidentiality covenant or other restriction imposed on such person under this Indenture, by law or otherwise on the disclosure of information. The Paying Agent, Registrar and Transfer Agent shall be indemnified and held harmless by the Issuer from and against all losses suffered by them that may arise as a result of the agents being prevented from fulfilling their obligations hereunder due to the extent doing so would not be consistent with applicable statutory anti-money laundering requirements.</w:t>
      </w:r>
    </w:p>
    <w:p>
      <w:pPr>
        <w:spacing w:after="0" w:line="191" w:lineRule="exact"/>
        <w:rPr>
          <w:rFonts w:ascii="Arial" w:cs="Arial" w:eastAsia="Arial" w:hAnsi="Arial"/>
          <w:sz w:val="18"/>
          <w:szCs w:val="18"/>
          <w:color w:val="auto"/>
        </w:rPr>
      </w:pPr>
    </w:p>
    <w:p>
      <w:pPr>
        <w:jc w:val="both"/>
        <w:ind w:firstLine="987"/>
        <w:spacing w:after="0" w:line="255" w:lineRule="auto"/>
        <w:tabs>
          <w:tab w:leader="none" w:pos="124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in any other agreement, arrangement or understanding among any such parties, each party hereto acknowledges that any liability of Paying Agent, Registrar and Transfer Agent arising under this Indenture or any such other document, to the extent such liability is unsecured or not otherwise exempted, may be subject to the write-down and conversion powers of a Resolution Authority and agrees and consents to, and acknowledges and agrees to be bound by: (1) the application of any Write-Down and Conversion Powers by a Resolution Authority to any such liabilities arising hereunder which may be payable to it by any party hereto; and (2) the effects of any Bail-in Action on any such liability, including, if applicable:</w:t>
      </w:r>
    </w:p>
    <w:p>
      <w:pPr>
        <w:spacing w:after="0" w:line="84" w:lineRule="exact"/>
        <w:rPr>
          <w:rFonts w:ascii="Arial" w:cs="Arial" w:eastAsia="Arial" w:hAnsi="Arial"/>
          <w:sz w:val="18"/>
          <w:szCs w:val="18"/>
          <w:color w:val="auto"/>
        </w:rPr>
      </w:pPr>
    </w:p>
    <w:p>
      <w:pPr>
        <w:ind w:left="1080" w:hanging="221"/>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440" w:right="100" w:firstLine="419"/>
        <w:spacing w:after="0" w:line="286" w:lineRule="auto"/>
        <w:tabs>
          <w:tab w:leader="none" w:pos="112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Indenture or any other agreement; or</w:t>
      </w:r>
    </w:p>
    <w:p>
      <w:pPr>
        <w:spacing w:after="0" w:line="57" w:lineRule="exact"/>
        <w:rPr>
          <w:rFonts w:ascii="Arial" w:cs="Arial" w:eastAsia="Arial" w:hAnsi="Arial"/>
          <w:sz w:val="17"/>
          <w:szCs w:val="17"/>
          <w:color w:val="auto"/>
        </w:rPr>
      </w:pPr>
    </w:p>
    <w:p>
      <w:pPr>
        <w:ind w:left="1180" w:hanging="321"/>
        <w:spacing w:after="0"/>
        <w:tabs>
          <w:tab w:leader="none" w:pos="11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Resolution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490" w:right="459" w:bottom="1440" w:gutter="0" w:footer="0" w:header="0"/>
        </w:sectPr>
      </w:pPr>
    </w:p>
    <w:bookmarkStart w:id="108" w:name="page109"/>
    <w:bookmarkEnd w:id="10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 For the purpose of sub-clause (d) above the following terms shall have the following meanings: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in relation to any other state, any analogous law or regulation from time to time which requires contractual recognition of any Write-down and Conversion Powers contained in that law or regulation.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any public administrative authority or any person entrusted with public administrative authority to exercise any Write-down and Conversion Powers.</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in relation to any Bail-In Legislation described in the EU Bail-In Legislation Schedule from time to time, the powers described as such in relation to that Bail-In Legislation in the EU Bail-In Legislation Schedule; and (b) any powers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440" w:top="490" w:right="51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have caused this Indenture to be duly executed all as of the date and year first written above.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EUROPEAN HOLDINGS S.A.</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14605</wp:posOffset>
            </wp:positionV>
            <wp:extent cx="24345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Administrateur/DG Délégué</w:t>
      </w:r>
    </w:p>
    <w:p>
      <w:pPr>
        <w:spacing w:after="0" w:line="2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[Signature Page to Indenture]</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9440"/>
          </w:cols>
          <w:pgMar w:left="1420" w:top="490" w:right="1039" w:bottom="1440" w:gutter="0" w:footer="0" w:header="0"/>
        </w:sectPr>
      </w:pPr>
    </w:p>
    <w:bookmarkStart w:id="110" w:name="page111"/>
    <w:bookmarkEnd w:id="110"/>
    <w:p>
      <w:pPr>
        <w:ind w:left="56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GUARANTORS</w:t>
      </w:r>
      <w:r>
        <w:rPr>
          <w:rFonts w:ascii="Arial" w:cs="Arial" w:eastAsia="Arial" w:hAnsi="Arial"/>
          <w:sz w:val="18"/>
          <w:szCs w:val="18"/>
          <w:color w:val="auto"/>
        </w:rPr>
        <w:t>:</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jc w:val="both"/>
        <w:ind w:left="5600"/>
        <w:spacing w:after="0"/>
        <w:tabs>
          <w:tab w:leader="none" w:pos="6160" w:val="left"/>
        </w:tabs>
        <w:rPr>
          <w:sz w:val="20"/>
          <w:szCs w:val="20"/>
          <w:color w:val="auto"/>
        </w:rPr>
      </w:pPr>
      <w:r>
        <w:rPr>
          <w:rFonts w:ascii="Arial" w:cs="Arial" w:eastAsia="Arial" w:hAnsi="Arial"/>
          <w:sz w:val="18"/>
          <w:szCs w:val="18"/>
          <w:color w:val="auto"/>
        </w:rPr>
        <w:t>Title:</w:t>
        <w:tab/>
        <w:t>Senior Vice President &amp;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Financial Officer</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9019"/>
          </w:cols>
          <w:pgMar w:left="1440" w:top="490" w:right="1440" w:bottom="1440" w:gutter="0" w:footer="0" w:header="0"/>
        </w:sectPr>
      </w:pPr>
    </w:p>
    <w:bookmarkStart w:id="111" w:name="page112"/>
    <w:bookmarkEnd w:id="111"/>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AMERICAS LLC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jc w:val="both"/>
        <w:ind w:left="5600"/>
        <w:spacing w:after="0"/>
        <w:tabs>
          <w:tab w:leader="none" w:pos="616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9019"/>
          </w:cols>
          <w:pgMar w:left="1440" w:top="490" w:right="1440" w:bottom="1440" w:gutter="0" w:footer="0" w:header="0"/>
        </w:sectPr>
      </w:pPr>
    </w:p>
    <w:bookmarkStart w:id="112" w:name="page113"/>
    <w:bookmarkEnd w:id="112"/>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 USA, INC.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BEVERAGE PACKAGING PUERTO RICO,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INC.</w:t>
      </w:r>
    </w:p>
    <w:p>
      <w:pPr>
        <w:spacing w:after="0" w:line="21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Christy L. Kalaus</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 and Controller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CONSULTANTS, INC.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FINANCIAL CORPORATION</w:t>
      </w:r>
    </w:p>
    <w:p>
      <w:pPr>
        <w:spacing w:after="0" w:line="21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CORK &amp; SEAL COMPANY (DE), LLC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9620"/>
          </w:cols>
          <w:pgMar w:left="1440" w:top="490" w:right="839" w:bottom="1440" w:gutter="0" w:footer="0" w:header="0"/>
        </w:sectPr>
      </w:pPr>
    </w:p>
    <w:bookmarkStart w:id="113" w:name="page114"/>
    <w:bookmarkEnd w:id="113"/>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CORK &amp; SEAL USA, INC.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Assistant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INDUSTRIAL GROUP US INC.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FOREIGN MANUFACTURERS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FINANCE CORPORATION</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INTERNATIONAL HOLDINGS, INC.</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PACKAGING TECHNOLOGY, INC.</w:t>
      </w:r>
    </w:p>
    <w:p>
      <w:pPr>
        <w:spacing w:after="0" w:line="222"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BEVERAGE PACKAGING, LLC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Assistant Treasurer</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9160"/>
          </w:cols>
          <w:pgMar w:left="1440" w:top="490" w:right="1299" w:bottom="1440" w:gutter="0" w:footer="0" w:header="0"/>
        </w:sectPr>
      </w:pPr>
    </w:p>
    <w:bookmarkStart w:id="114" w:name="page115"/>
    <w:bookmarkEnd w:id="114"/>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BEVERAGE HOLDINGS, INC.</w:t>
      </w:r>
    </w:p>
    <w:p>
      <w:pPr>
        <w:spacing w:after="0" w:line="237"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9019"/>
          </w:cols>
          <w:pgMar w:left="1440" w:top="490" w:right="1440" w:bottom="1440" w:gutter="0" w:footer="0" w:header="0"/>
        </w:sectPr>
      </w:pPr>
    </w:p>
    <w:bookmarkStart w:id="115" w:name="page116"/>
    <w:bookmarkEnd w:id="115"/>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INDUSTRIAL GROUP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SIGNODE INDUSTRIAL GROUP HOLDINGS US INC.</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INTERNATIONAL IP 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SIMPLIMATIC ENGINEERING 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SIMPLIMTIC AUTOMATION LLC SEH REAL ESTATE</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 INTERNATIONAL HOLDING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 INTERNATIONAL HOLDINGS II LLC</w:t>
      </w:r>
    </w:p>
    <w:p>
      <w:pPr>
        <w:spacing w:after="0" w:line="21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 &amp; Assistant Treasurer</w:t>
      </w:r>
    </w:p>
    <w:p>
      <w:pPr>
        <w:spacing w:after="0" w:line="211"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9840"/>
          </w:cols>
          <w:pgMar w:left="1440" w:top="490" w:right="619" w:bottom="1440" w:gutter="0" w:footer="0" w:header="0"/>
        </w:sectPr>
      </w:pPr>
    </w:p>
    <w:bookmarkStart w:id="116" w:name="page117"/>
    <w:bookmarkEnd w:id="116"/>
    <w:p>
      <w:pPr>
        <w:ind w:left="5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3079939 NOVA SCOTIA COMPANY/3079939 COMPAGNIE</w:t>
      </w:r>
    </w:p>
    <w:p>
      <w:pPr>
        <w:spacing w:after="0" w:line="3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DE LA NOUVELLE ECOSSE 889273 ONTARIO INC.</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CROWN CANADIAN HOLDINGS ULC</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CROWN METAL PACKAGING CANADA INC.</w:t>
      </w:r>
    </w:p>
    <w:p>
      <w:pPr>
        <w:spacing w:after="0" w:line="211"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100" w:type="dxa"/>
            <w:vAlign w:val="bottom"/>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Vice President &amp; Treasurer</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SIGNODE CANADA ULC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Abraham</w:t>
            </w: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Name: Peter Abraham</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CROWN METAL PACKAGING CANADA LP</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w w:val="90"/>
              </w:rPr>
              <w:t>Crown Metal Packaging Canada Inc., its General Partner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100" w:type="dxa"/>
            <w:vAlign w:val="bottom"/>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020"/>
          </w:cols>
          <w:pgMar w:left="1440" w:top="490" w:right="439" w:bottom="1440" w:gutter="0" w:footer="0" w:header="0"/>
        </w:sectPr>
      </w:pPr>
    </w:p>
    <w:bookmarkStart w:id="117" w:name="page118"/>
    <w:bookmarkEnd w:id="117"/>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BEVCAN FRANCE SAS</w:t>
      </w:r>
    </w:p>
    <w:p>
      <w:pPr>
        <w:spacing w:after="0" w:line="225"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Browett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Paul Browett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Directeur Général</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CROWN DÉVELOPPEMENT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Clothier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Kevin C. Clothier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Directeur Général</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CROWN EUROPE SAS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Jean-Francois Lelouch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Jean-Francois Lelouch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Président</w:t>
            </w:r>
          </w:p>
        </w:tc>
      </w:tr>
    </w:tbl>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020"/>
          </w:cols>
          <w:pgMar w:left="1440" w:top="490" w:right="439" w:bottom="1440" w:gutter="0" w:footer="0" w:header="0"/>
        </w:sectPr>
      </w:pPr>
    </w:p>
    <w:bookmarkStart w:id="118" w:name="page119"/>
    <w:bookmarkEnd w:id="118"/>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SOCIÉTÉ CIVILE IMMOBILIÉRE DES BACQUETS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SOCIÉTÉ CIVILE IMMOBILIÉRE ROUSSEAU IVRY</w:t>
      </w:r>
    </w:p>
    <w:p>
      <w:pPr>
        <w:spacing w:after="0" w:line="22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SPG FRANCE HOLDINGS SAS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FRANCE SAS</w:t>
      </w:r>
    </w:p>
    <w:p>
      <w:pPr>
        <w:spacing w:after="0" w:line="22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CORK &amp; SEAL DEUTSCHLAND HOLDINGS</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GMBH</w:t>
      </w:r>
    </w:p>
    <w:p>
      <w:pPr>
        <w:spacing w:after="0" w:line="21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Jochen Lizenich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Jochen Lizenich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9840"/>
          </w:cols>
          <w:pgMar w:left="1440" w:top="490" w:right="619" w:bottom="1440" w:gutter="0" w:footer="0" w:header="0"/>
        </w:sectPr>
      </w:pPr>
    </w:p>
    <w:bookmarkStart w:id="119" w:name="page120"/>
    <w:bookmarkEnd w:id="119"/>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PACKAGING SYSTEMS GMBH</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Ellen Fleischmann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MEZGER HEFTSYSTEME GMBH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SMP SCHWEDE MASCHINENBAU WEISCHLITZ</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GMBH</w:t>
      </w:r>
    </w:p>
    <w:p>
      <w:pPr>
        <w:spacing w:after="0" w:line="238"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Ellen Fleischmann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SYSTEM GMBH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GERMANY GMBH</w:t>
      </w:r>
    </w:p>
    <w:p>
      <w:pPr>
        <w:spacing w:after="0" w:line="22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Aloys Buderath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Peter Aloys Buderath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SPG GERMANY SERVICE MANAGEMENT GMBH</w:t>
      </w:r>
    </w:p>
    <w:p>
      <w:pPr>
        <w:spacing w:after="0" w:line="237"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9600"/>
          </w:cols>
          <w:pgMar w:left="1440" w:top="490" w:right="859" w:bottom="1440" w:gutter="0" w:footer="0" w:header="0"/>
        </w:sectPr>
      </w:pPr>
    </w:p>
    <w:bookmarkStart w:id="120" w:name="page121"/>
    <w:bookmarkEnd w:id="120"/>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PACKAGING LUX III, S.À.R.L.</w:t>
      </w:r>
    </w:p>
    <w:p>
      <w:pPr>
        <w:spacing w:after="0" w:line="225"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Browett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Paul Browett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Manager 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Jacques Lancelon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Jacques Lancelon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Manager B</w:t>
            </w:r>
          </w:p>
        </w:tc>
      </w:tr>
    </w:tbl>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SPG INDUSTRIAL PACKAGING S.À.R.L.</w:t>
      </w:r>
    </w:p>
    <w:p>
      <w:pPr>
        <w:spacing w:after="0" w:line="225"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Olaf Roth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Olaf Roth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Manager 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Jacques Lancelon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Jacques Lancelon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Manager B</w:t>
            </w:r>
          </w:p>
        </w:tc>
      </w:tr>
    </w:tbl>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020"/>
          </w:cols>
          <w:pgMar w:left="1440" w:top="490" w:right="439" w:bottom="1440" w:gutter="0" w:footer="0" w:header="0"/>
        </w:sectPr>
      </w:pPr>
    </w:p>
    <w:bookmarkStart w:id="121" w:name="page122"/>
    <w:bookmarkEnd w:id="121"/>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INDUSTRIAL GROUP LUX S.A.</w:t>
      </w:r>
    </w:p>
    <w:p>
      <w:pPr>
        <w:spacing w:after="0" w:line="225"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Olaf Roth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Olaf Roth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Director 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Jacques Lancelon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Jacques Lancelon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Director B</w:t>
            </w:r>
          </w:p>
        </w:tc>
      </w:tr>
    </w:tbl>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LUXEMBOURG S.À.R.L.</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020"/>
          </w:cols>
          <w:pgMar w:left="1440" w:top="490" w:right="439" w:bottom="1440" w:gutter="0" w:footer="0" w:header="0"/>
        </w:sectPr>
      </w:pPr>
    </w:p>
    <w:bookmarkStart w:id="122" w:name="page123"/>
    <w:bookmarkEnd w:id="122"/>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ENVASES MEXICO, S.A. DE C.V.</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FÁBRICAS MONTERREY,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FAMOSA,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SILICES DE VERACRUZ,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SILICE DEL ISTMO,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VICHISA, S.A. DE C.V.</w:t>
      </w:r>
    </w:p>
    <w:p>
      <w:pPr>
        <w:spacing w:after="0" w:line="22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MEXICO S. DE R.L. DE C.V.</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SIMPLIMATIC AUTOMATION S. DE R.L. DE C.V.</w:t>
      </w:r>
    </w:p>
    <w:p>
      <w:pPr>
        <w:spacing w:after="0" w:line="236"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Maria Evelia Hernandez Rodriquez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Maria Evelia Hernandez Rodriguez</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9480"/>
          </w:cols>
          <w:pgMar w:left="1440" w:top="490" w:right="979" w:bottom="1440" w:gutter="0" w:footer="0" w:header="0"/>
        </w:sectPr>
      </w:pPr>
    </w:p>
    <w:bookmarkStart w:id="123" w:name="page124"/>
    <w:bookmarkEnd w:id="123"/>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FAMOSA B.V.</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SIVESA B.V.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SISA MEXICO B.V.</w:t>
      </w:r>
    </w:p>
    <w:p>
      <w:pPr>
        <w:spacing w:after="0" w:line="22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SIGNODE NETHERLANDS B.V.</w:t>
      </w:r>
    </w:p>
    <w:p>
      <w:pPr>
        <w:spacing w:after="0" w:line="237"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Jochen Linzenich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Jochen Linzenich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Indenture]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9019"/>
          </w:cols>
          <w:pgMar w:left="1440" w:top="490" w:right="1440" w:bottom="1440" w:gutter="0" w:footer="0" w:header="0"/>
        </w:sectPr>
      </w:pPr>
    </w:p>
    <w:bookmarkStart w:id="124" w:name="page125"/>
    <w:bookmarkEnd w:id="124"/>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PACKAGING EUROPEAN HOLDINGS GMBH</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PACKAGING EUROPEAN DIVISION GMBH</w:t>
      </w:r>
    </w:p>
    <w:p>
      <w:pPr>
        <w:spacing w:after="0" w:line="22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Vavassori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Andrea Vavassori</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SWITZERLAND GMBH</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9920"/>
          </w:cols>
          <w:pgMar w:left="1440" w:top="490" w:right="539" w:bottom="1440" w:gutter="0" w:footer="0" w:header="0"/>
        </w:sectPr>
      </w:pPr>
    </w:p>
    <w:bookmarkStart w:id="125" w:name="page126"/>
    <w:bookmarkEnd w:id="125"/>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CARNAUDMETALBOX ENGINEERING LIMITED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CARNAUDMETALBOX GROUP UK LIMITED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CARNAUDMETALBOX OVERSEAS LIMITED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PACKAGING MANUFACTURING UK</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LIMITED</w:t>
      </w:r>
    </w:p>
    <w:p>
      <w:pPr>
        <w:spacing w:after="0" w:line="22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PACKAGING DISTRIBUTION UK LIMITED</w:t>
      </w:r>
    </w:p>
    <w:p>
      <w:pPr>
        <w:spacing w:after="0" w:line="237"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Conybeare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Tim Conybeare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UK HOLDINGS LIMITED</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9760"/>
          </w:cols>
          <w:pgMar w:left="1440" w:top="490" w:right="699" w:bottom="1440" w:gutter="0" w:footer="0" w:header="0"/>
        </w:sectPr>
      </w:pPr>
    </w:p>
    <w:bookmarkStart w:id="126" w:name="page127"/>
    <w:bookmarkEnd w:id="126"/>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UK LTD</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Olaf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MEC-A-TEC SERVICES LIMITED</w:t>
      </w:r>
    </w:p>
    <w:p>
      <w:pPr>
        <w:spacing w:after="0" w:line="237"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9019"/>
          </w:cols>
          <w:pgMar w:left="1440" w:top="490" w:right="1440" w:bottom="1440" w:gutter="0" w:footer="0" w:header="0"/>
        </w:sectPr>
      </w:pPr>
    </w:p>
    <w:bookmarkStart w:id="127" w:name="page128"/>
    <w:bookmarkEnd w:id="127"/>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U.S. Bank Trust Company, National Association, as Trustee</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Judge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9900"/>
          </w:cols>
          <w:pgMar w:left="1440" w:top="490" w:right="559" w:bottom="1440" w:gutter="0" w:footer="0" w:header="0"/>
        </w:sectPr>
      </w:pPr>
    </w:p>
    <w:bookmarkStart w:id="128" w:name="page129"/>
    <w:bookmarkEnd w:id="128"/>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Elavon Financial Services DAC, as Paying Agent</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Chris Hobbs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 Hobbs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Elavon Financial Services DAC, as Registrar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Chris Hobbs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 Hobbs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Elavon Financial Services DAC, as Transfer Agent</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Chris Hobbs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 Hobbs</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[Signature Page to Indenture]</w:t>
      </w:r>
    </w:p>
    <w:p>
      <w:pPr>
        <w:spacing w:after="0" w:line="18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9260"/>
          </w:cols>
          <w:pgMar w:left="1440" w:top="490" w:right="11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EXHIBIT A-1</w:t>
            </w:r>
          </w:p>
        </w:tc>
      </w:tr>
      <w:tr>
        <w:trPr>
          <w:trHeight w:val="453"/>
        </w:trPr>
        <w:tc>
          <w:tcPr>
            <w:tcW w:w="2260" w:type="dxa"/>
            <w:vAlign w:val="bottom"/>
          </w:tcPr>
          <w:p>
            <w:pPr>
              <w:spacing w:after="0"/>
              <w:rPr>
                <w:sz w:val="24"/>
                <w:szCs w:val="24"/>
                <w:color w:val="auto"/>
              </w:rPr>
            </w:pPr>
          </w:p>
        </w:tc>
        <w:tc>
          <w:tcPr>
            <w:tcW w:w="8520" w:type="dxa"/>
            <w:vAlign w:val="bottom"/>
            <w:gridSpan w:val="2"/>
          </w:tcPr>
          <w:p>
            <w:pPr>
              <w:jc w:val="center"/>
              <w:ind w:right="1950"/>
              <w:spacing w:after="0"/>
              <w:rPr>
                <w:sz w:val="20"/>
                <w:szCs w:val="20"/>
                <w:color w:val="auto"/>
              </w:rPr>
            </w:pPr>
            <w:r>
              <w:rPr>
                <w:rFonts w:ascii="Arial" w:cs="Arial" w:eastAsia="Arial" w:hAnsi="Arial"/>
                <w:sz w:val="18"/>
                <w:szCs w:val="18"/>
                <w:color w:val="auto"/>
                <w:w w:val="95"/>
              </w:rPr>
              <w:t>[FORM OF RESTRICTED NOTE]</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30"/>
              <w:spacing w:after="0"/>
              <w:rPr>
                <w:sz w:val="20"/>
                <w:szCs w:val="20"/>
                <w:color w:val="auto"/>
              </w:rPr>
            </w:pPr>
            <w:r>
              <w:rPr>
                <w:rFonts w:ascii="Arial" w:cs="Arial" w:eastAsia="Arial" w:hAnsi="Arial"/>
                <w:sz w:val="18"/>
                <w:szCs w:val="18"/>
                <w:b w:val="1"/>
                <w:bCs w:val="1"/>
                <w:color w:val="auto"/>
                <w:w w:val="99"/>
              </w:rPr>
              <w:t>CROWN EUROPEAN HOLDINGS S.A.</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50"/>
              <w:spacing w:after="0"/>
              <w:rPr>
                <w:sz w:val="20"/>
                <w:szCs w:val="20"/>
                <w:color w:val="auto"/>
              </w:rPr>
            </w:pPr>
            <w:r>
              <w:rPr>
                <w:rFonts w:ascii="Arial" w:cs="Arial" w:eastAsia="Arial" w:hAnsi="Arial"/>
                <w:sz w:val="18"/>
                <w:szCs w:val="18"/>
                <w:color w:val="auto"/>
                <w:w w:val="93"/>
              </w:rPr>
              <w:t>5.000% SENIOR NOTE DUE 2028</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3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b w:val="1"/>
                <w:bCs w:val="1"/>
                <w:i w:val="1"/>
                <w:iCs w:val="1"/>
                <w:color w:val="auto"/>
                <w:w w:val="88"/>
              </w:rPr>
              <w:t>Insert Global Note Legend</w:t>
            </w:r>
            <w:r>
              <w:rPr>
                <w:rFonts w:ascii="Arial" w:cs="Arial" w:eastAsia="Arial" w:hAnsi="Arial"/>
                <w:sz w:val="18"/>
                <w:szCs w:val="18"/>
                <w:b w:val="1"/>
                <w:bCs w:val="1"/>
                <w:color w:val="auto"/>
                <w:w w:val="88"/>
              </w:rPr>
              <w:t xml:space="preserve">, </w:t>
            </w:r>
            <w:r>
              <w:rPr>
                <w:rFonts w:ascii="Arial" w:cs="Arial" w:eastAsia="Arial" w:hAnsi="Arial"/>
                <w:sz w:val="18"/>
                <w:szCs w:val="18"/>
                <w:b w:val="1"/>
                <w:bCs w:val="1"/>
                <w:i w:val="1"/>
                <w:iCs w:val="1"/>
                <w:color w:val="auto"/>
                <w:w w:val="88"/>
              </w:rPr>
              <w:t>if applicable</w:t>
            </w:r>
            <w:r>
              <w:rPr>
                <w:rFonts w:ascii="Arial" w:cs="Arial" w:eastAsia="Arial" w:hAnsi="Arial"/>
                <w:sz w:val="18"/>
                <w:szCs w:val="18"/>
                <w:b w:val="1"/>
                <w:bCs w:val="1"/>
                <w:color w:val="auto"/>
                <w:w w:val="88"/>
              </w:rPr>
              <w:t>]</w:t>
            </w:r>
          </w:p>
        </w:tc>
        <w:tc>
          <w:tcPr>
            <w:tcW w:w="2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520" w:type="dxa"/>
            <w:vAlign w:val="bottom"/>
            <w:gridSpan w:val="2"/>
          </w:tcPr>
          <w:p>
            <w:pPr>
              <w:jc w:val="center"/>
              <w:ind w:right="195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b w:val="1"/>
                <w:bCs w:val="1"/>
                <w:i w:val="1"/>
                <w:iCs w:val="1"/>
                <w:color w:val="auto"/>
                <w:w w:val="88"/>
              </w:rPr>
              <w:t>Insert Private Placement Legend</w:t>
            </w:r>
            <w:r>
              <w:rPr>
                <w:rFonts w:ascii="Arial" w:cs="Arial" w:eastAsia="Arial" w:hAnsi="Arial"/>
                <w:sz w:val="18"/>
                <w:szCs w:val="18"/>
                <w:b w:val="1"/>
                <w:bCs w:val="1"/>
                <w:color w:val="auto"/>
                <w:w w:val="88"/>
              </w:rPr>
              <w:t>]</w:t>
            </w:r>
          </w:p>
        </w:tc>
        <w:tc>
          <w:tcPr>
            <w:tcW w:w="240" w:type="dxa"/>
            <w:vAlign w:val="bottom"/>
          </w:tcPr>
          <w:p>
            <w:pPr>
              <w:spacing w:after="0"/>
              <w:rPr>
                <w:sz w:val="24"/>
                <w:szCs w:val="24"/>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No. [  ]</w:t>
            </w:r>
          </w:p>
        </w:tc>
        <w:tc>
          <w:tcPr>
            <w:tcW w:w="8520" w:type="dxa"/>
            <w:vAlign w:val="bottom"/>
            <w:gridSpan w:val="2"/>
          </w:tcPr>
          <w:p>
            <w:pPr>
              <w:jc w:val="right"/>
              <w:ind w:right="90"/>
              <w:spacing w:after="0"/>
              <w:rPr>
                <w:sz w:val="20"/>
                <w:szCs w:val="20"/>
                <w:color w:val="auto"/>
              </w:rPr>
            </w:pPr>
            <w:r>
              <w:rPr>
                <w:rFonts w:ascii="Arial" w:cs="Arial" w:eastAsia="Arial" w:hAnsi="Arial"/>
                <w:sz w:val="18"/>
                <w:szCs w:val="18"/>
                <w:color w:val="auto"/>
              </w:rPr>
              <w:t>ISIN No.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tcPr>
          <w:p>
            <w:pPr>
              <w:spacing w:after="0"/>
              <w:rPr>
                <w:sz w:val="18"/>
                <w:szCs w:val="18"/>
                <w:color w:val="auto"/>
              </w:rPr>
            </w:pPr>
          </w:p>
        </w:tc>
        <w:tc>
          <w:tcPr>
            <w:tcW w:w="8520" w:type="dxa"/>
            <w:vAlign w:val="bottom"/>
            <w:gridSpan w:val="2"/>
          </w:tcPr>
          <w:p>
            <w:pPr>
              <w:jc w:val="right"/>
              <w:ind w:right="90"/>
              <w:spacing w:after="0"/>
              <w:rPr>
                <w:sz w:val="20"/>
                <w:szCs w:val="20"/>
                <w:color w:val="auto"/>
              </w:rPr>
            </w:pPr>
            <w:r>
              <w:rPr>
                <w:rFonts w:ascii="Arial" w:cs="Arial" w:eastAsia="Arial" w:hAnsi="Arial"/>
                <w:sz w:val="18"/>
                <w:szCs w:val="18"/>
                <w:color w:val="auto"/>
              </w:rPr>
              <w:t>Common Code No.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6"/>
          <w:szCs w:val="16"/>
          <w:color w:val="auto"/>
        </w:rPr>
        <w:t xml:space="preserve">CROWN EUROPEAN HOLDINGS S.A.,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as issuer (the “</w:t>
      </w:r>
      <w:r>
        <w:rPr>
          <w:rFonts w:ascii="Arial" w:cs="Arial" w:eastAsia="Arial" w:hAnsi="Arial"/>
          <w:sz w:val="16"/>
          <w:szCs w:val="16"/>
          <w:u w:val="single" w:color="auto"/>
          <w:color w:val="auto"/>
        </w:rPr>
        <w:t>Issuer</w:t>
      </w:r>
      <w:r>
        <w:rPr>
          <w:rFonts w:ascii="Arial" w:cs="Arial" w:eastAsia="Arial" w:hAnsi="Arial"/>
          <w:sz w:val="16"/>
          <w:szCs w:val="16"/>
          <w:color w:val="auto"/>
        </w:rPr>
        <w:t>”), for value received, promises to pay to USB</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Nominees (UK) Limited or registered assigns the principal sum of [ ] (or such other principal amount as shall be set forth in the Schedule of Exchanges of Interests in Global Note attached hereto), on May 15, 2028.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15 and November 15 commencing November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 and November 1 (whether or not a Business Day).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472" w:right="4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Issuer has caused this Note to be signed by two of its duly authorized officers.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EUROPEAN HOLDINGS S.A.</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6350</wp:posOffset>
            </wp:positionV>
            <wp:extent cx="26060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6350</wp:posOffset>
            </wp:positionV>
            <wp:extent cx="26060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9039"/>
          </w:cols>
          <w:pgMar w:left="1420" w:top="490" w:right="1440" w:bottom="1440" w:gutter="0" w:footer="0" w:header="0"/>
        </w:sectPr>
      </w:pPr>
    </w:p>
    <w:bookmarkStart w:id="131" w:name="page132"/>
    <w:bookmarkEnd w:id="131"/>
    <w:p>
      <w:pPr>
        <w:ind w:left="4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5.000% Senior Notes due 2028 referred to in the within-mentioned Indenture.</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U.S. BANK TRUST COMPANY, NATIONAL</w:t>
      </w:r>
    </w:p>
    <w:p>
      <w:pPr>
        <w:spacing w:after="0" w:line="3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ASSOCIATION, as Trustee</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6350</wp:posOffset>
            </wp:positionV>
            <wp:extent cx="26060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019"/>
          </w:cols>
          <w:pgMar w:left="440" w:top="490" w:right="1440" w:bottom="1440" w:gutter="0" w:footer="0" w:header="0"/>
        </w:sectPr>
      </w:pPr>
    </w:p>
    <w:bookmarkStart w:id="132" w:name="page133"/>
    <w:bookmarkEnd w:id="13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[FORM OF REVERSE OF RESTRICTED NOTE]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CROWN EUROPEAN HOLDINGS S.A.</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5.000% SENIOR NOTE DUE 2028</w:t>
      </w:r>
    </w:p>
    <w:p>
      <w:pPr>
        <w:spacing w:after="0" w:line="225" w:lineRule="exact"/>
        <w:rPr>
          <w:sz w:val="20"/>
          <w:szCs w:val="20"/>
          <w:color w:val="auto"/>
        </w:rPr>
      </w:pPr>
    </w:p>
    <w:p>
      <w:pPr>
        <w:ind w:left="4" w:firstLine="987"/>
        <w:spacing w:after="0" w:line="220" w:lineRule="auto"/>
        <w:tabs>
          <w:tab w:leader="none" w:pos="117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CROWN EUROPEAN HOLDINGS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as issuer (the “</w:t>
      </w:r>
      <w:r>
        <w:rPr>
          <w:rFonts w:ascii="Arial" w:cs="Arial" w:eastAsia="Arial" w:hAnsi="Arial"/>
          <w:sz w:val="18"/>
          <w:szCs w:val="18"/>
          <w:u w:val="single" w:color="auto"/>
          <w:color w:val="auto"/>
        </w:rPr>
        <w:t>Issuer</w:t>
      </w:r>
      <w:r>
        <w:rPr>
          <w:rFonts w:ascii="Arial" w:cs="Arial" w:eastAsia="Arial" w:hAnsi="Arial"/>
          <w:sz w:val="18"/>
          <w:szCs w:val="18"/>
          <w:color w:val="auto"/>
        </w:rPr>
        <w:t>”), promises to pay interest on the principal amount set forth on the face hereof at a rate of 5.000% per annum. Interest hereon will accrue from and including the most recent date to which interest has been paid or, if no interest has been paid, from and including May 18, 2023</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to but excluding the date on which interest is paid. Interest shall be payable in arrears on each May 15 and November 15, commencing November 15, 2023</w:t>
      </w:r>
      <w:r>
        <w:rPr>
          <w:rFonts w:ascii="Arial" w:cs="Arial" w:eastAsia="Arial" w:hAnsi="Arial"/>
          <w:sz w:val="26"/>
          <w:szCs w:val="26"/>
          <w:color w:val="auto"/>
          <w:vertAlign w:val="superscript"/>
        </w:rPr>
        <w:t>2</w:t>
      </w:r>
      <w:r>
        <w:rPr>
          <w:rFonts w:ascii="Arial" w:cs="Arial" w:eastAsia="Arial" w:hAnsi="Arial"/>
          <w:sz w:val="18"/>
          <w:szCs w:val="18"/>
          <w:color w:val="auto"/>
        </w:rPr>
        <w:t>.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204" w:lineRule="exact"/>
        <w:rPr>
          <w:rFonts w:ascii="Arial" w:cs="Arial" w:eastAsia="Arial" w:hAnsi="Arial"/>
          <w:sz w:val="18"/>
          <w:szCs w:val="18"/>
          <w:color w:val="auto"/>
        </w:rPr>
      </w:pPr>
    </w:p>
    <w:p>
      <w:pPr>
        <w:ind w:left="4" w:firstLine="987"/>
        <w:spacing w:after="0" w:line="259" w:lineRule="auto"/>
        <w:tabs>
          <w:tab w:leader="none" w:pos="117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86" w:lineRule="exact"/>
        <w:rPr>
          <w:rFonts w:ascii="Arial" w:cs="Arial" w:eastAsia="Arial" w:hAnsi="Arial"/>
          <w:sz w:val="18"/>
          <w:szCs w:val="18"/>
          <w:color w:val="auto"/>
        </w:rPr>
      </w:pPr>
    </w:p>
    <w:p>
      <w:pPr>
        <w:ind w:left="4" w:right="20" w:firstLine="987"/>
        <w:spacing w:after="0" w:line="263" w:lineRule="auto"/>
        <w:tabs>
          <w:tab w:leader="none" w:pos="117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Transfer Agent</w:t>
      </w:r>
      <w:r>
        <w:rPr>
          <w:rFonts w:ascii="Arial" w:cs="Arial" w:eastAsia="Arial" w:hAnsi="Arial"/>
          <w:sz w:val="18"/>
          <w:szCs w:val="18"/>
          <w:color w:val="auto"/>
        </w:rPr>
        <w:t>. Initially, Elavon Financial Services DAC, in Dublin will act as Paying Agent, Registrar and Transfer Agent. The Issuer may change any Paying Agent or Registrar without notice. The Issuer or any Affiliate thereof may act as Paying Agent or Registrar.</w:t>
      </w:r>
    </w:p>
    <w:p>
      <w:pPr>
        <w:spacing w:after="0" w:line="183" w:lineRule="exact"/>
        <w:rPr>
          <w:rFonts w:ascii="Arial" w:cs="Arial" w:eastAsia="Arial" w:hAnsi="Arial"/>
          <w:sz w:val="18"/>
          <w:szCs w:val="18"/>
          <w:color w:val="auto"/>
        </w:rPr>
      </w:pPr>
    </w:p>
    <w:p>
      <w:pPr>
        <w:ind w:left="1164" w:hanging="173"/>
        <w:spacing w:after="0"/>
        <w:tabs>
          <w:tab w:leader="none" w:pos="1164"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Issuer issued the 5.000% Senior Notes due 2028 (the “</w:t>
      </w:r>
      <w:r>
        <w:rPr>
          <w:rFonts w:ascii="Arial" w:cs="Arial" w:eastAsia="Arial" w:hAnsi="Arial"/>
          <w:sz w:val="17"/>
          <w:szCs w:val="17"/>
          <w:u w:val="single" w:color="auto"/>
          <w:color w:val="auto"/>
        </w:rPr>
        <w:t>Notes</w:t>
      </w:r>
      <w:r>
        <w:rPr>
          <w:rFonts w:ascii="Arial" w:cs="Arial" w:eastAsia="Arial" w:hAnsi="Arial"/>
          <w:sz w:val="17"/>
          <w:szCs w:val="17"/>
          <w:color w:val="auto"/>
        </w:rPr>
        <w:t>”) under an Indenture dated as of May 18, 2023 (the</w:t>
      </w:r>
    </w:p>
    <w:p>
      <w:pPr>
        <w:spacing w:after="0" w:line="35"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U.S. Bank Trust Company, National Association (the “</w:t>
      </w:r>
      <w:r>
        <w:rPr>
          <w:rFonts w:ascii="Arial" w:cs="Arial" w:eastAsia="Arial" w:hAnsi="Arial"/>
          <w:sz w:val="18"/>
          <w:szCs w:val="18"/>
          <w:u w:val="single" w:color="auto"/>
          <w:color w:val="auto"/>
        </w:rPr>
        <w:t>Trustee</w:t>
      </w:r>
      <w:r>
        <w:rPr>
          <w:rFonts w:ascii="Arial" w:cs="Arial" w:eastAsia="Arial" w:hAnsi="Arial"/>
          <w:sz w:val="18"/>
          <w:szCs w:val="18"/>
          <w:color w:val="auto"/>
        </w:rPr>
        <w:t>”), Elavon Financial Services DAC, as paying agent (the “</w:t>
      </w:r>
      <w:r>
        <w:rPr>
          <w:rFonts w:ascii="Arial" w:cs="Arial" w:eastAsia="Arial" w:hAnsi="Arial"/>
          <w:sz w:val="18"/>
          <w:szCs w:val="18"/>
          <w:u w:val="single" w:color="auto"/>
          <w:color w:val="auto"/>
        </w:rPr>
        <w:t>Paying Agent</w:t>
      </w:r>
      <w:r>
        <w:rPr>
          <w:rFonts w:ascii="Arial" w:cs="Arial" w:eastAsia="Arial" w:hAnsi="Arial"/>
          <w:sz w:val="18"/>
          <w:szCs w:val="18"/>
          <w:color w:val="auto"/>
        </w:rPr>
        <w:t>”), registrar (the “</w:t>
      </w:r>
      <w:r>
        <w:rPr>
          <w:rFonts w:ascii="Arial" w:cs="Arial" w:eastAsia="Arial" w:hAnsi="Arial"/>
          <w:sz w:val="18"/>
          <w:szCs w:val="18"/>
          <w:u w:val="single" w:color="auto"/>
          <w:color w:val="auto"/>
        </w:rPr>
        <w:t>Registrar</w:t>
      </w:r>
      <w:r>
        <w:rPr>
          <w:rFonts w:ascii="Arial" w:cs="Arial" w:eastAsia="Arial" w:hAnsi="Arial"/>
          <w:sz w:val="18"/>
          <w:szCs w:val="18"/>
          <w:color w:val="auto"/>
        </w:rPr>
        <w:t>”) and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 w:lineRule="exact"/>
        <w:rPr>
          <w:sz w:val="20"/>
          <w:szCs w:val="20"/>
          <w:color w:val="auto"/>
        </w:rPr>
      </w:pPr>
    </w:p>
    <w:p>
      <w:pPr>
        <w:ind w:left="444" w:hanging="444"/>
        <w:spacing w:after="0"/>
        <w:tabs>
          <w:tab w:leader="none" w:pos="444" w:val="left"/>
        </w:tabs>
        <w:numPr>
          <w:ilvl w:val="0"/>
          <w:numId w:val="129"/>
        </w:numPr>
        <w:rPr>
          <w:rFonts w:ascii="Arial" w:cs="Arial" w:eastAsia="Arial" w:hAnsi="Arial"/>
          <w:sz w:val="27"/>
          <w:szCs w:val="27"/>
          <w:color w:val="auto"/>
          <w:vertAlign w:val="superscript"/>
        </w:rPr>
      </w:pPr>
      <w:r>
        <w:rPr>
          <w:rFonts w:ascii="Arial" w:cs="Arial" w:eastAsia="Arial" w:hAnsi="Arial"/>
          <w:sz w:val="18"/>
          <w:szCs w:val="18"/>
          <w:color w:val="auto"/>
        </w:rPr>
        <w:t>In the case of Notes issued on the Issue Date.</w:t>
      </w:r>
    </w:p>
    <w:p>
      <w:pPr>
        <w:ind w:left="444" w:hanging="444"/>
        <w:spacing w:after="0" w:line="180" w:lineRule="auto"/>
        <w:tabs>
          <w:tab w:leader="none" w:pos="444" w:val="left"/>
        </w:tabs>
        <w:numPr>
          <w:ilvl w:val="0"/>
          <w:numId w:val="130"/>
        </w:numPr>
        <w:rPr>
          <w:rFonts w:ascii="Arial" w:cs="Arial" w:eastAsia="Arial" w:hAnsi="Arial"/>
          <w:sz w:val="25"/>
          <w:szCs w:val="25"/>
          <w:color w:val="auto"/>
          <w:vertAlign w:val="superscript"/>
        </w:rPr>
      </w:pPr>
      <w:r>
        <w:rPr>
          <w:rFonts w:ascii="Arial" w:cs="Arial" w:eastAsia="Arial" w:hAnsi="Arial"/>
          <w:sz w:val="17"/>
          <w:szCs w:val="17"/>
          <w:color w:val="auto"/>
        </w:rPr>
        <w:t>In the case of Notes issued on the Issue Date.</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04"/>
          </w:cols>
          <w:pgMar w:left="436" w:top="490" w:right="459" w:bottom="1440" w:gutter="0" w:footer="0" w:header="0"/>
        </w:sectPr>
      </w:pPr>
    </w:p>
    <w:bookmarkStart w:id="133" w:name="page134"/>
    <w:bookmarkEnd w:id="133"/>
    <w:p>
      <w:pPr>
        <w:ind w:left="1164" w:hanging="173"/>
        <w:spacing w:after="0"/>
        <w:tabs>
          <w:tab w:leader="none" w:pos="116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Optional Redemption</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57" w:lineRule="auto"/>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Prior to April 15, 2028,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Arial" w:cs="Arial" w:eastAsia="Arial" w:hAnsi="Arial"/>
          <w:sz w:val="18"/>
          <w:szCs w:val="18"/>
          <w:u w:val="single" w:color="auto"/>
          <w:color w:val="auto"/>
        </w:rPr>
        <w:t>Make-Whole Redemption</w:t>
      </w:r>
      <w:r>
        <w:rPr>
          <w:rFonts w:ascii="Arial" w:cs="Arial" w:eastAsia="Arial" w:hAnsi="Arial"/>
          <w:sz w:val="18"/>
          <w:szCs w:val="18"/>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7" w:lineRule="exact"/>
        <w:rPr>
          <w:rFonts w:ascii="Arial" w:cs="Arial" w:eastAsia="Arial" w:hAnsi="Arial"/>
          <w:sz w:val="18"/>
          <w:szCs w:val="18"/>
          <w:color w:val="auto"/>
        </w:rPr>
      </w:pPr>
    </w:p>
    <w:p>
      <w:pPr>
        <w:ind w:left="4" w:right="80" w:firstLine="987"/>
        <w:spacing w:after="0" w:line="263" w:lineRule="auto"/>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any time on or after April 15, 2028,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84" w:lineRule="exact"/>
        <w:rPr>
          <w:sz w:val="20"/>
          <w:szCs w:val="20"/>
          <w:color w:val="auto"/>
        </w:rPr>
      </w:pPr>
    </w:p>
    <w:p>
      <w:pPr>
        <w:ind w:left="4" w:firstLine="987"/>
        <w:spacing w:after="0" w:line="284" w:lineRule="auto"/>
        <w:tabs>
          <w:tab w:leader="none" w:pos="1175"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Redemption for Changes in Withholding Tax</w:t>
      </w:r>
      <w:r>
        <w:rPr>
          <w:rFonts w:ascii="Arial" w:cs="Arial" w:eastAsia="Arial" w:hAnsi="Arial"/>
          <w:sz w:val="16"/>
          <w:szCs w:val="16"/>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w:t>
      </w:r>
    </w:p>
    <w:p>
      <w:pPr>
        <w:spacing w:after="0" w:line="2" w:lineRule="exact"/>
        <w:rPr>
          <w:rFonts w:ascii="Arial" w:cs="Arial" w:eastAsia="Arial" w:hAnsi="Arial"/>
          <w:sz w:val="16"/>
          <w:szCs w:val="16"/>
          <w:color w:val="auto"/>
        </w:rPr>
      </w:pPr>
    </w:p>
    <w:p>
      <w:pPr>
        <w:ind w:left="4" w:right="20" w:hanging="4"/>
        <w:spacing w:after="0" w:line="253" w:lineRule="auto"/>
        <w:tabs>
          <w:tab w:leader="none" w:pos="26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4"/>
          </w:cols>
          <w:pgMar w:left="436" w:top="490" w:right="459" w:bottom="1440" w:gutter="0" w:footer="0" w:header="0"/>
        </w:sectPr>
      </w:pPr>
    </w:p>
    <w:bookmarkStart w:id="134" w:name="page135"/>
    <w:bookmarkEnd w:id="134"/>
    <w:p>
      <w:pPr>
        <w:ind w:right="4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 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92" w:lineRule="exact"/>
        <w:rPr>
          <w:sz w:val="20"/>
          <w:szCs w:val="20"/>
          <w:color w:val="auto"/>
        </w:rPr>
      </w:pPr>
    </w:p>
    <w:p>
      <w:pPr>
        <w:ind w:firstLine="987"/>
        <w:spacing w:after="0" w:line="301" w:lineRule="auto"/>
        <w:tabs>
          <w:tab w:leader="none" w:pos="1171"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57" w:lineRule="exact"/>
        <w:rPr>
          <w:rFonts w:ascii="Arial" w:cs="Arial" w:eastAsia="Arial" w:hAnsi="Arial"/>
          <w:sz w:val="16"/>
          <w:szCs w:val="16"/>
          <w:color w:val="auto"/>
        </w:rPr>
      </w:pPr>
    </w:p>
    <w:p>
      <w:pPr>
        <w:ind w:right="120" w:firstLine="987"/>
        <w:spacing w:after="0" w:line="342" w:lineRule="auto"/>
        <w:tabs>
          <w:tab w:leader="none" w:pos="1171"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Offers To Purchase</w:t>
      </w:r>
      <w:r>
        <w:rPr>
          <w:rFonts w:ascii="Arial" w:cs="Arial" w:eastAsia="Arial" w:hAnsi="Arial"/>
          <w:sz w:val="16"/>
          <w:szCs w:val="16"/>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23" w:lineRule="exact"/>
        <w:rPr>
          <w:rFonts w:ascii="Arial" w:cs="Arial" w:eastAsia="Arial" w:hAnsi="Arial"/>
          <w:sz w:val="16"/>
          <w:szCs w:val="16"/>
          <w:color w:val="auto"/>
        </w:rPr>
      </w:pPr>
    </w:p>
    <w:p>
      <w:pPr>
        <w:ind w:right="120" w:firstLine="987"/>
        <w:spacing w:after="0" w:line="273" w:lineRule="auto"/>
        <w:tabs>
          <w:tab w:leader="none" w:pos="1171"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77" w:lineRule="exact"/>
        <w:rPr>
          <w:rFonts w:ascii="Arial" w:cs="Arial" w:eastAsia="Arial" w:hAnsi="Arial"/>
          <w:sz w:val="17"/>
          <w:szCs w:val="17"/>
          <w:color w:val="auto"/>
        </w:rPr>
      </w:pPr>
    </w:p>
    <w:p>
      <w:pPr>
        <w:ind w:left="1260" w:hanging="273"/>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this Note may be treated as the owner of this Note for all purposes.</w:t>
      </w:r>
    </w:p>
    <w:p>
      <w:pPr>
        <w:spacing w:after="0" w:line="225" w:lineRule="exact"/>
        <w:rPr>
          <w:rFonts w:ascii="Arial" w:cs="Arial" w:eastAsia="Arial" w:hAnsi="Arial"/>
          <w:sz w:val="18"/>
          <w:szCs w:val="18"/>
          <w:color w:val="auto"/>
        </w:rPr>
      </w:pPr>
    </w:p>
    <w:p>
      <w:pPr>
        <w:ind w:right="20" w:firstLine="987"/>
        <w:spacing w:after="0" w:line="263" w:lineRule="auto"/>
        <w:tabs>
          <w:tab w:leader="none" w:pos="125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80"/>
          </w:cols>
          <w:pgMar w:left="440" w:top="490" w:right="479" w:bottom="1440" w:gutter="0" w:footer="0" w:header="0"/>
        </w:sectPr>
      </w:pPr>
    </w:p>
    <w:bookmarkStart w:id="135" w:name="page136"/>
    <w:bookmarkEnd w:id="135"/>
    <w:p>
      <w:pPr>
        <w:ind w:right="20" w:firstLine="987"/>
        <w:spacing w:after="0" w:line="254" w:lineRule="auto"/>
        <w:tabs>
          <w:tab w:leader="none" w:pos="125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Amendment, Supplement, Waiver, Etc</w:t>
      </w:r>
      <w:r>
        <w:rPr>
          <w:rFonts w:ascii="Arial" w:cs="Arial" w:eastAsia="Arial" w:hAnsi="Arial"/>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94" w:lineRule="exact"/>
        <w:rPr>
          <w:rFonts w:ascii="Arial" w:cs="Arial" w:eastAsia="Arial" w:hAnsi="Arial"/>
          <w:sz w:val="18"/>
          <w:szCs w:val="18"/>
          <w:color w:val="auto"/>
        </w:rPr>
      </w:pPr>
    </w:p>
    <w:p>
      <w:pPr>
        <w:ind w:right="120" w:firstLine="987"/>
        <w:spacing w:after="0" w:line="257" w:lineRule="auto"/>
        <w:tabs>
          <w:tab w:leader="none" w:pos="126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7" w:lineRule="exact"/>
        <w:rPr>
          <w:rFonts w:ascii="Arial" w:cs="Arial" w:eastAsia="Arial" w:hAnsi="Arial"/>
          <w:sz w:val="18"/>
          <w:szCs w:val="18"/>
          <w:color w:val="auto"/>
        </w:rPr>
      </w:pPr>
    </w:p>
    <w:p>
      <w:pPr>
        <w:ind w:right="40" w:firstLine="987"/>
        <w:spacing w:after="0" w:line="263" w:lineRule="auto"/>
        <w:tabs>
          <w:tab w:leader="none" w:pos="126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Successor Corporation</w:t>
      </w:r>
      <w:r>
        <w:rPr>
          <w:rFonts w:ascii="Arial" w:cs="Arial" w:eastAsia="Arial" w:hAnsi="Arial"/>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83" w:lineRule="exact"/>
        <w:rPr>
          <w:rFonts w:ascii="Arial" w:cs="Arial" w:eastAsia="Arial" w:hAnsi="Arial"/>
          <w:sz w:val="18"/>
          <w:szCs w:val="18"/>
          <w:color w:val="auto"/>
        </w:rPr>
      </w:pPr>
    </w:p>
    <w:p>
      <w:pPr>
        <w:ind w:firstLine="987"/>
        <w:spacing w:after="0" w:line="271" w:lineRule="auto"/>
        <w:tabs>
          <w:tab w:leader="none" w:pos="126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Notwithstanding the foregoing, if after such acceleration but before a judgment or decree based on such acceleration is obtained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the Holders of a majority in aggregate principal amount of outstanding Notes may rescind and annul such acceleration if:</w:t>
      </w:r>
    </w:p>
    <w:p>
      <w:pPr>
        <w:spacing w:after="0" w:line="103" w:lineRule="exact"/>
        <w:rPr>
          <w:sz w:val="20"/>
          <w:szCs w:val="20"/>
          <w:color w:val="auto"/>
        </w:rPr>
      </w:pPr>
    </w:p>
    <w:p>
      <w:pPr>
        <w:ind w:left="440" w:right="620" w:firstLine="419"/>
        <w:spacing w:after="0" w:line="277" w:lineRule="auto"/>
        <w:tabs>
          <w:tab w:leader="none" w:pos="11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Events of Default, other than nonpayment of principal, premium, if any, or interest that has become due solely because of the acceleration, have been cured or waived;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0"/>
          </w:cols>
          <w:pgMar w:left="440" w:top="490" w:right="499" w:bottom="1440" w:gutter="0" w:footer="0" w:header="0"/>
        </w:sectPr>
      </w:pPr>
    </w:p>
    <w:bookmarkStart w:id="136" w:name="page137"/>
    <w:bookmarkEnd w:id="136"/>
    <w:p>
      <w:pPr>
        <w:ind w:left="440" w:right="60" w:firstLine="419"/>
        <w:spacing w:after="0" w:line="277" w:lineRule="auto"/>
        <w:tabs>
          <w:tab w:leader="none" w:pos="1118"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the payment of such interest is lawful, interest on overdue installments of interest and overdue principal, which has become due otherwise than by such declaration of acceleration, has been paid;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Issuer has paid the Trustee its reasonable compensation and reimbursed the Trustee for its expenses, disbursements and advances; and</w:t>
      </w:r>
    </w:p>
    <w:p>
      <w:pPr>
        <w:spacing w:after="0" w:line="151" w:lineRule="exact"/>
        <w:rPr>
          <w:rFonts w:ascii="Arial" w:cs="Arial" w:eastAsia="Arial" w:hAnsi="Arial"/>
          <w:sz w:val="15"/>
          <w:szCs w:val="15"/>
          <w:color w:val="auto"/>
        </w:rPr>
      </w:pPr>
    </w:p>
    <w:p>
      <w:pPr>
        <w:ind w:left="440" w:right="440" w:firstLine="419"/>
        <w:spacing w:after="0" w:line="277" w:lineRule="auto"/>
        <w:tabs>
          <w:tab w:leader="none" w:pos="111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8" w:lineRule="exact"/>
        <w:rPr>
          <w:sz w:val="20"/>
          <w:szCs w:val="20"/>
          <w:color w:val="auto"/>
        </w:rPr>
      </w:pPr>
    </w:p>
    <w:p>
      <w:pPr>
        <w:ind w:right="400" w:firstLine="987"/>
        <w:spacing w:after="0" w:line="308" w:lineRule="auto"/>
        <w:tabs>
          <w:tab w:leader="none" w:pos="1258"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Trustee Dealings with the Issuer</w:t>
      </w:r>
      <w:r>
        <w:rPr>
          <w:rFonts w:ascii="Arial" w:cs="Arial" w:eastAsia="Arial" w:hAnsi="Arial"/>
          <w:sz w:val="17"/>
          <w:szCs w:val="17"/>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46" w:lineRule="exact"/>
        <w:rPr>
          <w:rFonts w:ascii="Arial" w:cs="Arial" w:eastAsia="Arial" w:hAnsi="Arial"/>
          <w:sz w:val="17"/>
          <w:szCs w:val="17"/>
          <w:color w:val="auto"/>
        </w:rPr>
      </w:pPr>
    </w:p>
    <w:p>
      <w:pPr>
        <w:jc w:val="both"/>
        <w:ind w:right="180" w:firstLine="987"/>
        <w:spacing w:after="0" w:line="259" w:lineRule="auto"/>
        <w:tabs>
          <w:tab w:leader="none" w:pos="12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86" w:lineRule="exact"/>
        <w:rPr>
          <w:rFonts w:ascii="Arial" w:cs="Arial" w:eastAsia="Arial" w:hAnsi="Arial"/>
          <w:sz w:val="18"/>
          <w:szCs w:val="18"/>
          <w:color w:val="auto"/>
        </w:rPr>
      </w:pPr>
    </w:p>
    <w:p>
      <w:pPr>
        <w:ind w:right="260" w:firstLine="987"/>
        <w:spacing w:after="0" w:line="259" w:lineRule="auto"/>
        <w:tabs>
          <w:tab w:leader="none" w:pos="12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86" w:lineRule="exact"/>
        <w:rPr>
          <w:rFonts w:ascii="Arial" w:cs="Arial" w:eastAsia="Arial" w:hAnsi="Arial"/>
          <w:sz w:val="18"/>
          <w:szCs w:val="18"/>
          <w:color w:val="auto"/>
        </w:rPr>
      </w:pPr>
    </w:p>
    <w:p>
      <w:pPr>
        <w:jc w:val="both"/>
        <w:ind w:right="40" w:firstLine="987"/>
        <w:spacing w:after="0" w:line="263" w:lineRule="auto"/>
        <w:tabs>
          <w:tab w:leader="none" w:pos="12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the Trustee signs the certificate of authentication on the other side of this Note.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0"/>
          </w:cols>
          <w:pgMar w:left="440" w:top="490" w:right="459" w:bottom="1440" w:gutter="0" w:footer="0" w:header="0"/>
        </w:sectPr>
      </w:pPr>
    </w:p>
    <w:bookmarkStart w:id="137" w:name="page138"/>
    <w:bookmarkEnd w:id="137"/>
    <w:p>
      <w:pPr>
        <w:ind w:left="-120" w:firstLine="987"/>
        <w:spacing w:after="0" w:line="263" w:lineRule="auto"/>
        <w:tabs>
          <w:tab w:leader="none" w:pos="114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Governing Law</w:t>
      </w:r>
      <w:r>
        <w:rPr>
          <w:rFonts w:ascii="Arial" w:cs="Arial" w:eastAsia="Arial" w:hAnsi="Arial"/>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3" w:lineRule="exact"/>
        <w:rPr>
          <w:rFonts w:ascii="Arial" w:cs="Arial" w:eastAsia="Arial" w:hAnsi="Arial"/>
          <w:sz w:val="18"/>
          <w:szCs w:val="18"/>
          <w:color w:val="auto"/>
        </w:rPr>
      </w:pPr>
    </w:p>
    <w:p>
      <w:pPr>
        <w:ind w:left="-120" w:right="500" w:firstLine="987"/>
        <w:spacing w:after="0" w:line="263" w:lineRule="auto"/>
        <w:tabs>
          <w:tab w:leader="none" w:pos="113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Issuer will furnish to any Holder upon written request and without charge a copy of the Indenture. Requests may be made to:</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Crown European Holdings S.A.</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7 Rue Emmy Noether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93400 Saint-Ouen, France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Attn: Timothy Donahue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Telephone: 33 1 4918 4000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Facsimile: 33 1 4918 4001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0760"/>
          </w:cols>
          <w:pgMar w:left="560" w:top="490" w:right="5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or we assign and transfer this Note 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-19050</wp:posOffset>
            </wp:positionV>
            <wp:extent cx="51415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159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p>
      <w:pPr>
        <w:spacing w:after="0" w:line="252"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497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31750</wp:posOffset>
            </wp:positionV>
            <wp:extent cx="20231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28632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000"/>
          </w:cols>
          <w:pgMar w:left="440" w:top="490" w:right="45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OPTION OF HOLDER TO ELECT PURCHASE</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If you want to elect to have all or any part of this Note purchased by the Issuer pursuant to Section 4.08 of the Indenture, check the appropriate box:</w:t>
      </w:r>
    </w:p>
    <w:p>
      <w:pPr>
        <w:spacing w:after="0" w:line="21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-130175</wp:posOffset>
            </wp:positionV>
            <wp:extent cx="49720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7205" cy="154305"/>
                    </a:xfrm>
                    <a:prstGeom prst="rect">
                      <a:avLst/>
                    </a:prstGeom>
                    <a:noFill/>
                  </pic:spPr>
                </pic:pic>
              </a:graphicData>
            </a:graphic>
          </wp:anchor>
        </w:drawing>
      </w:r>
    </w:p>
    <w:p>
      <w:pPr>
        <w:spacing w:after="0" w:line="219"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If you want to have only part of the Note purchased by the Issuer pursuant to Section 4.08 of the Indenture, state the amount you elect to have purchased: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-10160</wp:posOffset>
            </wp:positionV>
            <wp:extent cx="16281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(€1,000 or any integral multiple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 not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purchased must be at least €100,000)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22371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9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(Sign exactly as your name appears on the face of</w:t>
      </w:r>
    </w:p>
    <w:p>
      <w:pPr>
        <w:spacing w:after="0" w:line="4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this Note)</w:t>
      </w:r>
    </w:p>
    <w:p>
      <w:pPr>
        <w:spacing w:after="0" w:line="40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5800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1000"/>
          </w:cols>
          <w:pgMar w:left="440" w:top="490" w:right="4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22"/>
          <w:szCs w:val="22"/>
          <w:color w:val="auto"/>
          <w:vertAlign w:val="superscript"/>
        </w:rPr>
        <w:t>*</w:t>
      </w:r>
    </w:p>
    <w:p>
      <w:pPr>
        <w:spacing w:after="0" w:line="18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2"/>
              </w:rPr>
              <w:t>Amount of decrease in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4"/>
              </w:rPr>
              <w:t>Amount of increase in</w:t>
            </w:r>
          </w:p>
        </w:tc>
        <w:tc>
          <w:tcPr>
            <w:tcW w:w="3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8"/>
              </w:rPr>
              <w:t>Principal Amount</w:t>
            </w: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48"/>
        </w:trPr>
        <w:tc>
          <w:tcPr>
            <w:tcW w:w="1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 Amount</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 Amount</w:t>
            </w:r>
          </w:p>
        </w:tc>
        <w:tc>
          <w:tcPr>
            <w:tcW w:w="34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7"/>
              </w:rPr>
              <w:t>of this Global Note</w:t>
            </w: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8"/>
        </w:trPr>
        <w:tc>
          <w:tcPr>
            <w:tcW w:w="1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4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3"/>
              </w:rPr>
              <w:t>following such decrease</w:t>
            </w: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 authorized</w:t>
            </w:r>
          </w:p>
        </w:tc>
      </w:tr>
      <w:tr>
        <w:trPr>
          <w:trHeight w:val="18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Date of Exchange</w:t>
            </w:r>
          </w:p>
        </w:tc>
        <w:tc>
          <w:tcPr>
            <w:tcW w:w="174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12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34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(or increase)</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signatory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7" w:lineRule="exact"/>
        <w:rPr>
          <w:sz w:val="20"/>
          <w:szCs w:val="20"/>
          <w:color w:val="auto"/>
        </w:rPr>
      </w:pPr>
    </w:p>
    <w:p>
      <w:pPr>
        <w:spacing w:after="0"/>
        <w:tabs>
          <w:tab w:leader="none" w:pos="200" w:val="left"/>
        </w:tabs>
        <w:rPr>
          <w:sz w:val="20"/>
          <w:szCs w:val="20"/>
          <w:color w:val="auto"/>
        </w:rPr>
      </w:pPr>
      <w:r>
        <w:rPr>
          <w:rFonts w:ascii="Arial" w:cs="Arial" w:eastAsia="Arial" w:hAnsi="Arial"/>
          <w:sz w:val="23"/>
          <w:szCs w:val="23"/>
          <w:color w:val="auto"/>
          <w:vertAlign w:val="superscript"/>
        </w:rPr>
        <w:t>*</w:t>
      </w:r>
      <w:r>
        <w:rPr>
          <w:sz w:val="20"/>
          <w:szCs w:val="20"/>
          <w:color w:val="auto"/>
        </w:rPr>
        <w:tab/>
      </w:r>
      <w:r>
        <w:rPr>
          <w:rFonts w:ascii="Arial" w:cs="Arial" w:eastAsia="Arial" w:hAnsi="Arial"/>
          <w:sz w:val="18"/>
          <w:szCs w:val="18"/>
          <w:color w:val="auto"/>
        </w:rPr>
        <w:t>Insert in Global Securities only.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A-1-12</w:t>
      </w:r>
    </w:p>
    <w:p>
      <w:pPr>
        <w:sectPr>
          <w:pgSz w:w="11900" w:h="16838" w:orient="portrait"/>
          <w:cols w:equalWidth="0" w:num="1">
            <w:col w:w="11020"/>
          </w:cols>
          <w:pgMar w:left="440" w:top="488" w:right="4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EXHIBIT A-2</w:t>
            </w:r>
          </w:p>
        </w:tc>
      </w:tr>
      <w:tr>
        <w:trPr>
          <w:trHeight w:val="453"/>
        </w:trPr>
        <w:tc>
          <w:tcPr>
            <w:tcW w:w="2260" w:type="dxa"/>
            <w:vAlign w:val="bottom"/>
          </w:tcPr>
          <w:p>
            <w:pPr>
              <w:spacing w:after="0"/>
              <w:rPr>
                <w:sz w:val="24"/>
                <w:szCs w:val="24"/>
                <w:color w:val="auto"/>
              </w:rPr>
            </w:pPr>
          </w:p>
        </w:tc>
        <w:tc>
          <w:tcPr>
            <w:tcW w:w="8480" w:type="dxa"/>
            <w:vAlign w:val="bottom"/>
            <w:gridSpan w:val="2"/>
          </w:tcPr>
          <w:p>
            <w:pPr>
              <w:jc w:val="center"/>
              <w:ind w:right="1890"/>
              <w:spacing w:after="0"/>
              <w:rPr>
                <w:sz w:val="20"/>
                <w:szCs w:val="20"/>
                <w:color w:val="auto"/>
              </w:rPr>
            </w:pPr>
            <w:r>
              <w:rPr>
                <w:rFonts w:ascii="Arial" w:cs="Arial" w:eastAsia="Arial" w:hAnsi="Arial"/>
                <w:sz w:val="18"/>
                <w:szCs w:val="18"/>
                <w:color w:val="auto"/>
                <w:w w:val="95"/>
              </w:rPr>
              <w:t>[FORM OF UNRESTRICTED NOTE]</w:t>
            </w:r>
          </w:p>
        </w:tc>
        <w:tc>
          <w:tcPr>
            <w:tcW w:w="28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480" w:type="dxa"/>
            <w:vAlign w:val="bottom"/>
            <w:gridSpan w:val="2"/>
          </w:tcPr>
          <w:p>
            <w:pPr>
              <w:jc w:val="center"/>
              <w:ind w:right="1890"/>
              <w:spacing w:after="0"/>
              <w:rPr>
                <w:sz w:val="20"/>
                <w:szCs w:val="20"/>
                <w:color w:val="auto"/>
              </w:rPr>
            </w:pPr>
            <w:r>
              <w:rPr>
                <w:rFonts w:ascii="Arial" w:cs="Arial" w:eastAsia="Arial" w:hAnsi="Arial"/>
                <w:sz w:val="18"/>
                <w:szCs w:val="18"/>
                <w:b w:val="1"/>
                <w:bCs w:val="1"/>
                <w:color w:val="auto"/>
                <w:w w:val="99"/>
              </w:rPr>
              <w:t>CROWN EUROPEAN HOLDINGS S.A.</w:t>
            </w:r>
          </w:p>
        </w:tc>
        <w:tc>
          <w:tcPr>
            <w:tcW w:w="28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480" w:type="dxa"/>
            <w:vAlign w:val="bottom"/>
            <w:gridSpan w:val="2"/>
          </w:tcPr>
          <w:p>
            <w:pPr>
              <w:jc w:val="center"/>
              <w:ind w:right="1910"/>
              <w:spacing w:after="0"/>
              <w:rPr>
                <w:sz w:val="20"/>
                <w:szCs w:val="20"/>
                <w:color w:val="auto"/>
              </w:rPr>
            </w:pPr>
            <w:r>
              <w:rPr>
                <w:rFonts w:ascii="Arial" w:cs="Arial" w:eastAsia="Arial" w:hAnsi="Arial"/>
                <w:sz w:val="18"/>
                <w:szCs w:val="18"/>
                <w:color w:val="auto"/>
                <w:w w:val="93"/>
              </w:rPr>
              <w:t>5.000% SENIOR NOTE DUE 2028</w:t>
            </w:r>
          </w:p>
        </w:tc>
        <w:tc>
          <w:tcPr>
            <w:tcW w:w="28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480" w:type="dxa"/>
            <w:vAlign w:val="bottom"/>
            <w:gridSpan w:val="2"/>
          </w:tcPr>
          <w:p>
            <w:pPr>
              <w:jc w:val="center"/>
              <w:ind w:right="189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b w:val="1"/>
                <w:bCs w:val="1"/>
                <w:i w:val="1"/>
                <w:iCs w:val="1"/>
                <w:color w:val="auto"/>
                <w:w w:val="88"/>
              </w:rPr>
              <w:t>Insert Global Note Legend</w:t>
            </w:r>
            <w:r>
              <w:rPr>
                <w:rFonts w:ascii="Arial" w:cs="Arial" w:eastAsia="Arial" w:hAnsi="Arial"/>
                <w:sz w:val="18"/>
                <w:szCs w:val="18"/>
                <w:b w:val="1"/>
                <w:bCs w:val="1"/>
                <w:color w:val="auto"/>
                <w:w w:val="88"/>
              </w:rPr>
              <w:t xml:space="preserve">, </w:t>
            </w:r>
            <w:r>
              <w:rPr>
                <w:rFonts w:ascii="Arial" w:cs="Arial" w:eastAsia="Arial" w:hAnsi="Arial"/>
                <w:sz w:val="18"/>
                <w:szCs w:val="18"/>
                <w:b w:val="1"/>
                <w:bCs w:val="1"/>
                <w:i w:val="1"/>
                <w:iCs w:val="1"/>
                <w:color w:val="auto"/>
                <w:w w:val="88"/>
              </w:rPr>
              <w:t>if applicable</w:t>
            </w:r>
            <w:r>
              <w:rPr>
                <w:rFonts w:ascii="Arial" w:cs="Arial" w:eastAsia="Arial" w:hAnsi="Arial"/>
                <w:sz w:val="18"/>
                <w:szCs w:val="18"/>
                <w:b w:val="1"/>
                <w:bCs w:val="1"/>
                <w:color w:val="auto"/>
                <w:w w:val="88"/>
              </w:rPr>
              <w:t>]</w:t>
            </w:r>
          </w:p>
        </w:tc>
        <w:tc>
          <w:tcPr>
            <w:tcW w:w="280" w:type="dxa"/>
            <w:vAlign w:val="bottom"/>
          </w:tcPr>
          <w:p>
            <w:pPr>
              <w:spacing w:after="0"/>
              <w:rPr>
                <w:sz w:val="24"/>
                <w:szCs w:val="24"/>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No. [  ]</w:t>
            </w:r>
          </w:p>
        </w:tc>
        <w:tc>
          <w:tcPr>
            <w:tcW w:w="8480" w:type="dxa"/>
            <w:vAlign w:val="bottom"/>
            <w:gridSpan w:val="2"/>
          </w:tcPr>
          <w:p>
            <w:pPr>
              <w:jc w:val="right"/>
              <w:ind w:right="110"/>
              <w:spacing w:after="0"/>
              <w:rPr>
                <w:sz w:val="20"/>
                <w:szCs w:val="20"/>
                <w:color w:val="auto"/>
              </w:rPr>
            </w:pPr>
            <w:r>
              <w:rPr>
                <w:rFonts w:ascii="Arial" w:cs="Arial" w:eastAsia="Arial" w:hAnsi="Arial"/>
                <w:sz w:val="18"/>
                <w:szCs w:val="18"/>
                <w:color w:val="auto"/>
              </w:rPr>
              <w:t>ISIN No.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tcPr>
          <w:p>
            <w:pPr>
              <w:spacing w:after="0"/>
              <w:rPr>
                <w:sz w:val="18"/>
                <w:szCs w:val="18"/>
                <w:color w:val="auto"/>
              </w:rPr>
            </w:pPr>
          </w:p>
        </w:tc>
        <w:tc>
          <w:tcPr>
            <w:tcW w:w="8480" w:type="dxa"/>
            <w:vAlign w:val="bottom"/>
            <w:gridSpan w:val="2"/>
          </w:tcPr>
          <w:p>
            <w:pPr>
              <w:jc w:val="right"/>
              <w:ind w:right="110"/>
              <w:spacing w:after="0"/>
              <w:rPr>
                <w:sz w:val="20"/>
                <w:szCs w:val="20"/>
                <w:color w:val="auto"/>
              </w:rPr>
            </w:pPr>
            <w:r>
              <w:rPr>
                <w:rFonts w:ascii="Arial" w:cs="Arial" w:eastAsia="Arial" w:hAnsi="Arial"/>
                <w:sz w:val="18"/>
                <w:szCs w:val="18"/>
                <w:color w:val="auto"/>
              </w:rPr>
              <w:t>Common Code No.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6"/>
          <w:szCs w:val="16"/>
          <w:color w:val="auto"/>
        </w:rPr>
        <w:t xml:space="preserve">CROWN EUROPEAN HOLDINGS S.A.,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as issuer (the “</w:t>
      </w:r>
      <w:r>
        <w:rPr>
          <w:rFonts w:ascii="Arial" w:cs="Arial" w:eastAsia="Arial" w:hAnsi="Arial"/>
          <w:sz w:val="16"/>
          <w:szCs w:val="16"/>
          <w:u w:val="single" w:color="auto"/>
          <w:color w:val="auto"/>
        </w:rPr>
        <w:t>Issuer</w:t>
      </w:r>
      <w:r>
        <w:rPr>
          <w:rFonts w:ascii="Arial" w:cs="Arial" w:eastAsia="Arial" w:hAnsi="Arial"/>
          <w:sz w:val="16"/>
          <w:szCs w:val="16"/>
          <w:color w:val="auto"/>
        </w:rPr>
        <w:t>”), for value received, promises to pay to USB</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Nominees (UK) Limited or registered assigns the principal sum of [ ] (or such other principal amount as shall be set forth in the Schedule of Exchanges of Interests in Global Note attached hereto), on May 15, 2028.</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May 15 and November 15 commencing November 15,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Record Dates: May 1 and November 1 (whether or not a Business Day).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472" w:right="4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Issuer has caused this Note to be signed by two of its duly authorized officers.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EUROPEAN HOLDINGS S.A.</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6350</wp:posOffset>
            </wp:positionV>
            <wp:extent cx="26060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6350</wp:posOffset>
            </wp:positionV>
            <wp:extent cx="26060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9039"/>
          </w:cols>
          <w:pgMar w:left="1420" w:top="490" w:right="1440" w:bottom="1440" w:gutter="0" w:footer="0" w:header="0"/>
        </w:sectPr>
      </w:pPr>
    </w:p>
    <w:bookmarkStart w:id="143" w:name="page144"/>
    <w:bookmarkEnd w:id="143"/>
    <w:p>
      <w:pPr>
        <w:ind w:left="4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5.000% Senior Notes due 2028 referred to in the within-mentioned Indenture.</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U.S. BANK TRUST COMPANY, NATIONAL</w:t>
      </w:r>
    </w:p>
    <w:p>
      <w:pPr>
        <w:spacing w:after="0" w:line="3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ASSOCIATION, as Trustee</w:t>
      </w:r>
    </w:p>
    <w:p>
      <w:pPr>
        <w:spacing w:after="0" w:line="23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6350</wp:posOffset>
            </wp:positionV>
            <wp:extent cx="26060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490" w:right="1440" w:bottom="1440" w:gutter="0" w:footer="0" w:header="0"/>
        </w:sectPr>
      </w:pPr>
    </w:p>
    <w:bookmarkStart w:id="144" w:name="page145"/>
    <w:bookmarkEnd w:id="144"/>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[FORM OF REVERSE OF UNRESTRICTED NOTE]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CROWN EUROPEAN HOLDINGS S.A.</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5.000% SENIOR NOTE DUE 2028</w:t>
      </w:r>
    </w:p>
    <w:p>
      <w:pPr>
        <w:spacing w:after="0" w:line="225" w:lineRule="exact"/>
        <w:rPr>
          <w:sz w:val="20"/>
          <w:szCs w:val="20"/>
          <w:color w:val="auto"/>
        </w:rPr>
      </w:pPr>
    </w:p>
    <w:p>
      <w:pPr>
        <w:ind w:left="4" w:firstLine="987"/>
        <w:spacing w:after="0" w:line="220" w:lineRule="auto"/>
        <w:tabs>
          <w:tab w:leader="none" w:pos="117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CROWN EUROPEAN HOLDINGS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as issuer (the “</w:t>
      </w:r>
      <w:r>
        <w:rPr>
          <w:rFonts w:ascii="Arial" w:cs="Arial" w:eastAsia="Arial" w:hAnsi="Arial"/>
          <w:sz w:val="18"/>
          <w:szCs w:val="18"/>
          <w:u w:val="single" w:color="auto"/>
          <w:color w:val="auto"/>
        </w:rPr>
        <w:t>Issuer</w:t>
      </w:r>
      <w:r>
        <w:rPr>
          <w:rFonts w:ascii="Arial" w:cs="Arial" w:eastAsia="Arial" w:hAnsi="Arial"/>
          <w:sz w:val="18"/>
          <w:szCs w:val="18"/>
          <w:color w:val="auto"/>
        </w:rPr>
        <w:t>”), promises to pay interest on the principal amount set forth on the face hereof at a rate of 5.000% per annum. Interest hereon will accrue from and including the most recent date to which interest has been paid or, if no interest has been paid, from and including May 18, 2023</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to but excluding the date on which interest is paid. Interest shall be payable in arrears on each May 15 and November 15 commencing November 15, 2023</w:t>
      </w:r>
      <w:r>
        <w:rPr>
          <w:rFonts w:ascii="Arial" w:cs="Arial" w:eastAsia="Arial" w:hAnsi="Arial"/>
          <w:sz w:val="26"/>
          <w:szCs w:val="26"/>
          <w:color w:val="auto"/>
          <w:vertAlign w:val="superscript"/>
        </w:rPr>
        <w:t>4</w:t>
      </w:r>
      <w:r>
        <w:rPr>
          <w:rFonts w:ascii="Arial" w:cs="Arial" w:eastAsia="Arial" w:hAnsi="Arial"/>
          <w:sz w:val="18"/>
          <w:szCs w:val="18"/>
          <w:color w:val="auto"/>
        </w:rPr>
        <w:t>.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204" w:lineRule="exact"/>
        <w:rPr>
          <w:rFonts w:ascii="Arial" w:cs="Arial" w:eastAsia="Arial" w:hAnsi="Arial"/>
          <w:sz w:val="18"/>
          <w:szCs w:val="18"/>
          <w:color w:val="auto"/>
        </w:rPr>
      </w:pPr>
    </w:p>
    <w:p>
      <w:pPr>
        <w:ind w:left="4" w:firstLine="987"/>
        <w:spacing w:after="0" w:line="259" w:lineRule="auto"/>
        <w:tabs>
          <w:tab w:leader="none" w:pos="117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86" w:lineRule="exact"/>
        <w:rPr>
          <w:rFonts w:ascii="Arial" w:cs="Arial" w:eastAsia="Arial" w:hAnsi="Arial"/>
          <w:sz w:val="18"/>
          <w:szCs w:val="18"/>
          <w:color w:val="auto"/>
        </w:rPr>
      </w:pPr>
    </w:p>
    <w:p>
      <w:pPr>
        <w:ind w:left="4" w:right="20" w:firstLine="987"/>
        <w:spacing w:after="0" w:line="263" w:lineRule="auto"/>
        <w:tabs>
          <w:tab w:leader="none" w:pos="117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Paying Agent, Registrar and Transfer Agent</w:t>
      </w:r>
      <w:r>
        <w:rPr>
          <w:rFonts w:ascii="Arial" w:cs="Arial" w:eastAsia="Arial" w:hAnsi="Arial"/>
          <w:sz w:val="18"/>
          <w:szCs w:val="18"/>
          <w:color w:val="auto"/>
        </w:rPr>
        <w:t>. Initially, Elavon Financial Services DAC, in Dublin will act as Paying Agent, Registrar and Transfer Agent. The Issuer may change any Paying Agent or Registrar without notice. The Issuer or any Affiliate thereof may act as Paying Agent or Registrar.</w:t>
      </w:r>
    </w:p>
    <w:p>
      <w:pPr>
        <w:spacing w:after="0" w:line="183" w:lineRule="exact"/>
        <w:rPr>
          <w:rFonts w:ascii="Arial" w:cs="Arial" w:eastAsia="Arial" w:hAnsi="Arial"/>
          <w:sz w:val="18"/>
          <w:szCs w:val="18"/>
          <w:color w:val="auto"/>
        </w:rPr>
      </w:pPr>
    </w:p>
    <w:p>
      <w:pPr>
        <w:ind w:left="1164" w:hanging="173"/>
        <w:spacing w:after="0"/>
        <w:tabs>
          <w:tab w:leader="none" w:pos="116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Issuer issued 5.000% Senior Notes due 2028 (the “</w:t>
      </w:r>
      <w:r>
        <w:rPr>
          <w:rFonts w:ascii="Arial" w:cs="Arial" w:eastAsia="Arial" w:hAnsi="Arial"/>
          <w:sz w:val="17"/>
          <w:szCs w:val="17"/>
          <w:u w:val="single" w:color="auto"/>
          <w:color w:val="auto"/>
        </w:rPr>
        <w:t>Notes</w:t>
      </w:r>
      <w:r>
        <w:rPr>
          <w:rFonts w:ascii="Arial" w:cs="Arial" w:eastAsia="Arial" w:hAnsi="Arial"/>
          <w:sz w:val="17"/>
          <w:szCs w:val="17"/>
          <w:color w:val="auto"/>
        </w:rPr>
        <w:t>”) under an Indenture dated as of May 18, 2023 (the</w:t>
      </w:r>
    </w:p>
    <w:p>
      <w:pPr>
        <w:spacing w:after="0" w:line="35"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U.S. Bank Trust Company, National Association (the “</w:t>
      </w:r>
      <w:r>
        <w:rPr>
          <w:rFonts w:ascii="Arial" w:cs="Arial" w:eastAsia="Arial" w:hAnsi="Arial"/>
          <w:sz w:val="18"/>
          <w:szCs w:val="18"/>
          <w:u w:val="single" w:color="auto"/>
          <w:color w:val="auto"/>
        </w:rPr>
        <w:t>Trustee</w:t>
      </w:r>
      <w:r>
        <w:rPr>
          <w:rFonts w:ascii="Arial" w:cs="Arial" w:eastAsia="Arial" w:hAnsi="Arial"/>
          <w:sz w:val="18"/>
          <w:szCs w:val="18"/>
          <w:color w:val="auto"/>
        </w:rPr>
        <w:t>”), Elavon Financial Services DAC, as paying agent (the “</w:t>
      </w:r>
      <w:r>
        <w:rPr>
          <w:rFonts w:ascii="Arial" w:cs="Arial" w:eastAsia="Arial" w:hAnsi="Arial"/>
          <w:sz w:val="18"/>
          <w:szCs w:val="18"/>
          <w:u w:val="single" w:color="auto"/>
          <w:color w:val="auto"/>
        </w:rPr>
        <w:t>Paying Agent</w:t>
      </w:r>
      <w:r>
        <w:rPr>
          <w:rFonts w:ascii="Arial" w:cs="Arial" w:eastAsia="Arial" w:hAnsi="Arial"/>
          <w:sz w:val="18"/>
          <w:szCs w:val="18"/>
          <w:color w:val="auto"/>
        </w:rPr>
        <w:t>”), registrar (the “</w:t>
      </w:r>
      <w:r>
        <w:rPr>
          <w:rFonts w:ascii="Arial" w:cs="Arial" w:eastAsia="Arial" w:hAnsi="Arial"/>
          <w:sz w:val="18"/>
          <w:szCs w:val="18"/>
          <w:u w:val="single" w:color="auto"/>
          <w:color w:val="auto"/>
        </w:rPr>
        <w:t>Registrar</w:t>
      </w:r>
      <w:r>
        <w:rPr>
          <w:rFonts w:ascii="Arial" w:cs="Arial" w:eastAsia="Arial" w:hAnsi="Arial"/>
          <w:sz w:val="18"/>
          <w:szCs w:val="18"/>
          <w:color w:val="auto"/>
        </w:rPr>
        <w:t>”) and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 w:lineRule="exact"/>
        <w:rPr>
          <w:sz w:val="20"/>
          <w:szCs w:val="20"/>
          <w:color w:val="auto"/>
        </w:rPr>
      </w:pPr>
    </w:p>
    <w:p>
      <w:pPr>
        <w:ind w:left="444" w:hanging="444"/>
        <w:spacing w:after="0"/>
        <w:tabs>
          <w:tab w:leader="none" w:pos="444" w:val="left"/>
        </w:tabs>
        <w:numPr>
          <w:ilvl w:val="0"/>
          <w:numId w:val="142"/>
        </w:numPr>
        <w:rPr>
          <w:rFonts w:ascii="Arial" w:cs="Arial" w:eastAsia="Arial" w:hAnsi="Arial"/>
          <w:sz w:val="27"/>
          <w:szCs w:val="27"/>
          <w:color w:val="auto"/>
          <w:vertAlign w:val="superscript"/>
        </w:rPr>
      </w:pPr>
      <w:r>
        <w:rPr>
          <w:rFonts w:ascii="Arial" w:cs="Arial" w:eastAsia="Arial" w:hAnsi="Arial"/>
          <w:sz w:val="18"/>
          <w:szCs w:val="18"/>
          <w:color w:val="auto"/>
        </w:rPr>
        <w:t>In the case of Notes issued on the Issue Date.</w:t>
      </w:r>
    </w:p>
    <w:p>
      <w:pPr>
        <w:ind w:left="444" w:hanging="444"/>
        <w:spacing w:after="0" w:line="180" w:lineRule="auto"/>
        <w:tabs>
          <w:tab w:leader="none" w:pos="444" w:val="left"/>
        </w:tabs>
        <w:numPr>
          <w:ilvl w:val="0"/>
          <w:numId w:val="143"/>
        </w:numPr>
        <w:rPr>
          <w:rFonts w:ascii="Arial" w:cs="Arial" w:eastAsia="Arial" w:hAnsi="Arial"/>
          <w:sz w:val="25"/>
          <w:szCs w:val="25"/>
          <w:color w:val="auto"/>
          <w:vertAlign w:val="superscript"/>
        </w:rPr>
      </w:pPr>
      <w:r>
        <w:rPr>
          <w:rFonts w:ascii="Arial" w:cs="Arial" w:eastAsia="Arial" w:hAnsi="Arial"/>
          <w:sz w:val="17"/>
          <w:szCs w:val="17"/>
          <w:color w:val="auto"/>
        </w:rPr>
        <w:t>In the case of Notes issued on the Issue Date.</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04"/>
          </w:cols>
          <w:pgMar w:left="436" w:top="490" w:right="459" w:bottom="1440" w:gutter="0" w:footer="0" w:header="0"/>
        </w:sectPr>
      </w:pPr>
    </w:p>
    <w:bookmarkStart w:id="145" w:name="page146"/>
    <w:bookmarkEnd w:id="145"/>
    <w:p>
      <w:pPr>
        <w:ind w:left="1160" w:hanging="173"/>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Optional Redemption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7"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 to April 15, 2028,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Arial" w:cs="Arial" w:eastAsia="Arial" w:hAnsi="Arial"/>
          <w:sz w:val="18"/>
          <w:szCs w:val="18"/>
          <w:u w:val="single" w:color="auto"/>
          <w:color w:val="auto"/>
        </w:rPr>
        <w:t>Make-Whole Redemption</w:t>
      </w:r>
      <w:r>
        <w:rPr>
          <w:rFonts w:ascii="Arial" w:cs="Arial" w:eastAsia="Arial" w:hAnsi="Arial"/>
          <w:sz w:val="18"/>
          <w:szCs w:val="18"/>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7" w:lineRule="exact"/>
        <w:rPr>
          <w:rFonts w:ascii="Arial" w:cs="Arial" w:eastAsia="Arial" w:hAnsi="Arial"/>
          <w:sz w:val="18"/>
          <w:szCs w:val="18"/>
          <w:color w:val="auto"/>
        </w:rPr>
      </w:pPr>
    </w:p>
    <w:p>
      <w:pPr>
        <w:ind w:right="80" w:firstLine="987"/>
        <w:spacing w:after="0" w:line="263"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any time on or after April 15, 2028,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this Indenture.</w:t>
      </w:r>
    </w:p>
    <w:p>
      <w:pPr>
        <w:spacing w:after="0" w:line="184" w:lineRule="exact"/>
        <w:rPr>
          <w:sz w:val="20"/>
          <w:szCs w:val="20"/>
          <w:color w:val="auto"/>
        </w:rPr>
      </w:pPr>
    </w:p>
    <w:p>
      <w:pPr>
        <w:ind w:firstLine="987"/>
        <w:spacing w:after="0" w:line="269" w:lineRule="auto"/>
        <w:tabs>
          <w:tab w:leader="none" w:pos="1171"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Redemption for Changes in Withholding Tax</w:t>
      </w:r>
      <w:r>
        <w:rPr>
          <w:rFonts w:ascii="Arial" w:cs="Arial" w:eastAsia="Arial" w:hAnsi="Arial"/>
          <w:sz w:val="17"/>
          <w:szCs w:val="17"/>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00"/>
          </w:cols>
          <w:pgMar w:left="440" w:top="490" w:right="459" w:bottom="1440" w:gutter="0" w:footer="0" w:header="0"/>
        </w:sectPr>
      </w:pPr>
    </w:p>
    <w:bookmarkStart w:id="146" w:name="page147"/>
    <w:bookmarkEnd w:id="146"/>
    <w:p>
      <w:pPr>
        <w:ind w:right="4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 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92" w:lineRule="exact"/>
        <w:rPr>
          <w:sz w:val="20"/>
          <w:szCs w:val="20"/>
          <w:color w:val="auto"/>
        </w:rPr>
      </w:pPr>
    </w:p>
    <w:p>
      <w:pPr>
        <w:ind w:firstLine="987"/>
        <w:spacing w:after="0" w:line="301" w:lineRule="auto"/>
        <w:tabs>
          <w:tab w:leader="none" w:pos="1171"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57" w:lineRule="exact"/>
        <w:rPr>
          <w:rFonts w:ascii="Arial" w:cs="Arial" w:eastAsia="Arial" w:hAnsi="Arial"/>
          <w:sz w:val="16"/>
          <w:szCs w:val="16"/>
          <w:color w:val="auto"/>
        </w:rPr>
      </w:pPr>
    </w:p>
    <w:p>
      <w:pPr>
        <w:ind w:right="120" w:firstLine="987"/>
        <w:spacing w:after="0" w:line="342" w:lineRule="auto"/>
        <w:tabs>
          <w:tab w:leader="none" w:pos="1171"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Offers To Purchase</w:t>
      </w:r>
      <w:r>
        <w:rPr>
          <w:rFonts w:ascii="Arial" w:cs="Arial" w:eastAsia="Arial" w:hAnsi="Arial"/>
          <w:sz w:val="16"/>
          <w:szCs w:val="16"/>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23" w:lineRule="exact"/>
        <w:rPr>
          <w:rFonts w:ascii="Arial" w:cs="Arial" w:eastAsia="Arial" w:hAnsi="Arial"/>
          <w:sz w:val="16"/>
          <w:szCs w:val="16"/>
          <w:color w:val="auto"/>
        </w:rPr>
      </w:pPr>
    </w:p>
    <w:p>
      <w:pPr>
        <w:ind w:right="120" w:firstLine="987"/>
        <w:spacing w:after="0" w:line="273" w:lineRule="auto"/>
        <w:tabs>
          <w:tab w:leader="none" w:pos="1171"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77" w:lineRule="exact"/>
        <w:rPr>
          <w:rFonts w:ascii="Arial" w:cs="Arial" w:eastAsia="Arial" w:hAnsi="Arial"/>
          <w:sz w:val="17"/>
          <w:szCs w:val="17"/>
          <w:color w:val="auto"/>
        </w:rPr>
      </w:pPr>
    </w:p>
    <w:p>
      <w:pPr>
        <w:ind w:left="1260" w:hanging="273"/>
        <w:spacing w:after="0"/>
        <w:tabs>
          <w:tab w:leader="none" w:pos="12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this Note may be treated as the owner of this Note for all purposes.</w:t>
      </w:r>
    </w:p>
    <w:p>
      <w:pPr>
        <w:spacing w:after="0" w:line="225" w:lineRule="exact"/>
        <w:rPr>
          <w:rFonts w:ascii="Arial" w:cs="Arial" w:eastAsia="Arial" w:hAnsi="Arial"/>
          <w:sz w:val="18"/>
          <w:szCs w:val="18"/>
          <w:color w:val="auto"/>
        </w:rPr>
      </w:pPr>
    </w:p>
    <w:p>
      <w:pPr>
        <w:ind w:right="20" w:firstLine="987"/>
        <w:spacing w:after="0" w:line="263" w:lineRule="auto"/>
        <w:tabs>
          <w:tab w:leader="none" w:pos="125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80"/>
          </w:cols>
          <w:pgMar w:left="440" w:top="490" w:right="479" w:bottom="1440" w:gutter="0" w:footer="0" w:header="0"/>
        </w:sectPr>
      </w:pPr>
    </w:p>
    <w:bookmarkStart w:id="147" w:name="page148"/>
    <w:bookmarkEnd w:id="147"/>
    <w:p>
      <w:pPr>
        <w:ind w:right="20" w:firstLine="987"/>
        <w:spacing w:after="0" w:line="254" w:lineRule="auto"/>
        <w:tabs>
          <w:tab w:leader="none" w:pos="125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Amendment, Supplement, Waiver, Etc</w:t>
      </w:r>
      <w:r>
        <w:rPr>
          <w:rFonts w:ascii="Arial" w:cs="Arial" w:eastAsia="Arial" w:hAnsi="Arial"/>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94" w:lineRule="exact"/>
        <w:rPr>
          <w:rFonts w:ascii="Arial" w:cs="Arial" w:eastAsia="Arial" w:hAnsi="Arial"/>
          <w:sz w:val="18"/>
          <w:szCs w:val="18"/>
          <w:color w:val="auto"/>
        </w:rPr>
      </w:pPr>
    </w:p>
    <w:p>
      <w:pPr>
        <w:ind w:right="120" w:firstLine="987"/>
        <w:spacing w:after="0" w:line="257" w:lineRule="auto"/>
        <w:tabs>
          <w:tab w:leader="none" w:pos="126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7" w:lineRule="exact"/>
        <w:rPr>
          <w:rFonts w:ascii="Arial" w:cs="Arial" w:eastAsia="Arial" w:hAnsi="Arial"/>
          <w:sz w:val="18"/>
          <w:szCs w:val="18"/>
          <w:color w:val="auto"/>
        </w:rPr>
      </w:pPr>
    </w:p>
    <w:p>
      <w:pPr>
        <w:ind w:right="40" w:firstLine="987"/>
        <w:spacing w:after="0" w:line="263" w:lineRule="auto"/>
        <w:tabs>
          <w:tab w:leader="none" w:pos="126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Successor Corporation</w:t>
      </w:r>
      <w:r>
        <w:rPr>
          <w:rFonts w:ascii="Arial" w:cs="Arial" w:eastAsia="Arial" w:hAnsi="Arial"/>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83" w:lineRule="exact"/>
        <w:rPr>
          <w:rFonts w:ascii="Arial" w:cs="Arial" w:eastAsia="Arial" w:hAnsi="Arial"/>
          <w:sz w:val="18"/>
          <w:szCs w:val="18"/>
          <w:color w:val="auto"/>
        </w:rPr>
      </w:pPr>
    </w:p>
    <w:p>
      <w:pPr>
        <w:ind w:firstLine="987"/>
        <w:spacing w:after="0" w:line="271" w:lineRule="auto"/>
        <w:tabs>
          <w:tab w:leader="none" w:pos="1261"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Notwithstanding the foregoing, if after such acceleration but before a judgment or decree based on such acceleration is obtained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the Holders of a majority in aggregate principal amount of outstanding Notes may rescind and annul such acceleration if:</w:t>
      </w:r>
    </w:p>
    <w:p>
      <w:pPr>
        <w:spacing w:after="0" w:line="103" w:lineRule="exact"/>
        <w:rPr>
          <w:sz w:val="20"/>
          <w:szCs w:val="20"/>
          <w:color w:val="auto"/>
        </w:rPr>
      </w:pPr>
    </w:p>
    <w:p>
      <w:pPr>
        <w:ind w:left="440" w:right="620" w:firstLine="419"/>
        <w:spacing w:after="0" w:line="277" w:lineRule="auto"/>
        <w:tabs>
          <w:tab w:leader="none" w:pos="11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Events of Default, other than nonpayment of principal, premium, if any, or interest that has become due solely because of the acceleration, have been cured or waived;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0960"/>
          </w:cols>
          <w:pgMar w:left="440" w:top="490" w:right="499" w:bottom="1440" w:gutter="0" w:footer="0" w:header="0"/>
        </w:sectPr>
      </w:pPr>
    </w:p>
    <w:bookmarkStart w:id="148" w:name="page149"/>
    <w:bookmarkEnd w:id="148"/>
    <w:p>
      <w:pPr>
        <w:ind w:left="440" w:right="60" w:firstLine="419"/>
        <w:spacing w:after="0" w:line="277" w:lineRule="auto"/>
        <w:tabs>
          <w:tab w:leader="none" w:pos="11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the payment of such interest is lawful, interest on overdue installments of interest and overdue principal, which has become due otherwise than by such declaration of acceleration, has been paid;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Issuer has paid the Trustee its reasonable compensation and reimbursed the Trustee for its expenses, disbursements and advances; and</w:t>
      </w:r>
    </w:p>
    <w:p>
      <w:pPr>
        <w:spacing w:after="0" w:line="151" w:lineRule="exact"/>
        <w:rPr>
          <w:rFonts w:ascii="Arial" w:cs="Arial" w:eastAsia="Arial" w:hAnsi="Arial"/>
          <w:sz w:val="15"/>
          <w:szCs w:val="15"/>
          <w:color w:val="auto"/>
        </w:rPr>
      </w:pPr>
    </w:p>
    <w:p>
      <w:pPr>
        <w:ind w:left="440" w:right="440" w:firstLine="419"/>
        <w:spacing w:after="0" w:line="277" w:lineRule="auto"/>
        <w:tabs>
          <w:tab w:leader="none" w:pos="11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8" w:lineRule="exact"/>
        <w:rPr>
          <w:sz w:val="20"/>
          <w:szCs w:val="20"/>
          <w:color w:val="auto"/>
        </w:rPr>
      </w:pPr>
    </w:p>
    <w:p>
      <w:pPr>
        <w:ind w:right="400" w:firstLine="987"/>
        <w:spacing w:after="0" w:line="308" w:lineRule="auto"/>
        <w:tabs>
          <w:tab w:leader="none" w:pos="125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Trustee Dealings with the Issuer</w:t>
      </w:r>
      <w:r>
        <w:rPr>
          <w:rFonts w:ascii="Arial" w:cs="Arial" w:eastAsia="Arial" w:hAnsi="Arial"/>
          <w:sz w:val="17"/>
          <w:szCs w:val="17"/>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46" w:lineRule="exact"/>
        <w:rPr>
          <w:rFonts w:ascii="Arial" w:cs="Arial" w:eastAsia="Arial" w:hAnsi="Arial"/>
          <w:sz w:val="17"/>
          <w:szCs w:val="17"/>
          <w:color w:val="auto"/>
        </w:rPr>
      </w:pPr>
    </w:p>
    <w:p>
      <w:pPr>
        <w:jc w:val="both"/>
        <w:ind w:right="180" w:firstLine="987"/>
        <w:spacing w:after="0" w:line="259" w:lineRule="auto"/>
        <w:tabs>
          <w:tab w:leader="none" w:pos="126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86" w:lineRule="exact"/>
        <w:rPr>
          <w:rFonts w:ascii="Arial" w:cs="Arial" w:eastAsia="Arial" w:hAnsi="Arial"/>
          <w:sz w:val="18"/>
          <w:szCs w:val="18"/>
          <w:color w:val="auto"/>
        </w:rPr>
      </w:pPr>
    </w:p>
    <w:p>
      <w:pPr>
        <w:ind w:right="260" w:firstLine="987"/>
        <w:spacing w:after="0" w:line="259" w:lineRule="auto"/>
        <w:tabs>
          <w:tab w:leader="none" w:pos="126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86" w:lineRule="exact"/>
        <w:rPr>
          <w:rFonts w:ascii="Arial" w:cs="Arial" w:eastAsia="Arial" w:hAnsi="Arial"/>
          <w:sz w:val="18"/>
          <w:szCs w:val="18"/>
          <w:color w:val="auto"/>
        </w:rPr>
      </w:pPr>
    </w:p>
    <w:p>
      <w:pPr>
        <w:jc w:val="both"/>
        <w:ind w:right="40" w:firstLine="987"/>
        <w:spacing w:after="0" w:line="263" w:lineRule="auto"/>
        <w:tabs>
          <w:tab w:leader="none" w:pos="126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the Trustee signs the certificate of authentication on the other side of this Note.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00"/>
          </w:cols>
          <w:pgMar w:left="440" w:top="490" w:right="459" w:bottom="1440" w:gutter="0" w:footer="0" w:header="0"/>
        </w:sectPr>
      </w:pPr>
    </w:p>
    <w:bookmarkStart w:id="149" w:name="page150"/>
    <w:bookmarkEnd w:id="149"/>
    <w:p>
      <w:pPr>
        <w:ind w:left="-120" w:firstLine="987"/>
        <w:spacing w:after="0" w:line="263" w:lineRule="auto"/>
        <w:tabs>
          <w:tab w:leader="none" w:pos="114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Governing Law</w:t>
      </w:r>
      <w:r>
        <w:rPr>
          <w:rFonts w:ascii="Arial" w:cs="Arial" w:eastAsia="Arial" w:hAnsi="Arial"/>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3" w:lineRule="exact"/>
        <w:rPr>
          <w:rFonts w:ascii="Arial" w:cs="Arial" w:eastAsia="Arial" w:hAnsi="Arial"/>
          <w:sz w:val="18"/>
          <w:szCs w:val="18"/>
          <w:color w:val="auto"/>
        </w:rPr>
      </w:pPr>
    </w:p>
    <w:p>
      <w:pPr>
        <w:ind w:left="-120" w:right="500" w:firstLine="987"/>
        <w:spacing w:after="0" w:line="263" w:lineRule="auto"/>
        <w:tabs>
          <w:tab w:leader="none" w:pos="11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Issuer will furnish to any Holder upon written request and without charge a copy of the Indenture. Requests may be made to:</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Crown European Holdings S.A.</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7 Rue Emmy Noether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93400 Saint-Ouen, France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Attn: Timothy Donahue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Telephone: 33 1 4918 4000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Facsimile: 33 1 4918 4001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0760"/>
          </w:cols>
          <w:pgMar w:left="560" w:top="490" w:right="57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or we assign and transfer this Note to: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-19050</wp:posOffset>
            </wp:positionV>
            <wp:extent cx="47415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41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11137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p>
      <w:pPr>
        <w:spacing w:after="0" w:line="252"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497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31750</wp:posOffset>
            </wp:positionV>
            <wp:extent cx="20231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28632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A-2-10</w:t>
      </w:r>
    </w:p>
    <w:p>
      <w:pPr>
        <w:sectPr>
          <w:pgSz w:w="11900" w:h="16838" w:orient="portrait"/>
          <w:cols w:equalWidth="0" w:num="1">
            <w:col w:w="11000"/>
          </w:cols>
          <w:pgMar w:left="440" w:top="490" w:right="45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OPTION OF HOLDER TO ELECT PURCHASE</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If you want to elect to have all or any part of this Note purchased by the Issuer pursuant to Section 4.08 of the Indenture, check the appropriate box:</w:t>
      </w:r>
    </w:p>
    <w:p>
      <w:pPr>
        <w:spacing w:after="0" w:line="8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-130175</wp:posOffset>
            </wp:positionV>
            <wp:extent cx="49720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7205" cy="154305"/>
                    </a:xfrm>
                    <a:prstGeom prst="rect">
                      <a:avLst/>
                    </a:prstGeom>
                    <a:noFill/>
                  </pic:spPr>
                </pic:pic>
              </a:graphicData>
            </a:graphic>
          </wp:anchor>
        </w:drawing>
      </w:r>
    </w:p>
    <w:p>
      <w:pPr>
        <w:spacing w:after="0" w:line="219"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If you want to have only part of the Note purchased by the Issuer pursuant to Section 4.08 of the Indenture, state the amount you elect to have purchased: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-10160</wp:posOffset>
            </wp:positionV>
            <wp:extent cx="16281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(€1,000 or any integral multiple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 not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purchased must be at least €100,000)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22371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9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(Sign exactly as your name appears on the face of</w:t>
      </w:r>
    </w:p>
    <w:p>
      <w:pPr>
        <w:spacing w:after="0" w:line="4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this Note)</w:t>
      </w:r>
    </w:p>
    <w:p>
      <w:pPr>
        <w:spacing w:after="0" w:line="40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5800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A-2-11</w:t>
      </w:r>
    </w:p>
    <w:p>
      <w:pPr>
        <w:sectPr>
          <w:pgSz w:w="11900" w:h="16838" w:orient="portrait"/>
          <w:cols w:equalWidth="0" w:num="1">
            <w:col w:w="11000"/>
          </w:cols>
          <w:pgMar w:left="440" w:top="490" w:right="45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22"/>
          <w:szCs w:val="22"/>
          <w:color w:val="auto"/>
          <w:vertAlign w:val="superscript"/>
        </w:rPr>
        <w:t>*</w:t>
      </w:r>
    </w:p>
    <w:p>
      <w:pPr>
        <w:spacing w:after="0" w:line="18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Amount of decrease in</w:t>
            </w:r>
          </w:p>
        </w:tc>
        <w:tc>
          <w:tcPr>
            <w:tcW w:w="1740" w:type="dxa"/>
            <w:vAlign w:val="bottom"/>
            <w:gridSpan w:val="2"/>
          </w:tcPr>
          <w:p>
            <w:pPr>
              <w:jc w:val="center"/>
              <w:ind w:left="388"/>
              <w:spacing w:after="0"/>
              <w:rPr>
                <w:sz w:val="20"/>
                <w:szCs w:val="20"/>
                <w:color w:val="auto"/>
              </w:rPr>
            </w:pPr>
            <w:r>
              <w:rPr>
                <w:rFonts w:ascii="Arial" w:cs="Arial" w:eastAsia="Arial" w:hAnsi="Arial"/>
                <w:sz w:val="14"/>
                <w:szCs w:val="14"/>
                <w:color w:val="auto"/>
                <w:w w:val="94"/>
              </w:rPr>
              <w:t>Amount of increase in</w:t>
            </w:r>
          </w:p>
        </w:tc>
        <w:tc>
          <w:tcPr>
            <w:tcW w:w="9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Principal Amount</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8"/>
        </w:trPr>
        <w:tc>
          <w:tcPr>
            <w:tcW w:w="10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Principal Amount</w:t>
            </w:r>
          </w:p>
        </w:tc>
        <w:tc>
          <w:tcPr>
            <w:tcW w:w="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8"/>
              </w:rPr>
              <w:t>Principal Amount</w:t>
            </w:r>
          </w:p>
        </w:tc>
        <w:tc>
          <w:tcPr>
            <w:tcW w:w="2620" w:type="dxa"/>
            <w:vAlign w:val="bottom"/>
            <w:gridSpan w:val="2"/>
          </w:tcPr>
          <w:p>
            <w:pPr>
              <w:jc w:val="center"/>
              <w:ind w:left="848"/>
              <w:spacing w:after="0" w:line="149" w:lineRule="exact"/>
              <w:rPr>
                <w:sz w:val="20"/>
                <w:szCs w:val="20"/>
                <w:color w:val="auto"/>
              </w:rPr>
            </w:pPr>
            <w:r>
              <w:rPr>
                <w:rFonts w:ascii="Arial" w:cs="Arial" w:eastAsia="Arial" w:hAnsi="Arial"/>
                <w:sz w:val="14"/>
                <w:szCs w:val="14"/>
                <w:color w:val="auto"/>
                <w:w w:val="97"/>
              </w:rPr>
              <w:t>of this Global Note following</w:t>
            </w: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10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of</w:t>
            </w:r>
          </w:p>
        </w:tc>
        <w:tc>
          <w:tcPr>
            <w:tcW w:w="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9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87"/>
              </w:rPr>
              <w:t>such decrease</w:t>
            </w:r>
          </w:p>
        </w:tc>
        <w:tc>
          <w:tcPr>
            <w:tcW w:w="2280" w:type="dxa"/>
            <w:vAlign w:val="bottom"/>
            <w:gridSpan w:val="2"/>
          </w:tcPr>
          <w:p>
            <w:pPr>
              <w:jc w:val="center"/>
              <w:ind w:left="848"/>
              <w:spacing w:after="0" w:line="149" w:lineRule="exact"/>
              <w:rPr>
                <w:sz w:val="20"/>
                <w:szCs w:val="20"/>
                <w:color w:val="auto"/>
              </w:rPr>
            </w:pPr>
            <w:r>
              <w:rPr>
                <w:rFonts w:ascii="Arial" w:cs="Arial" w:eastAsia="Arial" w:hAnsi="Arial"/>
                <w:sz w:val="14"/>
                <w:szCs w:val="14"/>
                <w:color w:val="auto"/>
                <w:w w:val="93"/>
              </w:rPr>
              <w:t>Signature of authorized</w:t>
            </w:r>
          </w:p>
        </w:tc>
      </w:tr>
      <w:tr>
        <w:trPr>
          <w:trHeight w:val="167"/>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Date of Exchange</w:t>
            </w:r>
          </w:p>
        </w:tc>
        <w:tc>
          <w:tcPr>
            <w:tcW w:w="16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9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(or increase)</w:t>
            </w:r>
          </w:p>
        </w:tc>
        <w:tc>
          <w:tcPr>
            <w:tcW w:w="9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signatory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248285</wp:posOffset>
            </wp:positionV>
            <wp:extent cx="7715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64" w:lineRule="exact"/>
        <w:rPr>
          <w:sz w:val="20"/>
          <w:szCs w:val="20"/>
          <w:color w:val="auto"/>
        </w:rPr>
      </w:pPr>
    </w:p>
    <w:p>
      <w:pPr>
        <w:spacing w:after="0"/>
        <w:tabs>
          <w:tab w:leader="none" w:pos="200" w:val="left"/>
        </w:tabs>
        <w:rPr>
          <w:sz w:val="20"/>
          <w:szCs w:val="20"/>
          <w:color w:val="auto"/>
        </w:rPr>
      </w:pPr>
      <w:r>
        <w:rPr>
          <w:rFonts w:ascii="Arial" w:cs="Arial" w:eastAsia="Arial" w:hAnsi="Arial"/>
          <w:sz w:val="23"/>
          <w:szCs w:val="23"/>
          <w:color w:val="auto"/>
          <w:vertAlign w:val="superscript"/>
        </w:rPr>
        <w:t>*</w:t>
      </w:r>
      <w:r>
        <w:rPr>
          <w:sz w:val="20"/>
          <w:szCs w:val="20"/>
          <w:color w:val="auto"/>
        </w:rPr>
        <w:tab/>
      </w:r>
      <w:r>
        <w:rPr>
          <w:rFonts w:ascii="Arial" w:cs="Arial" w:eastAsia="Arial" w:hAnsi="Arial"/>
          <w:sz w:val="18"/>
          <w:szCs w:val="18"/>
          <w:color w:val="auto"/>
        </w:rPr>
        <w:t>Insert in Global Securities only.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A-2-12</w:t>
      </w:r>
    </w:p>
    <w:p>
      <w:pPr>
        <w:sectPr>
          <w:pgSz w:w="11900" w:h="16838" w:orient="portrait"/>
          <w:cols w:equalWidth="0" w:num="1">
            <w:col w:w="11020"/>
          </w:cols>
          <w:pgMar w:left="440" w:top="488"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RESTRICTED SECURITIES]</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Any Restricted Note authenticated and delivered hereunder shall bear a legend (which would be in addition to any other legends required in the case of a Global Note) in substantially the following form:</w:t>
      </w:r>
    </w:p>
    <w:p>
      <w:pPr>
        <w:spacing w:after="0" w:line="62" w:lineRule="exact"/>
        <w:rPr>
          <w:sz w:val="20"/>
          <w:szCs w:val="20"/>
          <w:color w:val="auto"/>
        </w:rPr>
      </w:pPr>
    </w:p>
    <w:p>
      <w:pPr>
        <w:ind w:left="440" w:right="20"/>
        <w:spacing w:after="0" w:line="267" w:lineRule="auto"/>
        <w:rPr>
          <w:sz w:val="20"/>
          <w:szCs w:val="20"/>
          <w:color w:val="auto"/>
        </w:rPr>
      </w:pPr>
      <w:r>
        <w:rPr>
          <w:rFonts w:ascii="Arial" w:cs="Arial" w:eastAsia="Arial" w:hAnsi="Arial"/>
          <w:sz w:val="17"/>
          <w:szCs w:val="17"/>
          <w:color w:val="auto"/>
        </w:rPr>
        <w:t>THIS SECURITY HAS NOT BEEN REGISTERED UNDER THE U.S. SECURITIES ACT OF 1933, AS AMENDED (THE “SECURITIES ACT”), OR THE SECURITIES LAWS OF ANY STATE OR OTHER JURISDICTION, AND, ACCORDINGLY, MAY NOT BE OFFERED OR SOLD EXCEPT AS SET FORTH BELOW. BY ITS ACQUISITION HEREOF, THE HOLDER (1) REPRESENTS THAT (A) IT IS A “QUALIFIED INSTITUTIONAL BUYER” (AS DEFINED IN RULE 144A UNDER THE SECURITIES ACT), (B) IT IS NOT A U.S. PERSON AND IS ACQUIRING THIS SECURITY IN AN OFFSHORE TRANSACTION IN COMPLIANCE WITH RULE 904 UNDER THE SECURITIES ACT OR (C) IT IS AN ACCREDITED INVESTOR (AS DEFINED IN RULE 501(a)(1), (2), (3), OR (7) UNDER THE SECURITIES ACT (AN “ACCREDITED INVESTOR”), (2) AGREES THAT IT WILL NOT, ON ITS OWN BEHALF AND ON BEHALF OF ANY INVESTOR FOR WHICH IT HAS PURCHASED SECURITIES, PRIOR TO THE DATE (THE “RESALE RESTRICTION TERMINATION DATE”) WHICH IS [IN THE CASE OF RULE 144A NOTES: ONE YEAR] [ IN THE CASE OF REGULATION S NOTES: 40 DAYS] (OR SUCH SHORTER PERIOD OF TIME AS PERMITTED BY [RULE 144] [REGULATION S] UNDER THE SECURITIES ACT OR ANY SUCCESSOR PROVISION THEREUNDER) AFTER THE LATER OF THE ORIGINAL ISSUE DATE OF THIS SECURITY AND THE LAST DATE ON WHICH THE ISSUER OR ANY AFFILIATE OF THE ISSUER WAS THE OWNER OF THIS SECURITY (OR ANY PREDECESSOR OF THIS SECURITY) OR, IF LATER, THE LAST DATE UPON WHICH ADDITIONAL NOTES (AS DEFINED IN THE INDENTURE) HAVE BEEN ISSUED, OFFER, RESELL OR OTHERWISE TRANSFER THIS SECURITY EXCEPT (A) TO THE ISSUER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 (D) OUTSIDE THE UNITED STATES IN AN OFFSHORE TRANSACTION IN COMPLIANCE WITH RULE 904 UNDER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490" w:right="439" w:bottom="1440" w:gutter="0" w:footer="0" w:header="0"/>
        </w:sectPr>
      </w:pPr>
    </w:p>
    <w:bookmarkStart w:id="154" w:name="page155"/>
    <w:bookmarkEnd w:id="154"/>
    <w:p>
      <w:pPr>
        <w:ind w:left="4"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SECURITIES ACT (IF AVAILABLE), (E) PURSUANT TO THE EXEMPTION FROM REGISTRATION PROVIDED BY RULE 144 UNDER THE SECURITIES ACT (IF AVAILABLE), (F) IN ACCORDANCE WITH ANOTHER EXEMPTION FROM THE REGISTRATION REQUIREMENTS OF THE SECURITIES ACT (AND BASED UPON AN OPINION OF COUNSEL IF THE ISSUER SO REQUESTS), OR</w:t>
      </w:r>
    </w:p>
    <w:p>
      <w:pPr>
        <w:ind w:left="4" w:hanging="4"/>
        <w:spacing w:after="0" w:line="251" w:lineRule="auto"/>
        <w:tabs>
          <w:tab w:leader="none" w:pos="29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w:t>
      </w:r>
    </w:p>
    <w:p>
      <w:pPr>
        <w:spacing w:after="0" w:line="13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544"/>
          </w:cols>
          <w:pgMar w:left="876" w:top="490" w:right="47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NOTE]</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NOTE IS A GLOBAL NOTE WITHIN THE MEANING OF THE INDENTURE HEREINAFTER REFERRED TO AND IS REGISTERED IN THE NAME OF A COMMON DEPOSITARY OR A NOMINEE OF A COMMON DEPOSITARY. THIS NOTE IS NOT EXCHANGEABLE FOR NOTES REGISTERED IN THE NAME OF A PERSON OTHER THAN THE COMMON DEPOSITARY OR ITS NOMINEE EXCEPT IN THE LIMITED CIRCUMSTANCES DESCRIBED IN THE INDENTURE, AND NO TRANSFER OF THIS NOTE (OTHER THAN A TRANSFER OF THIS NOTE AS A WHOLE BY THE COMMON DEPOSITARY TO A NOMINEE OF THE COMMON DEPOSITARY OR BY A NOMINEE OF THE COMMON DEPOSITARY TO THE COMMON DEPOSITARY OR ANOTHER NOMINEE OF THE COMMON DEPOSITARY) MAY BE REGISTERED EXCEPT IN THE LIMITED CIRCUMSTANCES DESCRIBED IN THE INDENTURE.</w:t>
      </w:r>
    </w:p>
    <w:p>
      <w:pPr>
        <w:spacing w:after="0" w:line="17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UNLESS THIS CERTIFICATE IS PRESENTED BY AN AUTHORIZED REPRESENTATIVE OF ELAVON FINANCIAL SERVICES DAC (THE “COMMON DEPOSITARY”) TO THE ISSUER OR ITS AGENT FOR REGISTRATION OF TRANSFER, EXCHANGE, OR PAYMENT, AND ANY CERTIFICATE ISSUED IS REGISTERED IN THE NAME OF USB NOMINEES (UK) LIMITED OR IN SUCH OTHER NAME AS IS REQUESTED BY AN AUTHORIZED REPRESENTATIVE OF THE COMMON DEPOSITARY (AND ANY PAYMENT IS MADE TO USB NOMINEES (UK) LIMITED OR SUCH OTHER ENTITY AS IS REQUESTED BY AN AUTHORIZED REPRESENTATIVE OF THE COMMON DEPOSITARY), ANY TRANSFER, PLEDGE OR OTHER USE HEREOF FOR VALUE OR OTHERWISE BY OR TO ANY PERSON IS WRONGFUL INASMUCH AS THE REGISTERED OWNER HEREOF, USB NOMINEES (UK) LIMITED, HAS AN INTEREST HEREIN.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490" w:right="4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NOTE ISSUED WITH OID]</w:t>
      </w:r>
    </w:p>
    <w:p>
      <w:pPr>
        <w:spacing w:after="0" w:line="225"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Any Note issued with more than de minimis original issue discount for U.S. Federal Income Tax purposes authenticated and delivered hereunder shall bear a legend (which would be in addition to any other legends required in the case of a Restricted Note) in substantially the following form:</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NOTE IS ISSUED WITH ORIGINAL ISSUE DISCOUNT FOR PURPOSES OF SECTION 1271 ET SEQ. OF THE INTERNAL REVENUE CODE. A HOLDER MAY OBTAIN THE ISSUE PRICE, AMOUNT OF ORIGINAL ISSUE DISCOUNT, ISSUE DATE AND YIELD TO MATURITY FOR SUCH NOTE BY SUBMITTING A REQUEST FOR SUCH INFORMATION TO THE ISSUER AT THE FOLLOWING ADDRESS: 7 RUE EMMY NOETHER, 93400 SAINT-OUEN, FRANCE, ATTENTION: CHIEF FINANCIAL OFFICER.”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490" w:right="4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[Reserved.]</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020"/>
          </w:cols>
          <w:pgMar w:left="1440" w:top="490" w:right="4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F</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CERTIFICATE OF TRANSFER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Crown European Holdings S.A.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7 Rue Emmy Noether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93400 Saint-Ouen, France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Elavon Financial Services DAC, as Transfer Agent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Block F1, Cherrywood Business Park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Cherrywood, Dublin 18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D18 W319, Ireland</w:t>
      </w:r>
    </w:p>
    <w:p>
      <w:pPr>
        <w:spacing w:after="0" w:line="9" w:lineRule="exact"/>
        <w:rPr>
          <w:sz w:val="20"/>
          <w:szCs w:val="20"/>
          <w:color w:val="auto"/>
        </w:rPr>
      </w:pPr>
    </w:p>
    <w:p>
      <w:pPr>
        <w:ind w:left="4"/>
        <w:spacing w:after="0"/>
        <w:tabs>
          <w:tab w:leader="none" w:pos="1264"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re: Crown European Holdings S.A.</w:t>
      </w:r>
    </w:p>
    <w:p>
      <w:pPr>
        <w:spacing w:after="0" w:line="166" w:lineRule="exact"/>
        <w:rPr>
          <w:sz w:val="20"/>
          <w:szCs w:val="20"/>
          <w:color w:val="auto"/>
        </w:rPr>
      </w:pPr>
    </w:p>
    <w:p>
      <w:pPr>
        <w:jc w:val="center"/>
        <w:ind w:left="4000"/>
        <w:spacing w:after="0" w:line="207" w:lineRule="exact"/>
        <w:tabs>
          <w:tab w:leader="none" w:pos="220" w:val="left"/>
        </w:tabs>
        <w:rPr>
          <w:sz w:val="20"/>
          <w:szCs w:val="20"/>
          <w:color w:val="auto"/>
        </w:rPr>
      </w:pPr>
      <w:r>
        <w:rPr>
          <w:rFonts w:ascii="Arial" w:cs="Arial" w:eastAsia="Arial" w:hAnsi="Arial"/>
          <w:sz w:val="18"/>
          <w:szCs w:val="18"/>
          <w:color w:val="auto"/>
        </w:rPr>
        <w:t>Re:</w:t>
        <w:tab/>
      </w:r>
      <w:r>
        <w:rPr>
          <w:rFonts w:ascii="MS PGothic" w:cs="MS PGothic" w:eastAsia="MS PGothic" w:hAnsi="MS PGothic"/>
          <w:sz w:val="18"/>
          <w:szCs w:val="18"/>
          <w:color w:val="auto"/>
        </w:rPr>
        <w:t>☐</w:t>
      </w:r>
      <w:r>
        <w:rPr>
          <w:rFonts w:ascii="Arial" w:cs="Arial" w:eastAsia="Arial" w:hAnsi="Arial"/>
          <w:sz w:val="18"/>
          <w:szCs w:val="18"/>
          <w:color w:val="auto"/>
        </w:rPr>
        <w:t xml:space="preserve"> 5.000% Senior Notes due 2028</w:t>
      </w:r>
    </w:p>
    <w:p>
      <w:pPr>
        <w:spacing w:after="0" w:line="270" w:lineRule="exact"/>
        <w:rPr>
          <w:sz w:val="20"/>
          <w:szCs w:val="20"/>
          <w:color w:val="auto"/>
        </w:rPr>
      </w:pPr>
    </w:p>
    <w:p>
      <w:pPr>
        <w:ind w:left="4584"/>
        <w:spacing w:after="0"/>
        <w:rPr>
          <w:sz w:val="20"/>
          <w:szCs w:val="20"/>
          <w:color w:val="auto"/>
        </w:rPr>
      </w:pPr>
      <w:r>
        <w:rPr>
          <w:rFonts w:ascii="Arial" w:cs="Arial" w:eastAsia="Arial" w:hAnsi="Arial"/>
          <w:sz w:val="18"/>
          <w:szCs w:val="18"/>
          <w:color w:val="auto"/>
        </w:rPr>
        <w:t>(CUSIP _____________)</w:t>
      </w:r>
    </w:p>
    <w:p>
      <w:pPr>
        <w:spacing w:after="0" w:line="23" w:lineRule="exact"/>
        <w:rPr>
          <w:sz w:val="20"/>
          <w:szCs w:val="20"/>
          <w:color w:val="auto"/>
        </w:rPr>
      </w:pPr>
    </w:p>
    <w:p>
      <w:pPr>
        <w:ind w:left="4584"/>
        <w:spacing w:after="0"/>
        <w:rPr>
          <w:sz w:val="20"/>
          <w:szCs w:val="20"/>
          <w:color w:val="auto"/>
        </w:rPr>
      </w:pPr>
      <w:r>
        <w:rPr>
          <w:rFonts w:ascii="Arial" w:cs="Arial" w:eastAsia="Arial" w:hAnsi="Arial"/>
          <w:sz w:val="18"/>
          <w:szCs w:val="18"/>
          <w:color w:val="auto"/>
        </w:rPr>
        <w:t>(ISIN _______________)</w:t>
      </w:r>
    </w:p>
    <w:p>
      <w:pPr>
        <w:spacing w:after="0" w:line="9"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(Common Code _______)</w:t>
      </w:r>
    </w:p>
    <w:p>
      <w:pPr>
        <w:spacing w:after="0" w:line="211" w:lineRule="exact"/>
        <w:rPr>
          <w:sz w:val="20"/>
          <w:szCs w:val="20"/>
          <w:color w:val="auto"/>
        </w:rPr>
      </w:pPr>
    </w:p>
    <w:p>
      <w:pPr>
        <w:jc w:val="both"/>
        <w:ind w:left="4" w:right="280"/>
        <w:spacing w:after="0" w:line="286" w:lineRule="auto"/>
        <w:rPr>
          <w:sz w:val="20"/>
          <w:szCs w:val="20"/>
          <w:color w:val="auto"/>
        </w:rPr>
      </w:pPr>
      <w:r>
        <w:rPr>
          <w:rFonts w:ascii="Arial" w:cs="Arial" w:eastAsia="Arial" w:hAnsi="Arial"/>
          <w:sz w:val="17"/>
          <w:szCs w:val="17"/>
          <w:color w:val="auto"/>
        </w:rPr>
        <w:t>Reference is hereby made to the Indenture, dated as of May 18, 2023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among Crown European Holdings S.A., as issuer (the “</w:t>
      </w:r>
      <w:r>
        <w:rPr>
          <w:rFonts w:ascii="Arial" w:cs="Arial" w:eastAsia="Arial" w:hAnsi="Arial"/>
          <w:sz w:val="17"/>
          <w:szCs w:val="17"/>
          <w:u w:val="single" w:color="auto"/>
          <w:color w:val="auto"/>
        </w:rPr>
        <w:t>Issuer</w:t>
      </w:r>
      <w:r>
        <w:rPr>
          <w:rFonts w:ascii="Arial" w:cs="Arial" w:eastAsia="Arial" w:hAnsi="Arial"/>
          <w:sz w:val="17"/>
          <w:szCs w:val="17"/>
          <w:color w:val="auto"/>
        </w:rPr>
        <w:t>”), the Guarantors, U.S. Bank Trust Company, National Association, as trustee, Elavon Financial Services DAC, as paying agent, registrar and transfer agent. Capitalized terms used but not defined herein shall have the meanings given to them in the Indenture.</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______________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principal amount of ___________ in such Note[s] or interests (the “</w:t>
      </w:r>
      <w:r>
        <w:rPr>
          <w:rFonts w:ascii="Arial" w:cs="Arial" w:eastAsia="Arial" w:hAnsi="Arial"/>
          <w:sz w:val="16"/>
          <w:szCs w:val="16"/>
          <w:u w:val="single" w:color="auto"/>
          <w:color w:val="auto"/>
        </w:rPr>
        <w:t>Transfer</w:t>
      </w:r>
      <w:r>
        <w:rPr>
          <w:rFonts w:ascii="Arial" w:cs="Arial" w:eastAsia="Arial" w:hAnsi="Arial"/>
          <w:sz w:val="16"/>
          <w:szCs w:val="16"/>
          <w:color w:val="auto"/>
        </w:rPr>
        <w:t>”), to __________ (the “</w:t>
      </w:r>
      <w:r>
        <w:rPr>
          <w:rFonts w:ascii="Arial" w:cs="Arial" w:eastAsia="Arial" w:hAnsi="Arial"/>
          <w:sz w:val="16"/>
          <w:szCs w:val="16"/>
          <w:u w:val="single" w:color="auto"/>
          <w:color w:val="auto"/>
        </w:rPr>
        <w:t>Transferee</w:t>
      </w:r>
      <w:r>
        <w:rPr>
          <w:rFonts w:ascii="Arial" w:cs="Arial" w:eastAsia="Arial" w:hAnsi="Arial"/>
          <w:sz w:val="16"/>
          <w:szCs w:val="16"/>
          <w:color w:val="auto"/>
        </w:rPr>
        <w:t>”), as further specified in Annex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hereto. In connection with the Transfer, the Transferor hereby certifies that: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ALL THAT APPLY]</w:t>
      </w:r>
    </w:p>
    <w:p>
      <w:pPr>
        <w:spacing w:after="0" w:line="180" w:lineRule="exact"/>
        <w:rPr>
          <w:sz w:val="20"/>
          <w:szCs w:val="20"/>
          <w:color w:val="auto"/>
        </w:rPr>
      </w:pPr>
    </w:p>
    <w:p>
      <w:pPr>
        <w:ind w:left="4" w:right="140" w:hanging="4"/>
        <w:spacing w:after="0" w:line="228" w:lineRule="exact"/>
        <w:tabs>
          <w:tab w:leader="none" w:pos="184" w:val="left"/>
        </w:tabs>
        <w:numPr>
          <w:ilvl w:val="0"/>
          <w:numId w:val="15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 Rule 144A Global Note or a Physical Note pursuant to Rule 144A</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is being effected pursuant to and in accordance with Rule 144A under the United States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and, accordingly, the Transferor hereby further certifies that the beneficial interest or Physical Note is being transferred to a Person that the Transferor reasonably believed and believes is purchasing the beneficial interest or Physical Note for its own account, or for one or more accounts with respect to which such Person exercises sole investment discretion, and such Person and each such account is a “qualified institutional</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4"/>
          </w:cols>
          <w:pgMar w:left="436" w:top="490" w:right="439" w:bottom="1440" w:gutter="0" w:footer="0" w:header="0"/>
        </w:sectPr>
      </w:pPr>
    </w:p>
    <w:bookmarkStart w:id="159" w:name="page160"/>
    <w:bookmarkEnd w:id="159"/>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26" w:lineRule="exact"/>
        <w:rPr>
          <w:sz w:val="20"/>
          <w:szCs w:val="20"/>
          <w:color w:val="auto"/>
        </w:rPr>
      </w:pPr>
    </w:p>
    <w:p>
      <w:pPr>
        <w:ind w:left="4" w:hanging="4"/>
        <w:spacing w:after="0" w:line="221" w:lineRule="exact"/>
        <w:tabs>
          <w:tab w:leader="none" w:pos="184" w:val="left"/>
        </w:tabs>
        <w:numPr>
          <w:ilvl w:val="0"/>
          <w:numId w:val="15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a Regulation S Global Note or a Physical Note pursuant to Regulation S</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59" w:lineRule="exact"/>
        <w:rPr>
          <w:rFonts w:ascii="Arial" w:cs="Arial" w:eastAsia="Arial" w:hAnsi="Arial"/>
          <w:sz w:val="17"/>
          <w:szCs w:val="17"/>
          <w:color w:val="auto"/>
        </w:rPr>
      </w:pPr>
    </w:p>
    <w:p>
      <w:pPr>
        <w:ind w:left="4" w:right="20" w:hanging="4"/>
        <w:spacing w:after="0" w:line="231" w:lineRule="exact"/>
        <w:tabs>
          <w:tab w:leader="none" w:pos="184" w:val="left"/>
        </w:tabs>
        <w:numPr>
          <w:ilvl w:val="0"/>
          <w:numId w:val="15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Global Note or a Physical Note pursuant to any provision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of the Securities Act other than Rule 144A or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 restrictions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49" w:lineRule="exact"/>
        <w:rPr>
          <w:rFonts w:ascii="Arial" w:cs="Arial" w:eastAsia="Arial" w:hAnsi="Arial"/>
          <w:sz w:val="16"/>
          <w:szCs w:val="16"/>
          <w:color w:val="auto"/>
        </w:rPr>
      </w:pPr>
    </w:p>
    <w:p>
      <w:pPr>
        <w:ind w:left="1104" w:hanging="241"/>
        <w:spacing w:after="0" w:line="207" w:lineRule="exact"/>
        <w:tabs>
          <w:tab w:leader="none" w:pos="1104" w:val="left"/>
        </w:tabs>
        <w:numPr>
          <w:ilvl w:val="1"/>
          <w:numId w:val="1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or</w:t>
      </w:r>
    </w:p>
    <w:p>
      <w:pPr>
        <w:spacing w:after="0" w:line="72" w:lineRule="exact"/>
        <w:rPr>
          <w:sz w:val="20"/>
          <w:szCs w:val="20"/>
          <w:color w:val="auto"/>
        </w:rPr>
      </w:pPr>
    </w:p>
    <w:p>
      <w:pPr>
        <w:ind w:left="5424" w:right="4820" w:hanging="4561"/>
        <w:spacing w:after="0" w:line="299" w:lineRule="exact"/>
        <w:tabs>
          <w:tab w:leader="none" w:pos="1109" w:val="left"/>
        </w:tabs>
        <w:numPr>
          <w:ilvl w:val="0"/>
          <w:numId w:val="15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such Transfer is being effected to the Issuer or a Subsidiary thereof; or</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4"/>
          </w:cols>
          <w:pgMar w:left="436" w:top="490" w:right="459" w:bottom="1440" w:gutter="0" w:footer="0" w:header="0"/>
        </w:sectPr>
      </w:pPr>
    </w:p>
    <w:bookmarkStart w:id="160" w:name="page161"/>
    <w:bookmarkEnd w:id="160"/>
    <w:p>
      <w:pPr>
        <w:ind w:left="444" w:right="360" w:firstLine="419"/>
        <w:spacing w:after="0" w:line="245" w:lineRule="exact"/>
        <w:tabs>
          <w:tab w:leader="none" w:pos="1112" w:val="left"/>
        </w:tabs>
        <w:numPr>
          <w:ilvl w:val="0"/>
          <w:numId w:val="15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or</w:t>
      </w:r>
    </w:p>
    <w:p>
      <w:pPr>
        <w:spacing w:after="0" w:line="72" w:lineRule="exact"/>
        <w:rPr>
          <w:sz w:val="20"/>
          <w:szCs w:val="20"/>
          <w:color w:val="auto"/>
        </w:rPr>
      </w:pPr>
    </w:p>
    <w:p>
      <w:pPr>
        <w:ind w:left="444" w:firstLine="419"/>
        <w:spacing w:after="0" w:line="222" w:lineRule="exact"/>
        <w:tabs>
          <w:tab w:leader="none" w:pos="1122" w:val="left"/>
        </w:tabs>
        <w:numPr>
          <w:ilvl w:val="1"/>
          <w:numId w:val="15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60" w:lineRule="exact"/>
        <w:rPr>
          <w:rFonts w:ascii="Arial" w:cs="Arial" w:eastAsia="Arial" w:hAnsi="Arial"/>
          <w:sz w:val="17"/>
          <w:szCs w:val="17"/>
          <w:color w:val="auto"/>
        </w:rPr>
      </w:pPr>
    </w:p>
    <w:p>
      <w:pPr>
        <w:ind w:left="184" w:hanging="184"/>
        <w:spacing w:after="0" w:line="196" w:lineRule="exact"/>
        <w:tabs>
          <w:tab w:leader="none" w:pos="184" w:val="left"/>
        </w:tabs>
        <w:numPr>
          <w:ilvl w:val="0"/>
          <w:numId w:val="15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Transferee will take delivery of a beneficial interest in an Unrestricted Global Note or an Unrestricted Physical Note.</w:t>
      </w:r>
    </w:p>
    <w:p>
      <w:pPr>
        <w:spacing w:after="0" w:line="236" w:lineRule="exact"/>
        <w:rPr>
          <w:rFonts w:ascii="Arial" w:cs="Arial" w:eastAsia="Arial" w:hAnsi="Arial"/>
          <w:sz w:val="17"/>
          <w:szCs w:val="17"/>
          <w:color w:val="auto"/>
        </w:rPr>
      </w:pPr>
    </w:p>
    <w:p>
      <w:pPr>
        <w:ind w:left="4" w:right="140" w:firstLine="987"/>
        <w:spacing w:after="0" w:line="226" w:lineRule="exact"/>
        <w:tabs>
          <w:tab w:leader="none" w:pos="1240" w:val="left"/>
        </w:tabs>
        <w:numPr>
          <w:ilvl w:val="2"/>
          <w:numId w:val="15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Rule 144. </w:t>
      </w:r>
      <w:r>
        <w:rPr>
          <w:rFonts w:ascii="Arial" w:cs="Arial" w:eastAsia="Arial" w:hAnsi="Arial"/>
          <w:sz w:val="17"/>
          <w:szCs w:val="17"/>
          <w:color w:val="auto"/>
        </w:rPr>
        <w:t>(i) The Transfer is being effected pursuant to and in accordance with Rule 144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58" w:lineRule="exact"/>
        <w:rPr>
          <w:rFonts w:ascii="Arial" w:cs="Arial" w:eastAsia="Arial" w:hAnsi="Arial"/>
          <w:sz w:val="17"/>
          <w:szCs w:val="17"/>
          <w:color w:val="auto"/>
        </w:rPr>
      </w:pPr>
    </w:p>
    <w:p>
      <w:pPr>
        <w:ind w:left="4" w:right="60" w:firstLine="987"/>
        <w:spacing w:after="0" w:line="226" w:lineRule="exact"/>
        <w:tabs>
          <w:tab w:leader="none" w:pos="1250" w:val="left"/>
        </w:tabs>
        <w:numPr>
          <w:ilvl w:val="2"/>
          <w:numId w:val="15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 </w:t>
      </w:r>
      <w:r>
        <w:rPr>
          <w:rFonts w:ascii="Arial" w:cs="Arial" w:eastAsia="Arial" w:hAnsi="Arial"/>
          <w:sz w:val="17"/>
          <w:szCs w:val="17"/>
          <w:color w:val="auto"/>
        </w:rPr>
        <w:t>(i) The Transfer is being effected pursuant to and in accordance with Rule 903 or</w:t>
      </w:r>
      <w:r>
        <w:rPr>
          <w:rFonts w:ascii="Arial" w:cs="Arial" w:eastAsia="Arial" w:hAnsi="Arial"/>
          <w:sz w:val="17"/>
          <w:szCs w:val="17"/>
          <w:b w:val="1"/>
          <w:bCs w:val="1"/>
          <w:color w:val="auto"/>
        </w:rPr>
        <w:t xml:space="preserve"> </w:t>
      </w:r>
      <w:r>
        <w:rPr>
          <w:rFonts w:ascii="Arial" w:cs="Arial" w:eastAsia="Arial" w:hAnsi="Arial"/>
          <w:sz w:val="17"/>
          <w:szCs w:val="17"/>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3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984"/>
          </w:cols>
          <w:pgMar w:left="436" w:top="445" w:right="479" w:bottom="1440" w:gutter="0" w:footer="0" w:header="0"/>
        </w:sectPr>
      </w:pPr>
    </w:p>
    <w:bookmarkStart w:id="161" w:name="page162"/>
    <w:bookmarkEnd w:id="161"/>
    <w:p>
      <w:pPr>
        <w:ind w:right="160" w:firstLine="987"/>
        <w:spacing w:after="0" w:line="225" w:lineRule="exact"/>
        <w:tabs>
          <w:tab w:leader="none" w:pos="1236" w:val="left"/>
        </w:tabs>
        <w:numPr>
          <w:ilvl w:val="0"/>
          <w:numId w:val="160"/>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 xml:space="preserve"> Check if Transfer is pursuant to Other Exemption. </w:t>
      </w:r>
      <w:r>
        <w:rPr>
          <w:rFonts w:ascii="Arial" w:cs="Arial" w:eastAsia="Arial" w:hAnsi="Arial"/>
          <w:sz w:val="18"/>
          <w:szCs w:val="18"/>
          <w:color w:val="auto"/>
        </w:rPr>
        <w:t>(i) The Transfer is being effected pursuant to and in compliance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58" w:lineRule="exact"/>
        <w:rPr>
          <w:rFonts w:ascii="Arial" w:cs="Arial" w:eastAsia="Arial" w:hAnsi="Arial"/>
          <w:sz w:val="18"/>
          <w:szCs w:val="18"/>
          <w:color w:val="auto"/>
        </w:rPr>
      </w:pPr>
    </w:p>
    <w:p>
      <w:pPr>
        <w:ind w:firstLine="987"/>
        <w:spacing w:after="0" w:line="226" w:lineRule="exact"/>
        <w:tabs>
          <w:tab w:leader="none" w:pos="1246" w:val="left"/>
        </w:tabs>
        <w:numPr>
          <w:ilvl w:val="0"/>
          <w:numId w:val="16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an Effective Registration Statement. </w:t>
      </w:r>
      <w:r>
        <w:rPr>
          <w:rFonts w:ascii="Arial" w:cs="Arial" w:eastAsia="Arial" w:hAnsi="Arial"/>
          <w:sz w:val="16"/>
          <w:szCs w:val="16"/>
          <w:color w:val="auto"/>
        </w:rPr>
        <w:t>(i) The Transfer is being effected pursuant to and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6350</wp:posOffset>
            </wp:positionV>
            <wp:extent cx="26060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wp:posOffset>
            </wp:positionV>
            <wp:extent cx="24345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60"/>
          </w:cols>
          <w:pgMar w:left="440" w:top="445" w:right="499" w:bottom="1440" w:gutter="0" w:footer="0" w:header="0"/>
        </w:sectPr>
      </w:pPr>
    </w:p>
    <w:bookmarkStart w:id="162" w:name="page163"/>
    <w:bookmarkEnd w:id="162"/>
    <w:p>
      <w:pPr>
        <w:ind w:left="36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ANNEX A TO CERTIFICATE OF TRANSFER</w:t>
      </w:r>
    </w:p>
    <w:p>
      <w:pPr>
        <w:spacing w:after="0" w:line="256" w:lineRule="exact"/>
        <w:rPr>
          <w:sz w:val="20"/>
          <w:szCs w:val="20"/>
          <w:color w:val="auto"/>
        </w:rPr>
      </w:pPr>
    </w:p>
    <w:p>
      <w:pPr>
        <w:ind w:left="444" w:hanging="444"/>
        <w:spacing w:after="0"/>
        <w:tabs>
          <w:tab w:leader="none" w:pos="4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[CHECK ONE]</w:t>
      </w:r>
    </w:p>
    <w:p>
      <w:pPr>
        <w:spacing w:after="0" w:line="180" w:lineRule="exact"/>
        <w:rPr>
          <w:sz w:val="20"/>
          <w:szCs w:val="20"/>
          <w:color w:val="auto"/>
        </w:rPr>
      </w:pPr>
    </w:p>
    <w:p>
      <w:pPr>
        <w:ind w:left="684" w:hanging="244"/>
        <w:spacing w:after="0" w:line="207" w:lineRule="exact"/>
        <w:tabs>
          <w:tab w:leader="none" w:pos="684" w:val="left"/>
        </w:tabs>
        <w:numPr>
          <w:ilvl w:val="1"/>
          <w:numId w:val="1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w:t>
      </w:r>
    </w:p>
    <w:p>
      <w:pPr>
        <w:spacing w:after="0" w:line="117" w:lineRule="exact"/>
        <w:rPr>
          <w:rFonts w:ascii="Arial" w:cs="Arial" w:eastAsia="Arial" w:hAnsi="Arial"/>
          <w:sz w:val="18"/>
          <w:szCs w:val="18"/>
          <w:color w:val="auto"/>
        </w:rPr>
      </w:pPr>
    </w:p>
    <w:p>
      <w:pPr>
        <w:ind w:left="1084" w:hanging="221"/>
        <w:spacing w:after="0" w:line="196" w:lineRule="exact"/>
        <w:tabs>
          <w:tab w:leader="none" w:pos="1084" w:val="left"/>
        </w:tabs>
        <w:numPr>
          <w:ilvl w:val="2"/>
          <w:numId w:val="16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Rule 144A Global Note (CUSIP ______) (ISIN ______) (Common Code _______________), or</w:t>
      </w:r>
    </w:p>
    <w:p>
      <w:pPr>
        <w:spacing w:after="0" w:line="128" w:lineRule="exact"/>
        <w:rPr>
          <w:rFonts w:ascii="Arial" w:cs="Arial" w:eastAsia="Arial" w:hAnsi="Arial"/>
          <w:sz w:val="17"/>
          <w:szCs w:val="17"/>
          <w:color w:val="auto"/>
        </w:rPr>
      </w:pPr>
    </w:p>
    <w:p>
      <w:pPr>
        <w:ind w:left="1124" w:hanging="261"/>
        <w:spacing w:after="0" w:line="184" w:lineRule="exact"/>
        <w:tabs>
          <w:tab w:leader="none" w:pos="1124" w:val="left"/>
        </w:tabs>
        <w:numPr>
          <w:ilvl w:val="2"/>
          <w:numId w:val="16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(CUSIP ______) (ISIN ______) (Common Code _______________), or</w:t>
      </w:r>
    </w:p>
    <w:p>
      <w:pPr>
        <w:spacing w:after="0" w:line="140" w:lineRule="exact"/>
        <w:rPr>
          <w:rFonts w:ascii="Arial" w:cs="Arial" w:eastAsia="Arial" w:hAnsi="Arial"/>
          <w:sz w:val="16"/>
          <w:szCs w:val="16"/>
          <w:color w:val="auto"/>
        </w:rPr>
      </w:pPr>
    </w:p>
    <w:p>
      <w:pPr>
        <w:ind w:left="704" w:hanging="264"/>
        <w:spacing w:after="0" w:line="207" w:lineRule="exact"/>
        <w:tabs>
          <w:tab w:leader="none" w:pos="704" w:val="left"/>
        </w:tabs>
        <w:numPr>
          <w:ilvl w:val="1"/>
          <w:numId w:val="1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Physical Note.</w:t>
      </w:r>
    </w:p>
    <w:p>
      <w:pPr>
        <w:spacing w:after="0" w:line="296" w:lineRule="exact"/>
        <w:rPr>
          <w:rFonts w:ascii="Arial" w:cs="Arial" w:eastAsia="Arial" w:hAnsi="Arial"/>
          <w:sz w:val="18"/>
          <w:szCs w:val="18"/>
          <w:color w:val="auto"/>
        </w:rPr>
      </w:pPr>
    </w:p>
    <w:p>
      <w:pPr>
        <w:ind w:left="444" w:hanging="444"/>
        <w:spacing w:after="0"/>
        <w:tabs>
          <w:tab w:leader="none" w:pos="4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[CHECK ONE]</w:t>
      </w:r>
    </w:p>
    <w:p>
      <w:pPr>
        <w:spacing w:after="0" w:line="180" w:lineRule="exact"/>
        <w:rPr>
          <w:sz w:val="20"/>
          <w:szCs w:val="20"/>
          <w:color w:val="auto"/>
        </w:rPr>
      </w:pPr>
    </w:p>
    <w:p>
      <w:pPr>
        <w:ind w:left="684" w:hanging="244"/>
        <w:spacing w:after="0" w:line="207" w:lineRule="exact"/>
        <w:tabs>
          <w:tab w:leader="none" w:pos="684" w:val="left"/>
        </w:tabs>
        <w:numPr>
          <w:ilvl w:val="0"/>
          <w:numId w:val="1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17" w:lineRule="exact"/>
        <w:rPr>
          <w:rFonts w:ascii="Arial" w:cs="Arial" w:eastAsia="Arial" w:hAnsi="Arial"/>
          <w:sz w:val="18"/>
          <w:szCs w:val="18"/>
          <w:color w:val="auto"/>
        </w:rPr>
      </w:pPr>
    </w:p>
    <w:p>
      <w:pPr>
        <w:ind w:left="1084" w:hanging="221"/>
        <w:spacing w:after="0" w:line="184" w:lineRule="exact"/>
        <w:tabs>
          <w:tab w:leader="none" w:pos="1084" w:val="left"/>
        </w:tabs>
        <w:numPr>
          <w:ilvl w:val="1"/>
          <w:numId w:val="16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Rule 144A Global Note (CUSIP _______) (ISIN ______) (Common Code _______________), or</w:t>
      </w:r>
    </w:p>
    <w:p>
      <w:pPr>
        <w:spacing w:after="0" w:line="140" w:lineRule="exact"/>
        <w:rPr>
          <w:rFonts w:ascii="Arial" w:cs="Arial" w:eastAsia="Arial" w:hAnsi="Arial"/>
          <w:sz w:val="16"/>
          <w:szCs w:val="16"/>
          <w:color w:val="auto"/>
        </w:rPr>
      </w:pPr>
    </w:p>
    <w:p>
      <w:pPr>
        <w:ind w:left="1124" w:hanging="261"/>
        <w:spacing w:after="0" w:line="184" w:lineRule="exact"/>
        <w:tabs>
          <w:tab w:leader="none" w:pos="1124" w:val="left"/>
        </w:tabs>
        <w:numPr>
          <w:ilvl w:val="1"/>
          <w:numId w:val="16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(CUSIP ______)(ISIN ______) (Common Code _______________), or</w:t>
      </w:r>
    </w:p>
    <w:p>
      <w:pPr>
        <w:spacing w:after="0" w:line="140" w:lineRule="exact"/>
        <w:rPr>
          <w:rFonts w:ascii="Arial" w:cs="Arial" w:eastAsia="Arial" w:hAnsi="Arial"/>
          <w:sz w:val="16"/>
          <w:szCs w:val="16"/>
          <w:color w:val="auto"/>
        </w:rPr>
      </w:pPr>
    </w:p>
    <w:p>
      <w:pPr>
        <w:ind w:left="1184" w:hanging="321"/>
        <w:spacing w:after="0" w:line="184" w:lineRule="exact"/>
        <w:tabs>
          <w:tab w:leader="none" w:pos="1184" w:val="left"/>
        </w:tabs>
        <w:numPr>
          <w:ilvl w:val="1"/>
          <w:numId w:val="16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Unrestricted Global Note (CUSIP ______) (ISIN ______) (Common Code _______________), or</w:t>
      </w:r>
    </w:p>
    <w:p>
      <w:pPr>
        <w:spacing w:after="0" w:line="140" w:lineRule="exact"/>
        <w:rPr>
          <w:rFonts w:ascii="Arial" w:cs="Arial" w:eastAsia="Arial" w:hAnsi="Arial"/>
          <w:sz w:val="16"/>
          <w:szCs w:val="16"/>
          <w:color w:val="auto"/>
        </w:rPr>
      </w:pPr>
    </w:p>
    <w:p>
      <w:pPr>
        <w:ind w:left="704" w:hanging="264"/>
        <w:spacing w:after="0" w:line="207" w:lineRule="exact"/>
        <w:tabs>
          <w:tab w:leader="none" w:pos="704" w:val="left"/>
        </w:tabs>
        <w:numPr>
          <w:ilvl w:val="0"/>
          <w:numId w:val="1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Physical Note; or</w:t>
      </w:r>
    </w:p>
    <w:p>
      <w:pPr>
        <w:spacing w:after="0" w:line="117" w:lineRule="exact"/>
        <w:rPr>
          <w:rFonts w:ascii="Arial" w:cs="Arial" w:eastAsia="Arial" w:hAnsi="Arial"/>
          <w:sz w:val="18"/>
          <w:szCs w:val="18"/>
          <w:color w:val="auto"/>
        </w:rPr>
      </w:pPr>
    </w:p>
    <w:p>
      <w:pPr>
        <w:ind w:left="684" w:hanging="244"/>
        <w:spacing w:after="0" w:line="207" w:lineRule="exact"/>
        <w:tabs>
          <w:tab w:leader="none" w:pos="684" w:val="left"/>
        </w:tabs>
        <w:numPr>
          <w:ilvl w:val="0"/>
          <w:numId w:val="1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Physical Note,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384"/>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023"/>
          </w:cols>
          <w:pgMar w:left="436" w:top="486"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G</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CERTIFICATE OF EXCHANGE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Crown European Holdings S.A.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7 Rue Emmy Noether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93400 Saint-Ouen, France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Elavon Financial Services DAC, as Transfer Agent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Block F1, Cherrywood Business Park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Cherrywood, Dublin 18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D18 W319, Ireland</w:t>
      </w:r>
    </w:p>
    <w:p>
      <w:pPr>
        <w:spacing w:after="0" w:line="9" w:lineRule="exact"/>
        <w:rPr>
          <w:sz w:val="20"/>
          <w:szCs w:val="20"/>
          <w:color w:val="auto"/>
        </w:rPr>
      </w:pPr>
    </w:p>
    <w:p>
      <w:pPr>
        <w:ind w:left="4"/>
        <w:spacing w:after="0"/>
        <w:tabs>
          <w:tab w:leader="none" w:pos="1264"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re: Crown European Holdings S.A.</w:t>
      </w:r>
    </w:p>
    <w:p>
      <w:pPr>
        <w:spacing w:after="0" w:line="166" w:lineRule="exact"/>
        <w:rPr>
          <w:sz w:val="20"/>
          <w:szCs w:val="20"/>
          <w:color w:val="auto"/>
        </w:rPr>
      </w:pPr>
    </w:p>
    <w:p>
      <w:pPr>
        <w:jc w:val="center"/>
        <w:ind w:right="16"/>
        <w:spacing w:after="0" w:line="207" w:lineRule="exact"/>
        <w:tabs>
          <w:tab w:leader="none" w:pos="160" w:val="left"/>
        </w:tabs>
        <w:rPr>
          <w:sz w:val="20"/>
          <w:szCs w:val="20"/>
          <w:color w:val="auto"/>
        </w:rPr>
      </w:pPr>
      <w:r>
        <w:rPr>
          <w:rFonts w:ascii="Arial" w:cs="Arial" w:eastAsia="Arial" w:hAnsi="Arial"/>
          <w:sz w:val="18"/>
          <w:szCs w:val="18"/>
          <w:color w:val="auto"/>
        </w:rPr>
        <w:t>Re: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5.000% Senior Notes due 2028</w:t>
      </w:r>
    </w:p>
    <w:p>
      <w:pPr>
        <w:spacing w:after="0" w:line="270" w:lineRule="exact"/>
        <w:rPr>
          <w:sz w:val="20"/>
          <w:szCs w:val="20"/>
          <w:color w:val="auto"/>
        </w:rPr>
      </w:pPr>
    </w:p>
    <w:p>
      <w:pPr>
        <w:ind w:left="4584"/>
        <w:spacing w:after="0"/>
        <w:rPr>
          <w:sz w:val="20"/>
          <w:szCs w:val="20"/>
          <w:color w:val="auto"/>
        </w:rPr>
      </w:pPr>
      <w:r>
        <w:rPr>
          <w:rFonts w:ascii="Arial" w:cs="Arial" w:eastAsia="Arial" w:hAnsi="Arial"/>
          <w:sz w:val="18"/>
          <w:szCs w:val="18"/>
          <w:color w:val="auto"/>
        </w:rPr>
        <w:t>(CUSIP _____________)</w:t>
      </w:r>
    </w:p>
    <w:p>
      <w:pPr>
        <w:spacing w:after="0" w:line="23" w:lineRule="exact"/>
        <w:rPr>
          <w:sz w:val="20"/>
          <w:szCs w:val="20"/>
          <w:color w:val="auto"/>
        </w:rPr>
      </w:pPr>
    </w:p>
    <w:p>
      <w:pPr>
        <w:ind w:left="4584"/>
        <w:spacing w:after="0"/>
        <w:rPr>
          <w:sz w:val="20"/>
          <w:szCs w:val="20"/>
          <w:color w:val="auto"/>
        </w:rPr>
      </w:pPr>
      <w:r>
        <w:rPr>
          <w:rFonts w:ascii="Arial" w:cs="Arial" w:eastAsia="Arial" w:hAnsi="Arial"/>
          <w:sz w:val="18"/>
          <w:szCs w:val="18"/>
          <w:color w:val="auto"/>
        </w:rPr>
        <w:t>(ISIN _______________)</w:t>
      </w:r>
    </w:p>
    <w:p>
      <w:pPr>
        <w:spacing w:after="0" w:line="9"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(Common Code _______)</w:t>
      </w:r>
    </w:p>
    <w:p>
      <w:pPr>
        <w:spacing w:after="0" w:line="211" w:lineRule="exact"/>
        <w:rPr>
          <w:sz w:val="20"/>
          <w:szCs w:val="20"/>
          <w:color w:val="auto"/>
        </w:rPr>
      </w:pPr>
    </w:p>
    <w:p>
      <w:pPr>
        <w:jc w:val="both"/>
        <w:ind w:left="4" w:right="280"/>
        <w:spacing w:after="0" w:line="286" w:lineRule="auto"/>
        <w:rPr>
          <w:sz w:val="20"/>
          <w:szCs w:val="20"/>
          <w:color w:val="auto"/>
        </w:rPr>
      </w:pPr>
      <w:r>
        <w:rPr>
          <w:rFonts w:ascii="Arial" w:cs="Arial" w:eastAsia="Arial" w:hAnsi="Arial"/>
          <w:sz w:val="17"/>
          <w:szCs w:val="17"/>
          <w:color w:val="auto"/>
        </w:rPr>
        <w:t>Reference is hereby made to the Indenture, dated as of May 18, 2023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among Crown European Holdings S.A., as issuer (the “</w:t>
      </w:r>
      <w:r>
        <w:rPr>
          <w:rFonts w:ascii="Arial" w:cs="Arial" w:eastAsia="Arial" w:hAnsi="Arial"/>
          <w:sz w:val="17"/>
          <w:szCs w:val="17"/>
          <w:u w:val="single" w:color="auto"/>
          <w:color w:val="auto"/>
        </w:rPr>
        <w:t>Issuer</w:t>
      </w:r>
      <w:r>
        <w:rPr>
          <w:rFonts w:ascii="Arial" w:cs="Arial" w:eastAsia="Arial" w:hAnsi="Arial"/>
          <w:sz w:val="17"/>
          <w:szCs w:val="17"/>
          <w:color w:val="auto"/>
        </w:rPr>
        <w:t>”), the Guarantors, U.S. Bank Trust Company, National Association, as trustee, Elavon Financial Services DAC, as paying agent, registrar and transfer agent. Capitalized terms used but not defined herein shall have the meanings given to them in the Indenture.</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____________ (the “</w:t>
      </w:r>
      <w:r>
        <w:rPr>
          <w:rFonts w:ascii="Arial" w:cs="Arial" w:eastAsia="Arial" w:hAnsi="Arial"/>
          <w:sz w:val="17"/>
          <w:szCs w:val="17"/>
          <w:u w:val="single" w:color="auto"/>
          <w:color w:val="auto"/>
        </w:rPr>
        <w:t>Owner</w:t>
      </w:r>
      <w:r>
        <w:rPr>
          <w:rFonts w:ascii="Arial" w:cs="Arial" w:eastAsia="Arial" w:hAnsi="Arial"/>
          <w:sz w:val="17"/>
          <w:szCs w:val="17"/>
          <w:color w:val="auto"/>
        </w:rPr>
        <w:t>”) owns and proposes to exchange the Note[s] or interest in such Note[s] specified herein, in the principal</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 of ____________ in such Note[s] or interests (the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the Exchange, the Owner hereby certifies that:</w:t>
      </w:r>
    </w:p>
    <w:p>
      <w:pPr>
        <w:spacing w:after="0" w:line="99" w:lineRule="exact"/>
        <w:rPr>
          <w:sz w:val="20"/>
          <w:szCs w:val="20"/>
          <w:color w:val="auto"/>
        </w:rPr>
      </w:pPr>
    </w:p>
    <w:p>
      <w:pPr>
        <w:ind w:left="4" w:right="580" w:hanging="4"/>
        <w:spacing w:after="0" w:line="282" w:lineRule="auto"/>
        <w:tabs>
          <w:tab w:leader="none" w:pos="184"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Exchange of Restricted Physical Notes or Beneficial Interests in a Restricted Global Note for Unrestricted Physical Notes or Beneficial Interests in an Unrestricted Global Note</w:t>
      </w:r>
    </w:p>
    <w:p>
      <w:pPr>
        <w:spacing w:after="0" w:line="120" w:lineRule="exact"/>
        <w:rPr>
          <w:rFonts w:ascii="Arial" w:cs="Arial" w:eastAsia="Arial" w:hAnsi="Arial"/>
          <w:sz w:val="18"/>
          <w:szCs w:val="18"/>
          <w:color w:val="auto"/>
        </w:rPr>
      </w:pPr>
    </w:p>
    <w:p>
      <w:pPr>
        <w:ind w:left="4" w:right="120" w:firstLine="987"/>
        <w:spacing w:after="0" w:line="231" w:lineRule="exact"/>
        <w:tabs>
          <w:tab w:leader="none" w:pos="1240" w:val="left"/>
        </w:tabs>
        <w:numPr>
          <w:ilvl w:val="1"/>
          <w:numId w:val="16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Exchange is from beneficial interest in a Restricted Global Note to beneficial interest in an Unrestricted Global</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Note</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Exchange of the Owner’s beneficial interest in a Restricted Global Note for a beneficial interest in an Unrestricted Global</w:t>
      </w:r>
      <w:r>
        <w:rPr>
          <w:rFonts w:ascii="Arial" w:cs="Arial" w:eastAsia="Arial" w:hAnsi="Arial"/>
          <w:sz w:val="17"/>
          <w:szCs w:val="17"/>
          <w:b w:val="1"/>
          <w:bCs w:val="1"/>
          <w:color w:val="auto"/>
        </w:rPr>
        <w:t xml:space="preserve"> </w:t>
      </w:r>
      <w:r>
        <w:rPr>
          <w:rFonts w:ascii="Arial" w:cs="Arial" w:eastAsia="Arial" w:hAnsi="Arial"/>
          <w:sz w:val="17"/>
          <w:szCs w:val="17"/>
          <w:color w:val="auto"/>
        </w:rPr>
        <w:t>Note in an equal principal amount, the Owner hereby certifies (i) the beneficial interest is being acquired for the Owner’s own account without transfer, (ii) such Exchange has been effected in compliance with the transfer restrictions applicable to the</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024"/>
          </w:cols>
          <w:pgMar w:left="436" w:top="490" w:right="439" w:bottom="1440" w:gutter="0" w:footer="0" w:header="0"/>
        </w:sectPr>
      </w:pPr>
    </w:p>
    <w:bookmarkStart w:id="164" w:name="page165"/>
    <w:bookmarkEnd w:id="164"/>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Global Notes and pursuant to and in accordance with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(iii) the restrictions on transfer contained in the Indenture and the Private Placement Legend are not required in order to maintain compliance with the Securities Act and</w:t>
      </w:r>
    </w:p>
    <w:p>
      <w:pPr>
        <w:ind w:left="4" w:right="20" w:hanging="4"/>
        <w:spacing w:after="0" w:line="260" w:lineRule="auto"/>
        <w:tabs>
          <w:tab w:leader="none" w:pos="30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beneficial interest in an Unrestricted Global Note is being acquired in compliance with any applicable blue sky securities laws of any state of the United States.</w:t>
      </w:r>
    </w:p>
    <w:p>
      <w:pPr>
        <w:spacing w:after="0" w:line="140" w:lineRule="exact"/>
        <w:rPr>
          <w:rFonts w:ascii="Arial" w:cs="Arial" w:eastAsia="Arial" w:hAnsi="Arial"/>
          <w:sz w:val="18"/>
          <w:szCs w:val="18"/>
          <w:color w:val="auto"/>
        </w:rPr>
      </w:pPr>
    </w:p>
    <w:p>
      <w:pPr>
        <w:ind w:left="4" w:right="20" w:firstLine="987"/>
        <w:spacing w:after="0" w:line="226" w:lineRule="exact"/>
        <w:tabs>
          <w:tab w:leader="none" w:pos="1250" w:val="left"/>
        </w:tabs>
        <w:numPr>
          <w:ilvl w:val="1"/>
          <w:numId w:val="16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Exchange is from Restricted Physical Note to beneficial interest in an Unrestricted Global Note</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58" w:lineRule="exact"/>
        <w:rPr>
          <w:rFonts w:ascii="Arial" w:cs="Arial" w:eastAsia="Arial" w:hAnsi="Arial"/>
          <w:sz w:val="17"/>
          <w:szCs w:val="17"/>
          <w:color w:val="auto"/>
        </w:rPr>
      </w:pPr>
    </w:p>
    <w:p>
      <w:pPr>
        <w:ind w:left="4" w:firstLine="987"/>
        <w:spacing w:after="0" w:line="226" w:lineRule="exact"/>
        <w:tabs>
          <w:tab w:leader="none" w:pos="1240" w:val="left"/>
        </w:tabs>
        <w:numPr>
          <w:ilvl w:val="1"/>
          <w:numId w:val="16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Exchange is from Restricted Physical Note to Unrestricted Physical Note</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Owner’s Exchange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199" w:lineRule="exact"/>
        <w:rPr>
          <w:sz w:val="20"/>
          <w:szCs w:val="20"/>
          <w:color w:val="auto"/>
        </w:rPr>
      </w:pPr>
    </w:p>
    <w:p>
      <w:pPr>
        <w:ind w:left="184" w:hanging="184"/>
        <w:spacing w:after="0"/>
        <w:tabs>
          <w:tab w:leader="none" w:pos="184"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Exchange of Restricted Physical Notes for Restricted Physical Notes or Beneficial Interests in Restricted Global Notes.</w:t>
      </w:r>
    </w:p>
    <w:p>
      <w:pPr>
        <w:spacing w:after="0" w:line="184" w:lineRule="exact"/>
        <w:rPr>
          <w:rFonts w:ascii="Arial" w:cs="Arial" w:eastAsia="Arial" w:hAnsi="Arial"/>
          <w:sz w:val="18"/>
          <w:szCs w:val="18"/>
          <w:color w:val="auto"/>
        </w:rPr>
      </w:pPr>
    </w:p>
    <w:p>
      <w:pPr>
        <w:ind w:left="4" w:right="140" w:firstLine="987"/>
        <w:spacing w:after="0" w:line="224" w:lineRule="exact"/>
        <w:tabs>
          <w:tab w:leader="none" w:pos="1240" w:val="left"/>
        </w:tabs>
        <w:numPr>
          <w:ilvl w:val="1"/>
          <w:numId w:val="16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Exchange is from Restricted Physical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Restricted Physical Note for a beneficial interest in the [CHECK ONE] __ Rule 144A Global Note or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004"/>
          </w:cols>
          <w:pgMar w:left="436" w:top="490" w:right="459" w:bottom="1440" w:gutter="0" w:footer="0" w:header="0"/>
        </w:sectPr>
      </w:pPr>
    </w:p>
    <w:bookmarkStart w:id="165" w:name="page166"/>
    <w:bookmarkEnd w:id="16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6350</wp:posOffset>
            </wp:positionV>
            <wp:extent cx="26060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6350</wp:posOffset>
            </wp:positionV>
            <wp:extent cx="24345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0019"/>
          </w:cols>
          <w:pgMar w:left="440" w:top="490"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European Holdings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Rue Emmy Noether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93400 Saint-Ouen,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Two Liberty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South 16th Street, 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Station: EX-PA-WBSP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19102</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Trustee Administration Manager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 Crown European Holdings S.A.</w:t>
      </w:r>
    </w:p>
    <w:p>
      <w:pPr>
        <w:spacing w:after="0" w:line="166" w:lineRule="exact"/>
        <w:rPr>
          <w:sz w:val="20"/>
          <w:szCs w:val="20"/>
          <w:color w:val="auto"/>
        </w:rPr>
      </w:pPr>
    </w:p>
    <w:p>
      <w:pPr>
        <w:jc w:val="center"/>
        <w:ind w:left="4040"/>
        <w:spacing w:after="0" w:line="207" w:lineRule="exact"/>
        <w:tabs>
          <w:tab w:leader="none" w:pos="200" w:val="left"/>
        </w:tabs>
        <w:rPr>
          <w:sz w:val="20"/>
          <w:szCs w:val="20"/>
          <w:color w:val="auto"/>
        </w:rPr>
      </w:pPr>
      <w:r>
        <w:rPr>
          <w:rFonts w:ascii="Arial" w:cs="Arial" w:eastAsia="Arial" w:hAnsi="Arial"/>
          <w:sz w:val="18"/>
          <w:szCs w:val="18"/>
          <w:color w:val="auto"/>
        </w:rPr>
        <w:t>Re:</w:t>
        <w:tab/>
      </w:r>
      <w:r>
        <w:rPr>
          <w:rFonts w:ascii="MS PGothic" w:cs="MS PGothic" w:eastAsia="MS PGothic" w:hAnsi="MS PGothic"/>
          <w:sz w:val="18"/>
          <w:szCs w:val="18"/>
          <w:color w:val="auto"/>
        </w:rPr>
        <w:t>☐</w:t>
      </w:r>
      <w:r>
        <w:rPr>
          <w:rFonts w:ascii="Arial" w:cs="Arial" w:eastAsia="Arial" w:hAnsi="Arial"/>
          <w:sz w:val="18"/>
          <w:szCs w:val="18"/>
          <w:color w:val="auto"/>
        </w:rPr>
        <w:t xml:space="preserve"> 5.000% Senior Notes due 2028</w:t>
      </w:r>
    </w:p>
    <w:p>
      <w:pPr>
        <w:spacing w:after="0" w:line="2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(CUSIP _____________)</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(ISIN _______________)</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(Common Code _______)</w:t>
      </w:r>
    </w:p>
    <w:p>
      <w:pPr>
        <w:spacing w:after="0" w:line="21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Reference is hereby made to the Indenture, dated as of May 18, 2023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among Crown European Holdings S.A., as issuer (the “</w:t>
      </w:r>
      <w:r>
        <w:rPr>
          <w:rFonts w:ascii="Arial" w:cs="Arial" w:eastAsia="Arial" w:hAnsi="Arial"/>
          <w:sz w:val="17"/>
          <w:szCs w:val="17"/>
          <w:u w:val="single" w:color="auto"/>
          <w:color w:val="auto"/>
        </w:rPr>
        <w:t>Issuer</w:t>
      </w:r>
      <w:r>
        <w:rPr>
          <w:rFonts w:ascii="Arial" w:cs="Arial" w:eastAsia="Arial" w:hAnsi="Arial"/>
          <w:sz w:val="17"/>
          <w:szCs w:val="17"/>
          <w:color w:val="auto"/>
        </w:rPr>
        <w:t>”), the Guarantors, U.S. Bank Trust Company, National Association, as trustee, Elavon Financial Services DAC, as paying agent, registrar and transfer agent. Capitalized terms used but not defined herein shall have the meanings given to them in the Indenture.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connection with our proposed purchase of ____________ aggregate principal amount of:</w:t>
      </w:r>
    </w:p>
    <w:p>
      <w:pPr>
        <w:spacing w:after="0" w:line="72" w:lineRule="exact"/>
        <w:rPr>
          <w:sz w:val="20"/>
          <w:szCs w:val="20"/>
          <w:color w:val="auto"/>
        </w:rPr>
      </w:pPr>
    </w:p>
    <w:p>
      <w:pPr>
        <w:ind w:left="1100" w:hanging="241"/>
        <w:spacing w:after="0" w:line="207" w:lineRule="exact"/>
        <w:tabs>
          <w:tab w:leader="none" w:pos="1100" w:val="left"/>
        </w:tabs>
        <w:numPr>
          <w:ilvl w:val="0"/>
          <w:numId w:val="1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117" w:lineRule="exact"/>
        <w:rPr>
          <w:rFonts w:ascii="Arial" w:cs="Arial" w:eastAsia="Arial" w:hAnsi="Arial"/>
          <w:sz w:val="18"/>
          <w:szCs w:val="18"/>
          <w:color w:val="auto"/>
        </w:rPr>
      </w:pPr>
    </w:p>
    <w:p>
      <w:pPr>
        <w:ind w:left="1120" w:hanging="261"/>
        <w:spacing w:after="0" w:line="207" w:lineRule="exact"/>
        <w:tabs>
          <w:tab w:leader="none" w:pos="1120" w:val="left"/>
        </w:tabs>
        <w:numPr>
          <w:ilvl w:val="0"/>
          <w:numId w:val="1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Physical Note,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117" w:lineRule="exact"/>
        <w:rPr>
          <w:sz w:val="20"/>
          <w:szCs w:val="20"/>
          <w:color w:val="auto"/>
        </w:rPr>
      </w:pPr>
    </w:p>
    <w:p>
      <w:pPr>
        <w:ind w:right="160" w:firstLine="987"/>
        <w:spacing w:after="0" w:line="311" w:lineRule="auto"/>
        <w:tabs>
          <w:tab w:leader="none" w:pos="11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020"/>
          </w:cols>
          <w:pgMar w:left="440" w:top="490" w:right="439" w:bottom="1440" w:gutter="0" w:footer="0" w:header="0"/>
        </w:sectPr>
      </w:pPr>
    </w:p>
    <w:bookmarkStart w:id="167" w:name="page168"/>
    <w:bookmarkEnd w:id="167"/>
    <w:p>
      <w:pPr>
        <w:jc w:val="both"/>
        <w:ind w:left="4" w:right="40" w:firstLine="987"/>
        <w:spacing w:after="0" w:line="287" w:lineRule="auto"/>
        <w:tabs>
          <w:tab w:leader="none" w:pos="1172" w:val="left"/>
        </w:tabs>
        <w:numPr>
          <w:ilvl w:val="1"/>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w:t>
      </w:r>
    </w:p>
    <w:p>
      <w:pPr>
        <w:spacing w:after="0" w:line="2" w:lineRule="exact"/>
        <w:rPr>
          <w:rFonts w:ascii="Arial" w:cs="Arial" w:eastAsia="Arial" w:hAnsi="Arial"/>
          <w:sz w:val="16"/>
          <w:szCs w:val="16"/>
          <w:color w:val="auto"/>
        </w:rPr>
      </w:pPr>
    </w:p>
    <w:p>
      <w:pPr>
        <w:ind w:left="4" w:right="200" w:hanging="4"/>
        <w:spacing w:after="0" w:line="281" w:lineRule="auto"/>
        <w:tabs>
          <w:tab w:leader="none" w:pos="28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w:t>
      </w:r>
    </w:p>
    <w:p>
      <w:pPr>
        <w:spacing w:after="0" w:line="2" w:lineRule="exact"/>
        <w:rPr>
          <w:rFonts w:ascii="Arial" w:cs="Arial" w:eastAsia="Arial" w:hAnsi="Arial"/>
          <w:sz w:val="16"/>
          <w:szCs w:val="16"/>
          <w:color w:val="auto"/>
        </w:rPr>
      </w:pPr>
    </w:p>
    <w:p>
      <w:pPr>
        <w:jc w:val="both"/>
        <w:ind w:left="4" w:right="20" w:hanging="4"/>
        <w:spacing w:after="0" w:line="253" w:lineRule="auto"/>
        <w:tabs>
          <w:tab w:leader="none" w:pos="29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outside the United States in accordance with Rule 904 of Regulation S under the Securities Act or (E) pursuant to an effective registration statement under the Securities Act, and we further agree to provide to any person purchasing the Physical Note or beneficial interest in a Global Note from us in a transaction meeting the requirements of clauses (A) through (E) of this paragraph a notice advising such purchaser that resales thereof are restricted as stated herein.</w:t>
      </w:r>
    </w:p>
    <w:p>
      <w:pPr>
        <w:spacing w:after="0" w:line="192" w:lineRule="exact"/>
        <w:rPr>
          <w:rFonts w:ascii="Arial" w:cs="Arial" w:eastAsia="Arial" w:hAnsi="Arial"/>
          <w:sz w:val="18"/>
          <w:szCs w:val="18"/>
          <w:color w:val="auto"/>
        </w:rPr>
      </w:pPr>
    </w:p>
    <w:p>
      <w:pPr>
        <w:ind w:left="4" w:right="60" w:firstLine="987"/>
        <w:spacing w:after="0" w:line="286" w:lineRule="auto"/>
        <w:tabs>
          <w:tab w:leader="none" w:pos="1172" w:val="left"/>
        </w:tabs>
        <w:numPr>
          <w:ilvl w:val="1"/>
          <w:numId w:val="172"/>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65" w:lineRule="exact"/>
        <w:rPr>
          <w:rFonts w:ascii="Arial" w:cs="Arial" w:eastAsia="Arial" w:hAnsi="Arial"/>
          <w:sz w:val="17"/>
          <w:szCs w:val="17"/>
          <w:color w:val="auto"/>
        </w:rPr>
      </w:pPr>
    </w:p>
    <w:p>
      <w:pPr>
        <w:ind w:left="4" w:firstLine="987"/>
        <w:spacing w:after="0" w:line="286" w:lineRule="auto"/>
        <w:tabs>
          <w:tab w:leader="none" w:pos="1172" w:val="left"/>
        </w:tabs>
        <w:numPr>
          <w:ilvl w:val="1"/>
          <w:numId w:val="172"/>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65" w:lineRule="exact"/>
        <w:rPr>
          <w:rFonts w:ascii="Arial" w:cs="Arial" w:eastAsia="Arial" w:hAnsi="Arial"/>
          <w:sz w:val="17"/>
          <w:szCs w:val="17"/>
          <w:color w:val="auto"/>
        </w:rPr>
      </w:pPr>
    </w:p>
    <w:p>
      <w:pPr>
        <w:ind w:left="4" w:right="400" w:firstLine="987"/>
        <w:spacing w:after="0" w:line="277" w:lineRule="auto"/>
        <w:tabs>
          <w:tab w:leader="none" w:pos="117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left="4" w:right="680" w:firstLine="991"/>
        <w:spacing w:after="0" w:line="308" w:lineRule="auto"/>
        <w:rPr>
          <w:sz w:val="20"/>
          <w:szCs w:val="20"/>
          <w:color w:val="auto"/>
        </w:rPr>
      </w:pPr>
      <w:r>
        <w:rPr>
          <w:rFonts w:ascii="Arial" w:cs="Arial" w:eastAsia="Arial" w:hAnsi="Arial"/>
          <w:sz w:val="17"/>
          <w:szCs w:val="17"/>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0964"/>
          </w:cols>
          <w:pgMar w:left="436" w:top="490" w:right="499" w:bottom="1440" w:gutter="0" w:footer="0" w:header="0"/>
        </w:sectPr>
      </w:pPr>
    </w:p>
    <w:bookmarkStart w:id="168" w:name="page169"/>
    <w:bookmarkEnd w:id="168"/>
    <w:p>
      <w:pPr>
        <w:ind w:left="6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[Insert Name of Accredited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-115570</wp:posOffset>
            </wp:positionV>
            <wp:extent cx="27946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0019"/>
          </w:cols>
          <w:pgMar w:left="440" w:top="503"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4" w:right="20" w:firstLine="991"/>
        <w:spacing w:after="0" w:line="269" w:lineRule="auto"/>
        <w:rPr>
          <w:sz w:val="20"/>
          <w:szCs w:val="20"/>
          <w:color w:val="auto"/>
        </w:rPr>
      </w:pPr>
      <w:r>
        <w:rPr>
          <w:rFonts w:ascii="Arial" w:cs="Arial" w:eastAsia="Arial" w:hAnsi="Arial"/>
          <w:sz w:val="17"/>
          <w:szCs w:val="17"/>
          <w:color w:val="auto"/>
        </w:rPr>
        <w:t>Each of the undersigned (the “</w:t>
      </w:r>
      <w:r>
        <w:rPr>
          <w:rFonts w:ascii="Arial" w:cs="Arial" w:eastAsia="Arial" w:hAnsi="Arial"/>
          <w:sz w:val="17"/>
          <w:szCs w:val="17"/>
          <w:u w:val="single" w:color="auto"/>
          <w:color w:val="auto"/>
        </w:rPr>
        <w:t>Guarantors</w:t>
      </w:r>
      <w:r>
        <w:rPr>
          <w:rFonts w:ascii="Arial" w:cs="Arial" w:eastAsia="Arial" w:hAnsi="Arial"/>
          <w:sz w:val="17"/>
          <w:szCs w:val="17"/>
          <w:color w:val="auto"/>
        </w:rPr>
        <w:t>”) hereby jointly and severally unconditionally guarantees, to the extent set forth in the Indenture, dated as of May 18, 2023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among Crown European Holdings S.A., as issuer (the “</w:t>
      </w:r>
      <w:r>
        <w:rPr>
          <w:rFonts w:ascii="Arial" w:cs="Arial" w:eastAsia="Arial" w:hAnsi="Arial"/>
          <w:sz w:val="17"/>
          <w:szCs w:val="17"/>
          <w:u w:val="single" w:color="auto"/>
          <w:color w:val="auto"/>
        </w:rPr>
        <w:t>Issuer</w:t>
      </w:r>
      <w:r>
        <w:rPr>
          <w:rFonts w:ascii="Arial" w:cs="Arial" w:eastAsia="Arial" w:hAnsi="Arial"/>
          <w:sz w:val="17"/>
          <w:szCs w:val="17"/>
          <w:color w:val="auto"/>
        </w:rPr>
        <w:t>”), the Guarantors, U.S. Bank Trust Company, National Association, as trustee, Elavon Financial Services DAC, as paying agent, registrar and transfer agent (as amended, restated or supplemented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and subject to the Indenture, (a) the due and punctual payment of the principal of, and premium, if any, and interest on the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Issuer to the Noteholders or the Trustee, all in accordance with the terms set forth in Article Ten of the Indenture,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and (c) all amounts due to the Trustee pursuant to the Indenture.</w:t>
      </w:r>
    </w:p>
    <w:p>
      <w:pPr>
        <w:spacing w:after="0" w:line="185"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The obligations of the Guarantors to the Noteholders and to the Trustee pursuant to this Guarantee and the Indenture are expressly set forth in Article Ten of the Indenture, and reference is hereby made to the Indenture for the precise terms and limitations of this Guarantee. Each Holder of the Note to which this Guarantee is endorsed, by accepting such Note, agrees to and shall be bound by such provisions. Capitalized terms used herein without definition shall have the meanings ascribed thereto in the Indenture.</w:t>
      </w:r>
    </w:p>
    <w:p>
      <w:pPr>
        <w:spacing w:after="0" w:line="187" w:lineRule="exact"/>
        <w:rPr>
          <w:sz w:val="20"/>
          <w:szCs w:val="20"/>
          <w:color w:val="auto"/>
        </w:rPr>
      </w:pPr>
    </w:p>
    <w:p>
      <w:pPr>
        <w:ind w:left="4" w:right="400" w:firstLine="991"/>
        <w:spacing w:after="0" w:line="308" w:lineRule="auto"/>
        <w:rPr>
          <w:sz w:val="20"/>
          <w:szCs w:val="20"/>
          <w:color w:val="auto"/>
        </w:rPr>
      </w:pPr>
      <w:r>
        <w:rPr>
          <w:rFonts w:ascii="Arial" w:cs="Arial" w:eastAsia="Arial" w:hAnsi="Arial"/>
          <w:sz w:val="17"/>
          <w:szCs w:val="17"/>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46"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the Indenture, the Notes and this Guarantee that may be instituted in any Federal or state court in the State of New York, The City of New York, the Borough of Manhattan or brought under Federal or state securities laws, and acknowledges that CT Corporation System has accepted such designation,</w:t>
      </w:r>
    </w:p>
    <w:p>
      <w:pPr>
        <w:spacing w:after="0" w:line="1" w:lineRule="exact"/>
        <w:rPr>
          <w:sz w:val="20"/>
          <w:szCs w:val="20"/>
          <w:color w:val="auto"/>
        </w:rPr>
      </w:pPr>
    </w:p>
    <w:p>
      <w:pPr>
        <w:ind w:left="4" w:right="80" w:hanging="4"/>
        <w:spacing w:after="0" w:line="255" w:lineRule="auto"/>
        <w:tabs>
          <w:tab w:leader="none" w:pos="26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irrevocably submits to the non-exclusive jurisdiction of any such court in any such suit or proceeding in (i) above and (iii) agrees that service of process upon CT Corporation System and written notice of said service to the Issuer in accordance with this Guarantee shall be deemed in every respect effective service of process upon the Issuer or any Guarantor, if any, in any such suit or proceeding.</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024"/>
          </w:cols>
          <w:pgMar w:left="436" w:top="490" w:right="439" w:bottom="1440" w:gutter="0" w:footer="0" w:header="0"/>
        </w:sectPr>
      </w:pPr>
    </w:p>
    <w:bookmarkStart w:id="170" w:name="page171"/>
    <w:bookmarkEnd w:id="170"/>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the Indenture shall be in full force and effect or any of the Notes shall be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 or any Guarantor may, by written notice to the Trustee, designate such additional or alternative agent for service of process under this Guarantee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Guarantee. Such notice shall identify the name and address of such agent for process in the Borough of Manhattan, The City of New York, the State of New York.</w:t>
      </w:r>
    </w:p>
    <w:p>
      <w:pPr>
        <w:spacing w:after="0" w:line="166"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the Indenture, the Notes and this Guarantee. In addition, the Issuer and each Guarantor irrevocably waives and agrees not to assert, by way of motion, as a defense, or otherwise in any such suit, action or proceeding, any claim that it is not personally subject to the jurisdiction of the courts mentioned above for any reason whatsoever, that such suit, action or proceeding is brought in an inconvenient forum or that the venue for such suit is improper, or that the Indenture, the Notes or this Guarantee or the subject matter hereof or thereof may not be enforced in such courts.</w:t>
      </w:r>
    </w:p>
    <w:p>
      <w:pPr>
        <w:spacing w:after="0" w:line="164" w:lineRule="exact"/>
        <w:rPr>
          <w:sz w:val="20"/>
          <w:szCs w:val="20"/>
          <w:color w:val="auto"/>
        </w:rPr>
      </w:pPr>
    </w:p>
    <w:p>
      <w:pPr>
        <w:jc w:val="both"/>
        <w:ind w:right="160" w:firstLine="991"/>
        <w:spacing w:after="0" w:line="279" w:lineRule="auto"/>
        <w:rPr>
          <w:sz w:val="20"/>
          <w:szCs w:val="20"/>
          <w:color w:val="auto"/>
        </w:rPr>
      </w:pPr>
      <w:r>
        <w:rPr>
          <w:rFonts w:ascii="Arial" w:cs="Arial" w:eastAsia="Arial" w:hAnsi="Arial"/>
          <w:sz w:val="17"/>
          <w:szCs w:val="17"/>
          <w:color w:val="auto"/>
        </w:rPr>
        <w:t>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Guarantee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000"/>
          </w:cols>
          <w:pgMar w:left="440" w:top="490" w:right="45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each of the Guarantors has caused this Guarantee to be signed by a duly authorized officer.</w:t>
      </w:r>
    </w:p>
    <w:p>
      <w:pPr>
        <w:spacing w:after="0" w:line="27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606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Thomas A. Kelly</w:t>
      </w:r>
    </w:p>
    <w:p>
      <w:pPr>
        <w:spacing w:after="0" w:line="23"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6"/>
          <w:szCs w:val="16"/>
          <w:color w:val="auto"/>
        </w:rPr>
        <w:t>Title:</w:t>
        <w:tab/>
        <w:t>Senior Vice President &amp;</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9579"/>
          </w:cols>
          <w:pgMar w:left="880" w:top="490" w:right="1440" w:bottom="1440" w:gutter="0" w:footer="0" w:header="0"/>
        </w:sectPr>
      </w:pPr>
    </w:p>
    <w:bookmarkStart w:id="172" w:name="page173"/>
    <w:bookmarkEnd w:id="172"/>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HOLDINGS,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jc w:val="both"/>
        <w:ind w:left="5600"/>
        <w:spacing w:after="0"/>
        <w:tabs>
          <w:tab w:leader="none" w:pos="6160" w:val="left"/>
        </w:tabs>
        <w:rPr>
          <w:sz w:val="20"/>
          <w:szCs w:val="20"/>
          <w:color w:val="auto"/>
        </w:rPr>
      </w:pPr>
      <w:r>
        <w:rPr>
          <w:rFonts w:ascii="Arial" w:cs="Arial" w:eastAsia="Arial" w:hAnsi="Arial"/>
          <w:sz w:val="18"/>
          <w:szCs w:val="18"/>
          <w:color w:val="auto"/>
        </w:rPr>
        <w:t>Title:</w:t>
        <w:tab/>
        <w:t>Senior Vice President &amp;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Financial Officer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I-7</w:t>
      </w:r>
    </w:p>
    <w:p>
      <w:pPr>
        <w:sectPr>
          <w:pgSz w:w="11900" w:h="16838" w:orient="portrait"/>
          <w:cols w:equalWidth="0" w:num="1">
            <w:col w:w="9019"/>
          </w:cols>
          <w:pgMar w:left="1440" w:top="490" w:right="1440" w:bottom="1440" w:gutter="0" w:footer="0" w:header="0"/>
        </w:sectPr>
      </w:pPr>
    </w:p>
    <w:bookmarkStart w:id="173" w:name="page174"/>
    <w:bookmarkEnd w:id="173"/>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AMERICAS LLC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6"/>
          <w:szCs w:val="16"/>
          <w:color w:val="auto"/>
        </w:rPr>
        <w:t>Title:</w:t>
        <w:tab/>
        <w:t>Vice President &amp; Treasurer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I-8</w:t>
      </w:r>
    </w:p>
    <w:p>
      <w:pPr>
        <w:sectPr>
          <w:pgSz w:w="11900" w:h="16838" w:orient="portrait"/>
          <w:cols w:equalWidth="0" w:num="1">
            <w:col w:w="9019"/>
          </w:cols>
          <w:pgMar w:left="1440" w:top="490" w:right="1440" w:bottom="1440" w:gutter="0" w:footer="0" w:header="0"/>
        </w:sectPr>
      </w:pPr>
    </w:p>
    <w:bookmarkStart w:id="174" w:name="page175"/>
    <w:bookmarkEnd w:id="174"/>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 USA, INC.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BEVERAGE PACKAGING PUERTO RICO,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INC.</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Christy L. Kalaus</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 and Controller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CONSULTANTS, INC.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FINANCIAL CORPORATION</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CORK &amp; SEAL COMPANY (DE), LLC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9620"/>
          </w:cols>
          <w:pgMar w:left="1440" w:top="490" w:right="839" w:bottom="1440" w:gutter="0" w:footer="0" w:header="0"/>
        </w:sectPr>
      </w:pPr>
    </w:p>
    <w:bookmarkStart w:id="175" w:name="page176"/>
    <w:bookmarkEnd w:id="175"/>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CORK &amp; SEAL USA,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200" w:val="left"/>
        </w:tabs>
        <w:rPr>
          <w:sz w:val="20"/>
          <w:szCs w:val="20"/>
          <w:color w:val="auto"/>
        </w:rPr>
      </w:pPr>
      <w:r>
        <w:rPr>
          <w:rFonts w:ascii="Arial" w:cs="Arial" w:eastAsia="Arial" w:hAnsi="Arial"/>
          <w:sz w:val="18"/>
          <w:szCs w:val="18"/>
          <w:color w:val="auto"/>
        </w:rPr>
        <w:t>Title:</w:t>
        <w:tab/>
        <w:t>Assistant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INDUSTRIAL GROUP US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2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FOREIGN MANUFACTURERS FINANCE</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INTERNATIONAL HOLDINGS, INC.</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PACKAGING TECHNOLOGY, INC.</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20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BEVERAGE PACKAGING, LLC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200" w:val="left"/>
        </w:tabs>
        <w:rPr>
          <w:sz w:val="20"/>
          <w:szCs w:val="20"/>
          <w:color w:val="auto"/>
        </w:rPr>
      </w:pPr>
      <w:r>
        <w:rPr>
          <w:rFonts w:ascii="Arial" w:cs="Arial" w:eastAsia="Arial" w:hAnsi="Arial"/>
          <w:sz w:val="18"/>
          <w:szCs w:val="18"/>
          <w:color w:val="auto"/>
        </w:rPr>
        <w:t>Title:</w:t>
        <w:tab/>
        <w:t>Assistant Treasurer</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I-10</w:t>
      </w:r>
    </w:p>
    <w:p>
      <w:pPr>
        <w:sectPr>
          <w:pgSz w:w="11900" w:h="16838" w:orient="portrait"/>
          <w:cols w:equalWidth="0" w:num="1">
            <w:col w:w="9160"/>
          </w:cols>
          <w:pgMar w:left="1440" w:top="706" w:right="1299" w:bottom="1440" w:gutter="0" w:footer="0" w:header="0"/>
        </w:sectPr>
      </w:pPr>
    </w:p>
    <w:bookmarkStart w:id="176" w:name="page177"/>
    <w:bookmarkEnd w:id="176"/>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BEVERAGE HOLDINGS, INC.</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I-11</w:t>
      </w:r>
    </w:p>
    <w:p>
      <w:pPr>
        <w:sectPr>
          <w:pgSz w:w="11900" w:h="16838" w:orient="portrait"/>
          <w:cols w:equalWidth="0" w:num="1">
            <w:col w:w="9019"/>
          </w:cols>
          <w:pgMar w:left="1440" w:top="490" w:right="1440" w:bottom="1440" w:gutter="0" w:footer="0" w:header="0"/>
        </w:sectPr>
      </w:pPr>
    </w:p>
    <w:bookmarkStart w:id="177" w:name="page178"/>
    <w:bookmarkEnd w:id="177"/>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INDUSTRIAL GROUP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INDUSTRIAL GROUP HOLDINGS US INC.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INTERNATIONAL IP 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SIMPLIMATIC ENGINEERING 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SIMPLIMTIC AUTOMATION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SEH REAL ESTATE HOLDINGS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 INTERNATIONAL HOLDING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 INTERNATIONAL HOLDINGS II LLC</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80"/>
              <w:spacing w:after="0" w:line="195" w:lineRule="exact"/>
              <w:rPr>
                <w:sz w:val="20"/>
                <w:szCs w:val="20"/>
                <w:color w:val="auto"/>
              </w:rPr>
            </w:pPr>
            <w:r>
              <w:rPr>
                <w:rFonts w:ascii="Arial" w:cs="Arial" w:eastAsia="Arial" w:hAnsi="Arial"/>
                <w:sz w:val="18"/>
                <w:szCs w:val="18"/>
                <w:color w:val="auto"/>
              </w:rPr>
              <w:t>David A. Beaver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80"/>
              <w:spacing w:after="0"/>
              <w:rPr>
                <w:sz w:val="20"/>
                <w:szCs w:val="20"/>
                <w:color w:val="auto"/>
              </w:rPr>
            </w:pPr>
            <w:r>
              <w:rPr>
                <w:rFonts w:ascii="Arial" w:cs="Arial" w:eastAsia="Arial" w:hAnsi="Arial"/>
                <w:sz w:val="18"/>
                <w:szCs w:val="18"/>
                <w:color w:val="auto"/>
              </w:rPr>
              <w:t>Vice President &amp; Assistant Treasurer</w:t>
            </w:r>
          </w:p>
        </w:tc>
      </w:tr>
    </w:tbl>
    <w:p>
      <w:pPr>
        <w:spacing w:after="0" w:line="13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0020"/>
          </w:cols>
          <w:pgMar w:left="1440" w:top="490" w:right="439" w:bottom="1440" w:gutter="0" w:footer="0" w:header="0"/>
        </w:sectPr>
      </w:pPr>
    </w:p>
    <w:bookmarkStart w:id="178" w:name="page179"/>
    <w:bookmarkEnd w:id="178"/>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3079939 NOVA SCOTIA</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COMPANY/3079939 COMPAGNIE DE LA</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NOUVELLE ECOSSE</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889273 ONTARIO INC.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CANADIAN HOLDINGS ULC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METAL PACKAGING</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CANADA INC.</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CANADA ULC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Peter Abraham</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right"/>
        <w:ind w:right="640"/>
        <w:spacing w:after="0"/>
        <w:rPr>
          <w:sz w:val="20"/>
          <w:szCs w:val="20"/>
          <w:color w:val="auto"/>
        </w:rPr>
      </w:pPr>
      <w:r>
        <w:rPr>
          <w:rFonts w:ascii="Arial" w:cs="Arial" w:eastAsia="Arial" w:hAnsi="Arial"/>
          <w:sz w:val="17"/>
          <w:szCs w:val="17"/>
          <w:color w:val="auto"/>
        </w:rPr>
        <w:t>CROWN METAL PACKAGING CANADA LP</w:t>
      </w:r>
    </w:p>
    <w:p>
      <w:pPr>
        <w:sectPr>
          <w:pgSz w:w="11900" w:h="16838" w:orient="portrait"/>
          <w:cols w:equalWidth="0" w:num="1">
            <w:col w:w="9700"/>
          </w:cols>
          <w:pgMar w:left="1440" w:top="490" w:right="759" w:bottom="1440" w:gutter="0" w:footer="0" w:header="0"/>
        </w:sect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Crown Metal Packaging Canada Inc., its General Partner</w:t>
      </w:r>
    </w:p>
    <w:p>
      <w:pPr>
        <w:spacing w:after="0" w:line="170" w:lineRule="exact"/>
        <w:rPr>
          <w:sz w:val="20"/>
          <w:szCs w:val="20"/>
          <w:color w:val="auto"/>
        </w:rPr>
      </w:pPr>
    </w:p>
    <w:p>
      <w:pPr>
        <w:sectPr>
          <w:pgSz w:w="11900" w:h="16838" w:orient="portrait"/>
          <w:cols w:equalWidth="0" w:num="2">
            <w:col w:w="5860" w:space="320"/>
            <w:col w:w="3520"/>
          </w:cols>
          <w:pgMar w:left="1440" w:top="490" w:right="75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6"/>
          <w:szCs w:val="16"/>
          <w:color w:val="auto"/>
        </w:rPr>
        <w:t>Title:</w:t>
        <w:tab/>
        <w:t>Vice President &amp; Treasurer</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9700"/>
          </w:cols>
          <w:pgMar w:left="1440" w:top="490" w:right="759" w:bottom="1440" w:gutter="0" w:footer="0" w:header="0"/>
          <w:type w:val="continuous"/>
        </w:sectPr>
      </w:pPr>
    </w:p>
    <w:bookmarkStart w:id="179" w:name="page180"/>
    <w:bookmarkEnd w:id="179"/>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BEVCAN FRANCE SAS</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Directeur Général</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DÉVELOPPEMENT</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Directeur Général</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EUROPE SAS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Jean-Francois Lelouch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Président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I-14</w:t>
      </w:r>
    </w:p>
    <w:p>
      <w:pPr>
        <w:sectPr>
          <w:pgSz w:w="11900" w:h="16838" w:orient="portrait"/>
          <w:cols w:equalWidth="0" w:num="1">
            <w:col w:w="9019"/>
          </w:cols>
          <w:pgMar w:left="1440" w:top="490" w:right="1440" w:bottom="1440" w:gutter="0" w:footer="0" w:header="0"/>
        </w:sectPr>
      </w:pPr>
    </w:p>
    <w:bookmarkStart w:id="180" w:name="page181"/>
    <w:bookmarkEnd w:id="180"/>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SOCIÉTÉ CIVILE IMMOBILIÉRE DES BACQUETS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SOCIÉTÉ CIVILE IMMOBILIÉRE ROUSSEAU IVRY</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SPG FRANCE HOLDINGS SAS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FRANCE SAS</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CORK &amp; SEAL DEUTSCHLAND HOLDINGS</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GMBH</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Jochen Lizenich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9840"/>
          </w:cols>
          <w:pgMar w:left="1440" w:top="490" w:right="619" w:bottom="1440" w:gutter="0" w:footer="0" w:header="0"/>
        </w:sectPr>
      </w:pPr>
    </w:p>
    <w:bookmarkStart w:id="181" w:name="page182"/>
    <w:bookmarkEnd w:id="181"/>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PACKAGING SYSTEMS GMBH</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MEZGER HEFTSYSTEME GMBH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SMP SCHWEDE MASCHINENBAU WEISCHLITZ</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GMBH</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SYSTEM GMBH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GERMANY GMBH</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Peter Aloys Buderath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SPG GERMANY SERVICE MANAGEMENT GMBH</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9600"/>
          </w:cols>
          <w:pgMar w:left="1440" w:top="490" w:right="859" w:bottom="1440" w:gutter="0" w:footer="0" w:header="0"/>
        </w:sectPr>
      </w:pPr>
    </w:p>
    <w:bookmarkStart w:id="182" w:name="page183"/>
    <w:bookmarkEnd w:id="182"/>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PACKAGING LUX III, S.À.R.L.</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Jacques Lancelon</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Manager B</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SPG INDUSTRIAL PACKAGING S.À.R.L.</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Jacques Lancelon</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Manager 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I-17</w:t>
      </w:r>
    </w:p>
    <w:p>
      <w:pPr>
        <w:sectPr>
          <w:pgSz w:w="11900" w:h="16838" w:orient="portrait"/>
          <w:cols w:equalWidth="0" w:num="1">
            <w:col w:w="9019"/>
          </w:cols>
          <w:pgMar w:left="1440" w:top="490" w:right="1440" w:bottom="1440" w:gutter="0" w:footer="0" w:header="0"/>
        </w:sectPr>
      </w:pPr>
    </w:p>
    <w:bookmarkStart w:id="183" w:name="page184"/>
    <w:bookmarkEnd w:id="183"/>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INDUSTRIAL GROUP LUX S.A.</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 A</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Jacques Lancelon</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 B</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LUXEMBOURG S.À.R.L.</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I-18</w:t>
      </w:r>
    </w:p>
    <w:p>
      <w:pPr>
        <w:sectPr>
          <w:pgSz w:w="11900" w:h="16838" w:orient="portrait"/>
          <w:cols w:equalWidth="0" w:num="1">
            <w:col w:w="9019"/>
          </w:cols>
          <w:pgMar w:left="1440" w:top="490" w:right="1440" w:bottom="1440" w:gutter="0" w:footer="0" w:header="0"/>
        </w:sectPr>
      </w:pPr>
    </w:p>
    <w:bookmarkStart w:id="184" w:name="page185"/>
    <w:bookmarkEnd w:id="184"/>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ENVASES MEXICO, S.A. DE C.V.</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FÁBRICAS MONTERREY,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FAMOSA,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SILICES DE VERACRUZ,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SILICE DEL ISTMO, S.A. DE C.V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VICHISA, S.A. DE C.V.</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6350</wp:posOffset>
            </wp:positionV>
            <wp:extent cx="24606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9"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MEXICO S. DE R.L. DE C.V.</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SIMPLIMATIC AUTOMATION S. DE R.L. DE C.V.</w:t>
      </w:r>
    </w:p>
    <w:p>
      <w:pPr>
        <w:spacing w:after="0" w:line="24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Maria Evelia Hernandez Rodriguez</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Secretary</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I-19</w:t>
      </w:r>
    </w:p>
    <w:p>
      <w:pPr>
        <w:sectPr>
          <w:pgSz w:w="11900" w:h="16838" w:orient="portrait"/>
          <w:cols w:equalWidth="0" w:num="1">
            <w:col w:w="9480"/>
          </w:cols>
          <w:pgMar w:left="1440" w:top="490" w:right="979" w:bottom="1440" w:gutter="0" w:footer="0" w:header="0"/>
        </w:sectPr>
      </w:pPr>
    </w:p>
    <w:bookmarkStart w:id="185" w:name="page186"/>
    <w:bookmarkEnd w:id="185"/>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FAMOSA B.V.</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SIVESA B.V.</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SISA MEXICO B.V.</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SIGNODE NETHERLANDS B.V.</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Jochen Linzenich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I-20</w:t>
      </w:r>
    </w:p>
    <w:p>
      <w:pPr>
        <w:sectPr>
          <w:pgSz w:w="11900" w:h="16838" w:orient="portrait"/>
          <w:cols w:equalWidth="0" w:num="1">
            <w:col w:w="9019"/>
          </w:cols>
          <w:pgMar w:left="1440" w:top="490" w:right="1440" w:bottom="1440" w:gutter="0" w:footer="0" w:header="0"/>
        </w:sectPr>
      </w:pPr>
    </w:p>
    <w:bookmarkStart w:id="186" w:name="page187"/>
    <w:bookmarkEnd w:id="186"/>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CROWN PACKAGING EUROPEAN HOLDINGS GMBH</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PACKAGING EUROPEAN DIVISION GMBH</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Andrea Vavassori</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SIGNODE SWITZERLAND GMBH</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9920"/>
          </w:cols>
          <w:pgMar w:left="1440" w:top="490" w:right="539" w:bottom="1440" w:gutter="0" w:footer="0" w:header="0"/>
        </w:sectPr>
      </w:pPr>
    </w:p>
    <w:bookmarkStart w:id="187" w:name="page188"/>
    <w:bookmarkEnd w:id="187"/>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CARNAUDMETALBOX ENGINEERING LIMITED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CARNAUDMETALBOX GROUP UK LIMITED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CARNAUDMETALBOX OVERSEAS LIMITED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PACKAGING MANUFACTURING UK</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LIMITED</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CROWN PACKAGING DISTRIBUTION UK LIMITED</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Tim Conybeare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CROWN UK HOLDINGS LIMITED</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9760"/>
          </w:cols>
          <w:pgMar w:left="1440" w:top="490" w:right="699" w:bottom="1440" w:gutter="0" w:footer="0" w:header="0"/>
        </w:sectPr>
      </w:pPr>
    </w:p>
    <w:bookmarkStart w:id="188" w:name="page189"/>
    <w:bookmarkEnd w:id="188"/>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SIGNODE UK LTD.</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Olaf Roth</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MEC-A-TEC SERVICES LIMITED</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I-23</w:t>
      </w:r>
    </w:p>
    <w:sectPr>
      <w:pgSz w:w="11900" w:h="16838" w:orient="portrait"/>
      <w:cols w:equalWidth="0" w:num="1">
        <w:col w:w="9019"/>
      </w:cols>
      <w:pgMar w:left="14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lowerLetter"/>
      <w:start w:val="4"/>
    </w:lvl>
  </w:abstractNum>
  <w:abstractNum w:abstractNumId="2">
    <w:nsid w:val="1716703B"/>
    <w:multiLevelType w:val="hybridMultilevel"/>
    <w:lvl w:ilvl="0">
      <w:lvlJc w:val="left"/>
      <w:lvlText w:val="(%1)"/>
      <w:numFmt w:val="decimal"/>
      <w:start w:val="1"/>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1)"/>
      <w:numFmt w:val="decimal"/>
      <w:start w:val="1"/>
    </w:lvl>
  </w:abstractNum>
  <w:abstractNum w:abstractNumId="5">
    <w:nsid w:val="74DE0EE3"/>
    <w:multiLevelType w:val="hybridMultilevel"/>
    <w:lvl w:ilvl="0">
      <w:lvlJc w:val="left"/>
      <w:lvlText w:val="(%1)"/>
      <w:numFmt w:val="decimal"/>
      <w:start w:val="4"/>
    </w:lvl>
  </w:abstractNum>
  <w:abstractNum w:abstractNumId="6">
    <w:nsid w:val="68EBC550"/>
    <w:multiLevelType w:val="hybridMultilevel"/>
    <w:lvl w:ilvl="0">
      <w:lvlJc w:val="left"/>
      <w:lvlText w:val="(%1)"/>
      <w:numFmt w:val="decimal"/>
      <w:start w:val="1"/>
    </w:lvl>
  </w:abstractNum>
  <w:abstractNum w:abstractNumId="7">
    <w:nsid w:val="2DF6D648"/>
    <w:multiLevelType w:val="hybridMultilevel"/>
    <w:lvl w:ilvl="0">
      <w:lvlJc w:val="left"/>
      <w:lvlText w:val="(%1)"/>
      <w:numFmt w:val="decimal"/>
      <w:start w:val="6"/>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1)"/>
      <w:numFmt w:val="decimal"/>
      <w:start w:val="1"/>
    </w:lvl>
  </w:abstractNum>
  <w:abstractNum w:abstractNumId="11">
    <w:nsid w:val="57FC4FBB"/>
    <w:multiLevelType w:val="hybridMultilevel"/>
    <w:lvl w:ilvl="0">
      <w:lvlJc w:val="left"/>
      <w:lvlText w:val="(%1)"/>
      <w:numFmt w:val="decimal"/>
      <w:start w:val="1"/>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1)"/>
      <w:numFmt w:val="decimal"/>
      <w:start w:val="3"/>
    </w:lvl>
  </w:abstractNum>
  <w:abstractNum w:abstractNumId="14">
    <w:nsid w:val="60EF0119"/>
    <w:multiLevelType w:val="hybridMultilevel"/>
    <w:lvl w:ilvl="0">
      <w:lvlJc w:val="left"/>
      <w:lvlText w:val="%1"/>
      <w:numFmt w:val="lowerLetter"/>
      <w:start w:val="1"/>
    </w:lvl>
    <w:lvl w:ilvl="1">
      <w:lvlJc w:val="left"/>
      <w:lvlText w:val="(%2)"/>
      <w:numFmt w:val="decimal"/>
      <w:start w:val="1"/>
    </w:lvl>
  </w:abstractNum>
  <w:abstractNum w:abstractNumId="15">
    <w:nsid w:val="26F324BA"/>
    <w:multiLevelType w:val="hybridMultilevel"/>
    <w:lvl w:ilvl="0">
      <w:lvlJc w:val="left"/>
      <w:lvlText w:val="(%1)"/>
      <w:numFmt w:val="lowerLetter"/>
      <w:start w:val="2"/>
    </w:lvl>
    <w:lvl w:ilvl="1">
      <w:lvlJc w:val="left"/>
      <w:lvlText w:val="(%2)"/>
      <w:numFmt w:val="decimal"/>
      <w:start w:val="3"/>
    </w:lvl>
  </w:abstractNum>
  <w:abstractNum w:abstractNumId="16">
    <w:nsid w:val="7F01579B"/>
    <w:multiLevelType w:val="hybridMultilevel"/>
    <w:lvl w:ilvl="0">
      <w:lvlJc w:val="left"/>
      <w:lvlText w:val="(%1)"/>
      <w:numFmt w:val="decimal"/>
      <w:start w:val="8"/>
    </w:lvl>
  </w:abstractNum>
  <w:abstractNum w:abstractNumId="17">
    <w:nsid w:val="49DA307D"/>
    <w:multiLevelType w:val="hybridMultilevel"/>
    <w:lvl w:ilvl="0">
      <w:lvlJc w:val="left"/>
      <w:lvlText w:val="(%1)"/>
      <w:numFmt w:val="decimal"/>
      <w:start w:val="14"/>
    </w:lvl>
  </w:abstractNum>
  <w:abstractNum w:abstractNumId="18">
    <w:nsid w:val="7055A5F5"/>
    <w:multiLevelType w:val="hybridMultilevel"/>
    <w:lvl w:ilvl="0">
      <w:lvlJc w:val="left"/>
      <w:lvlText w:val="(%1)"/>
      <w:numFmt w:val="decimal"/>
      <w:start w:val="1"/>
    </w:lvl>
  </w:abstractNum>
  <w:abstractNum w:abstractNumId="19">
    <w:nsid w:val="5FB8370B"/>
    <w:multiLevelType w:val="hybridMultilevel"/>
    <w:lvl w:ilvl="0">
      <w:lvlJc w:val="left"/>
      <w:lvlText w:val="(%1)"/>
      <w:numFmt w:val="decimal"/>
      <w:start w:val="2"/>
    </w:lvl>
  </w:abstractNum>
  <w:abstractNum w:abstractNumId="20">
    <w:nsid w:val="50801EE1"/>
    <w:multiLevelType w:val="hybridMultilevel"/>
    <w:lvl w:ilvl="0">
      <w:lvlJc w:val="left"/>
      <w:lvlText w:val="%1"/>
      <w:numFmt w:val="lowerLetter"/>
      <w:start w:val="1"/>
    </w:lvl>
    <w:lvl w:ilvl="1">
      <w:lvlJc w:val="left"/>
      <w:lvlText w:val="(%2)"/>
      <w:numFmt w:val="decimal"/>
      <w:start w:val="1"/>
    </w:lvl>
  </w:abstractNum>
  <w:abstractNum w:abstractNumId="21">
    <w:nsid w:val="488AC1A"/>
    <w:multiLevelType w:val="hybridMultilevel"/>
    <w:lvl w:ilvl="0">
      <w:lvlJc w:val="left"/>
      <w:lvlText w:val="(%1)"/>
      <w:numFmt w:val="lowerLetter"/>
      <w:start w:val="2"/>
    </w:lvl>
    <w:lvl w:ilvl="1">
      <w:lvlJc w:val="left"/>
      <w:lvlText w:val="%2"/>
      <w:numFmt w:val="decimal"/>
      <w:start w:val="1"/>
    </w:lvl>
  </w:abstractNum>
  <w:abstractNum w:abstractNumId="22">
    <w:nsid w:val="5FB8011C"/>
    <w:multiLevelType w:val="hybridMultilevel"/>
    <w:lvl w:ilvl="0">
      <w:lvlJc w:val="left"/>
      <w:lvlText w:val="(%1)"/>
      <w:numFmt w:val="decimal"/>
      <w:start w:val="1"/>
    </w:lvl>
  </w:abstractNum>
  <w:abstractNum w:abstractNumId="23">
    <w:nsid w:val="6AA78F7F"/>
    <w:multiLevelType w:val="hybridMultilevel"/>
    <w:lvl w:ilvl="0">
      <w:lvlJc w:val="left"/>
      <w:lvlText w:val="(%1)"/>
      <w:numFmt w:val="lowerLetter"/>
      <w:start w:val="1"/>
    </w:lvl>
  </w:abstractNum>
  <w:abstractNum w:abstractNumId="24">
    <w:nsid w:val="7672BD23"/>
    <w:multiLevelType w:val="hybridMultilevel"/>
    <w:lvl w:ilvl="0">
      <w:lvlJc w:val="left"/>
      <w:lvlText w:val="%1"/>
      <w:numFmt w:val="lowerLetter"/>
      <w:start w:val="1"/>
    </w:lvl>
    <w:lvl w:ilvl="1">
      <w:lvlJc w:val="left"/>
      <w:lvlText w:val="(%2)"/>
      <w:numFmt w:val="lowerLetter"/>
      <w:start w:val="2"/>
    </w:lvl>
  </w:abstractNum>
  <w:abstractNum w:abstractNumId="25">
    <w:nsid w:val="6FC75AF8"/>
    <w:multiLevelType w:val="hybridMultilevel"/>
    <w:lvl w:ilvl="0">
      <w:lvlJc w:val="left"/>
      <w:lvlText w:val="(%1)"/>
      <w:numFmt w:val="lowerLetter"/>
      <w:start w:val="25"/>
    </w:lvl>
    <w:lvl w:ilvl="1">
      <w:lvlJc w:val="left"/>
      <w:lvlText w:val="(%2)"/>
      <w:numFmt w:val="lowerLetter"/>
      <w:start w:val="3"/>
    </w:lvl>
  </w:abstractNum>
  <w:abstractNum w:abstractNumId="26">
    <w:nsid w:val="6A5F7029"/>
    <w:multiLevelType w:val="hybridMultilevel"/>
    <w:lvl w:ilvl="0">
      <w:lvlJc w:val="left"/>
      <w:lvlText w:val="(%1)"/>
      <w:numFmt w:val="lowerLetter"/>
      <w:start w:val="5"/>
    </w:lvl>
  </w:abstractNum>
  <w:abstractNum w:abstractNumId="27">
    <w:nsid w:val="7D5E18F8"/>
    <w:multiLevelType w:val="hybridMultilevel"/>
    <w:lvl w:ilvl="0">
      <w:lvlJc w:val="left"/>
      <w:lvlText w:val="%1"/>
      <w:numFmt w:val="lowerRoman"/>
      <w:start w:val="1"/>
    </w:lvl>
    <w:lvl w:ilvl="1">
      <w:lvlJc w:val="left"/>
      <w:lvlText w:val="(%2)"/>
      <w:numFmt w:val="lowerLetter"/>
      <w:start w:val="1"/>
    </w:lvl>
  </w:abstractNum>
  <w:abstractNum w:abstractNumId="28">
    <w:nsid w:val="5F3534A4"/>
    <w:multiLevelType w:val="hybridMultilevel"/>
    <w:lvl w:ilvl="0">
      <w:lvlJc w:val="left"/>
      <w:lvlText w:val="(%1)"/>
      <w:numFmt w:val="lowerRoman"/>
      <w:start w:val="1"/>
    </w:lvl>
    <w:lvl w:ilvl="1">
      <w:lvlJc w:val="left"/>
      <w:lvlText w:val="%2"/>
      <w:numFmt w:val="lowerLetter"/>
      <w:start w:val="1"/>
    </w:lvl>
  </w:abstractNum>
  <w:abstractNum w:abstractNumId="29">
    <w:nsid w:val="73A1821B"/>
    <w:multiLevelType w:val="hybridMultilevel"/>
    <w:lvl w:ilvl="0">
      <w:lvlJc w:val="left"/>
      <w:lvlText w:val="(%1)"/>
      <w:numFmt w:val="lowerRoman"/>
      <w:start w:val="3"/>
    </w:lvl>
    <w:lvl w:ilvl="1">
      <w:lvlJc w:val="left"/>
      <w:lvlText w:val="(%2)"/>
      <w:numFmt w:val="upperLetter"/>
      <w:start w:val="1"/>
    </w:lvl>
  </w:abstractNum>
  <w:abstractNum w:abstractNumId="30">
    <w:nsid w:val="7DE67713"/>
    <w:multiLevelType w:val="hybridMultilevel"/>
    <w:lvl w:ilvl="0">
      <w:lvlJc w:val="left"/>
      <w:lvlText w:val="(%1)"/>
      <w:numFmt w:val="lowerLetter"/>
      <w:start w:val="22"/>
    </w:lvl>
    <w:lvl w:ilvl="1">
      <w:lvlJc w:val="left"/>
      <w:lvlText w:val="(%2)"/>
      <w:numFmt w:val="lowerLetter"/>
      <w:start w:val="3"/>
    </w:lvl>
  </w:abstractNum>
  <w:abstractNum w:abstractNumId="31">
    <w:nsid w:val="555C55B5"/>
    <w:multiLevelType w:val="hybridMultilevel"/>
    <w:lvl w:ilvl="0">
      <w:lvlJc w:val="left"/>
      <w:lvlText w:val="(%1)"/>
      <w:numFmt w:val="lowerRoman"/>
      <w:start w:val="1"/>
    </w:lvl>
    <w:lvl w:ilvl="1">
      <w:lvlJc w:val="left"/>
      <w:lvlText w:val="(%2)"/>
      <w:numFmt w:val="upperLetter"/>
      <w:start w:val="1"/>
    </w:lvl>
  </w:abstractNum>
  <w:abstractNum w:abstractNumId="32">
    <w:nsid w:val="3FA62ACA"/>
    <w:multiLevelType w:val="hybridMultilevel"/>
    <w:lvl w:ilvl="0">
      <w:lvlJc w:val="left"/>
      <w:lvlText w:val="(%1)"/>
      <w:numFmt w:val="upperLetter"/>
      <w:start w:val="3"/>
    </w:lvl>
  </w:abstractNum>
  <w:abstractNum w:abstractNumId="33">
    <w:nsid w:val="14FCE74E"/>
    <w:multiLevelType w:val="hybridMultilevel"/>
    <w:lvl w:ilvl="0">
      <w:lvlJc w:val="left"/>
      <w:lvlText w:val="(%1)"/>
      <w:numFmt w:val="lowerRoman"/>
      <w:start w:val="2"/>
    </w:lvl>
    <w:lvl w:ilvl="1">
      <w:lvlJc w:val="left"/>
      <w:lvlText w:val="(%2)"/>
      <w:numFmt w:val="upperLetter"/>
      <w:start w:val="1"/>
    </w:lvl>
  </w:abstractNum>
  <w:abstractNum w:abstractNumId="34">
    <w:nsid w:val="6A3DD3E8"/>
    <w:multiLevelType w:val="hybridMultilevel"/>
    <w:lvl w:ilvl="0">
      <w:lvlJc w:val="left"/>
      <w:lvlText w:val="(%1)"/>
      <w:numFmt w:val="lowerRoman"/>
      <w:start w:val="3"/>
    </w:lvl>
    <w:lvl w:ilvl="1">
      <w:lvlJc w:val="left"/>
      <w:lvlText w:val="(%2)"/>
      <w:numFmt w:val="lowerLetter"/>
      <w:start w:val="5"/>
    </w:lvl>
  </w:abstractNum>
  <w:abstractNum w:abstractNumId="35">
    <w:nsid w:val="71C91298"/>
    <w:multiLevelType w:val="hybridMultilevel"/>
    <w:lvl w:ilvl="0">
      <w:lvlJc w:val="left"/>
      <w:lvlText w:val="(%1)"/>
      <w:numFmt w:val="lowerRoman"/>
      <w:start w:val="1"/>
    </w:lvl>
    <w:lvl w:ilvl="1">
      <w:lvlJc w:val="left"/>
      <w:lvlText w:val="(%2)"/>
      <w:numFmt w:val="upperLetter"/>
      <w:start w:val="1"/>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1"/>
      <w:numFmt w:val="decimal"/>
      <w:start w:val="1"/>
    </w:lvl>
    <w:lvl w:ilvl="1">
      <w:lvlJc w:val="left"/>
      <w:lvlText w:val="(%2)"/>
      <w:numFmt w:val="decimal"/>
      <w:start w:val="2"/>
    </w:lvl>
  </w:abstractNum>
  <w:abstractNum w:abstractNumId="38">
    <w:nsid w:val="1FBFE8E0"/>
    <w:multiLevelType w:val="hybridMultilevel"/>
    <w:lvl w:ilvl="0">
      <w:lvlJc w:val="left"/>
      <w:lvlText w:val="(%1)"/>
      <w:numFmt w:val="decimal"/>
      <w:start w:val="4"/>
    </w:lvl>
    <w:lvl w:ilvl="1">
      <w:lvlJc w:val="left"/>
      <w:lvlText w:val="%2"/>
      <w:numFmt w:val="decimal"/>
      <w:start w:val="1"/>
    </w:lvl>
  </w:abstractNum>
  <w:abstractNum w:abstractNumId="39">
    <w:nsid w:val="5092CA79"/>
    <w:multiLevelType w:val="hybridMultilevel"/>
    <w:lvl w:ilvl="0">
      <w:lvlJc w:val="left"/>
      <w:lvlText w:val="(%1)"/>
      <w:numFmt w:val="lowerRoman"/>
      <w:start w:val="3"/>
    </w:lvl>
    <w:lvl w:ilvl="1">
      <w:lvlJc w:val="left"/>
      <w:lvlText w:val="(%2)"/>
      <w:numFmt w:val="lowerLetter"/>
      <w:start w:val="6"/>
    </w:lvl>
  </w:abstractNum>
  <w:abstractNum w:abstractNumId="40">
    <w:nsid w:val="1D545C4D"/>
    <w:multiLevelType w:val="hybridMultilevel"/>
    <w:lvl w:ilvl="0">
      <w:lvlJc w:val="left"/>
      <w:lvlText w:val="(%1)"/>
      <w:numFmt w:val="lowerLetter"/>
      <w:start w:val="8"/>
    </w:lvl>
  </w:abstractNum>
  <w:abstractNum w:abstractNumId="41">
    <w:nsid w:val="59ADEA3D"/>
    <w:multiLevelType w:val="hybridMultilevel"/>
    <w:lvl w:ilvl="0">
      <w:lvlJc w:val="left"/>
      <w:lvlText w:val="(%1)"/>
      <w:numFmt w:val="decimal"/>
      <w:start w:val="1"/>
    </w:lvl>
  </w:abstractNum>
  <w:abstractNum w:abstractNumId="42">
    <w:nsid w:val="288F1A34"/>
    <w:multiLevelType w:val="hybridMultilevel"/>
    <w:lvl w:ilvl="0">
      <w:lvlJc w:val="left"/>
      <w:lvlText w:val="(%1)"/>
      <w:numFmt w:val="lowerLetter"/>
      <w:start w:val="1"/>
    </w:lvl>
  </w:abstractNum>
  <w:abstractNum w:abstractNumId="43">
    <w:nsid w:val="2A155DBC"/>
    <w:multiLevelType w:val="hybridMultilevel"/>
    <w:lvl w:ilvl="0">
      <w:lvlJc w:val="left"/>
      <w:lvlText w:val="(%1)"/>
      <w:numFmt w:val="lowerLetter"/>
      <w:start w:val="2"/>
    </w:lvl>
  </w:abstractNum>
  <w:abstractNum w:abstractNumId="44">
    <w:nsid w:val="1D9F6E5F"/>
    <w:multiLevelType w:val="hybridMultilevel"/>
    <w:lvl w:ilvl="0">
      <w:lvlJc w:val="left"/>
      <w:lvlText w:val="(%1)"/>
      <w:numFmt w:val="lowerRoman"/>
      <w:start w:val="1"/>
    </w:lvl>
  </w:abstractNum>
  <w:abstractNum w:abstractNumId="45">
    <w:nsid w:val="97E1B4E"/>
    <w:multiLevelType w:val="hybridMultilevel"/>
    <w:lvl w:ilvl="0">
      <w:lvlJc w:val="left"/>
      <w:lvlText w:val="(%1)"/>
      <w:numFmt w:val="lowerLetter"/>
      <w:start w:val="1"/>
    </w:lvl>
  </w:abstractNum>
  <w:abstractNum w:abstractNumId="46">
    <w:nsid w:val="51088277"/>
    <w:multiLevelType w:val="hybridMultilevel"/>
    <w:lvl w:ilvl="0">
      <w:lvlJc w:val="left"/>
      <w:lvlText w:val="%1"/>
      <w:numFmt w:val="decimal"/>
      <w:start w:val="1"/>
    </w:lvl>
    <w:lvl w:ilvl="1">
      <w:lvlJc w:val="left"/>
      <w:lvlText w:val="(%2)"/>
      <w:numFmt w:val="lowerLetter"/>
      <w:start w:val="1"/>
    </w:lvl>
  </w:abstractNum>
  <w:abstractNum w:abstractNumId="47">
    <w:nsid w:val="1CA0C5FA"/>
    <w:multiLevelType w:val="hybridMultilevel"/>
    <w:lvl w:ilvl="0">
      <w:lvlJc w:val="left"/>
      <w:lvlText w:val="(%1)"/>
      <w:numFmt w:val="decimal"/>
      <w:start w:val="1"/>
    </w:lvl>
    <w:lvl w:ilvl="1">
      <w:lvlJc w:val="left"/>
      <w:lvlText w:val="%2"/>
      <w:numFmt w:val="lowerLetter"/>
      <w:start w:val="1"/>
    </w:lvl>
  </w:abstractNum>
  <w:abstractNum w:abstractNumId="48">
    <w:nsid w:val="53584BCB"/>
    <w:multiLevelType w:val="hybridMultilevel"/>
    <w:lvl w:ilvl="0">
      <w:lvlJc w:val="left"/>
      <w:lvlText w:val="(%1)"/>
      <w:numFmt w:val="decimal"/>
      <w:start w:val="5"/>
    </w:lvl>
    <w:lvl w:ilvl="1">
      <w:lvlJc w:val="left"/>
      <w:lvlText w:val="(%2)"/>
      <w:numFmt w:val="lowerLetter"/>
      <w:start w:val="3"/>
    </w:lvl>
  </w:abstractNum>
  <w:abstractNum w:abstractNumId="49">
    <w:nsid w:val="415E286C"/>
    <w:multiLevelType w:val="hybridMultilevel"/>
    <w:lvl w:ilvl="0">
      <w:lvlJc w:val="left"/>
      <w:lvlText w:val="(%1)"/>
      <w:numFmt w:val="decimal"/>
      <w:start w:val="1"/>
    </w:lvl>
  </w:abstractNum>
  <w:abstractNum w:abstractNumId="50">
    <w:nsid w:val="7C58FD05"/>
    <w:multiLevelType w:val="hybridMultilevel"/>
    <w:lvl w:ilvl="0">
      <w:lvlJc w:val="left"/>
      <w:lvlText w:val="(%1)"/>
      <w:numFmt w:val="lowerLetter"/>
      <w:start w:val="4"/>
    </w:lvl>
  </w:abstractNum>
  <w:abstractNum w:abstractNumId="51">
    <w:nsid w:val="23D86AAC"/>
    <w:multiLevelType w:val="hybridMultilevel"/>
    <w:lvl w:ilvl="0">
      <w:lvlJc w:val="left"/>
      <w:lvlText w:val="%1"/>
      <w:numFmt w:val="lowerRoman"/>
      <w:start w:val="1"/>
    </w:lvl>
    <w:lvl w:ilvl="1">
      <w:lvlJc w:val="left"/>
      <w:lvlText w:val="(%2)"/>
      <w:numFmt w:val="lowerLetter"/>
      <w:start w:val="1"/>
    </w:lvl>
  </w:abstractNum>
  <w:abstractNum w:abstractNumId="52">
    <w:nsid w:val="45E6D486"/>
    <w:multiLevelType w:val="hybridMultilevel"/>
    <w:lvl w:ilvl="0">
      <w:lvlJc w:val="left"/>
      <w:lvlText w:val="(%1)"/>
      <w:numFmt w:val="lowerRoman"/>
      <w:start w:val="1"/>
    </w:lvl>
    <w:lvl w:ilvl="1">
      <w:lvlJc w:val="left"/>
      <w:lvlText w:val="%2"/>
      <w:numFmt w:val="lowerLetter"/>
      <w:start w:val="1"/>
    </w:lvl>
  </w:abstractNum>
  <w:abstractNum w:abstractNumId="53">
    <w:nsid w:val="5C10FE21"/>
    <w:multiLevelType w:val="hybridMultilevel"/>
    <w:lvl w:ilvl="0">
      <w:lvlJc w:val="left"/>
      <w:lvlText w:val="(%1)"/>
      <w:numFmt w:val="lowerRoman"/>
      <w:start w:val="4"/>
    </w:lvl>
  </w:abstractNum>
  <w:abstractNum w:abstractNumId="54">
    <w:nsid w:val="E7FFA2B"/>
    <w:multiLevelType w:val="hybridMultilevel"/>
    <w:lvl w:ilvl="0">
      <w:lvlJc w:val="left"/>
      <w:lvlText w:val="%1"/>
      <w:numFmt w:val="decimal"/>
      <w:start w:val="1"/>
    </w:lvl>
    <w:lvl w:ilvl="1">
      <w:lvlJc w:val="left"/>
      <w:lvlText w:val="(%2)"/>
      <w:numFmt w:val="lowerLetter"/>
      <w:start w:val="1"/>
    </w:lvl>
  </w:abstractNum>
  <w:abstractNum w:abstractNumId="55">
    <w:nsid w:val="3C5991AA"/>
    <w:multiLevelType w:val="hybridMultilevel"/>
    <w:lvl w:ilvl="0">
      <w:lvlJc w:val="left"/>
      <w:lvlText w:val="(%1)"/>
      <w:numFmt w:val="decimal"/>
      <w:start w:val="1"/>
    </w:lvl>
    <w:lvl w:ilvl="1">
      <w:lvlJc w:val="left"/>
      <w:lvlText w:val="%2"/>
      <w:numFmt w:val="lowerLetter"/>
      <w:start w:val="1"/>
    </w:lvl>
  </w:abstractNum>
  <w:abstractNum w:abstractNumId="56">
    <w:nsid w:val="4BD8591A"/>
    <w:multiLevelType w:val="hybridMultilevel"/>
    <w:lvl w:ilvl="0">
      <w:lvlJc w:val="left"/>
      <w:lvlText w:val="(%1)"/>
      <w:numFmt w:val="lowerLetter"/>
      <w:start w:val="2"/>
    </w:lvl>
  </w:abstractNum>
  <w:abstractNum w:abstractNumId="57">
    <w:nsid w:val="78DF6A55"/>
    <w:multiLevelType w:val="hybridMultilevel"/>
    <w:lvl w:ilvl="0">
      <w:lvlJc w:val="left"/>
      <w:lvlText w:val="(%1)"/>
      <w:numFmt w:val="lowerLetter"/>
      <w:start w:val="4"/>
    </w:lvl>
  </w:abstractNum>
  <w:abstractNum w:abstractNumId="58">
    <w:nsid w:val="39B7AAA2"/>
    <w:multiLevelType w:val="hybridMultilevel"/>
    <w:lvl w:ilvl="0">
      <w:lvlJc w:val="left"/>
      <w:lvlText w:val="(%1)"/>
      <w:numFmt w:val="lowerLetter"/>
      <w:start w:val="1"/>
    </w:lvl>
    <w:lvl w:ilvl="1">
      <w:lvlJc w:val="left"/>
      <w:lvlText w:val="(%2)"/>
      <w:numFmt w:val="upperLetter"/>
      <w:start w:val="1"/>
    </w:lvl>
  </w:abstractNum>
  <w:abstractNum w:abstractNumId="59">
    <w:nsid w:val="2B0D8DBE"/>
    <w:multiLevelType w:val="hybridMultilevel"/>
    <w:lvl w:ilvl="0">
      <w:lvlJc w:val="left"/>
      <w:lvlText w:val="(%1)"/>
      <w:numFmt w:val="lowerLetter"/>
      <w:start w:val="2"/>
    </w:lvl>
  </w:abstractNum>
  <w:abstractNum w:abstractNumId="60">
    <w:nsid w:val="6C80EC70"/>
    <w:multiLevelType w:val="hybridMultilevel"/>
    <w:lvl w:ilvl="0">
      <w:lvlJc w:val="left"/>
      <w:lvlText w:val="(%1)"/>
      <w:numFmt w:val="lowerLetter"/>
      <w:start w:val="1"/>
    </w:lvl>
  </w:abstractNum>
  <w:abstractNum w:abstractNumId="61">
    <w:nsid w:val="379E21B5"/>
    <w:multiLevelType w:val="hybridMultilevel"/>
    <w:lvl w:ilvl="0">
      <w:lvlJc w:val="left"/>
      <w:lvlText w:val="(%1)"/>
      <w:numFmt w:val="decimal"/>
      <w:start w:val="1"/>
    </w:lvl>
  </w:abstractNum>
  <w:abstractNum w:abstractNumId="62">
    <w:nsid w:val="69E373"/>
    <w:multiLevelType w:val="hybridMultilevel"/>
    <w:lvl w:ilvl="0">
      <w:lvlJc w:val="left"/>
      <w:lvlText w:val="(%1)"/>
      <w:numFmt w:val="decimal"/>
      <w:start w:val="6"/>
    </w:lvl>
  </w:abstractNum>
  <w:abstractNum w:abstractNumId="63">
    <w:nsid w:val="2C27173B"/>
    <w:multiLevelType w:val="hybridMultilevel"/>
    <w:lvl w:ilvl="0">
      <w:lvlJc w:val="left"/>
      <w:lvlText w:val="(%1)"/>
      <w:numFmt w:val="lowerLetter"/>
      <w:start w:val="2"/>
    </w:lvl>
  </w:abstractNum>
  <w:abstractNum w:abstractNumId="64">
    <w:nsid w:val="4C9B0904"/>
    <w:multiLevelType w:val="hybridMultilevel"/>
    <w:lvl w:ilvl="0">
      <w:lvlJc w:val="left"/>
      <w:lvlText w:val="(%1)"/>
      <w:numFmt w:val="lowerLetter"/>
      <w:start w:val="4"/>
    </w:lvl>
  </w:abstractNum>
  <w:abstractNum w:abstractNumId="65">
    <w:nsid w:val="6AA7B75C"/>
    <w:multiLevelType w:val="hybridMultilevel"/>
    <w:lvl w:ilvl="0">
      <w:lvlJc w:val="left"/>
      <w:lvlText w:val="%1"/>
      <w:numFmt w:val="decimal"/>
      <w:start w:val="1"/>
    </w:lvl>
    <w:lvl w:ilvl="1">
      <w:lvlJc w:val="left"/>
      <w:lvlText w:val="(%2)"/>
      <w:numFmt w:val="lowerLetter"/>
      <w:start w:val="1"/>
    </w:lvl>
  </w:abstractNum>
  <w:abstractNum w:abstractNumId="66">
    <w:nsid w:val="1DF029D3"/>
    <w:multiLevelType w:val="hybridMultilevel"/>
    <w:lvl w:ilvl="0">
      <w:lvlJc w:val="left"/>
      <w:lvlText w:val="(%1)"/>
      <w:numFmt w:val="decimal"/>
      <w:start w:val="1"/>
    </w:lvl>
    <w:lvl w:ilvl="1">
      <w:lvlJc w:val="left"/>
      <w:lvlText w:val="%2"/>
      <w:numFmt w:val="lowerLetter"/>
      <w:start w:val="1"/>
    </w:lvl>
  </w:abstractNum>
  <w:abstractNum w:abstractNumId="67">
    <w:nsid w:val="5675FF36"/>
    <w:multiLevelType w:val="hybridMultilevel"/>
    <w:lvl w:ilvl="0">
      <w:lvlJc w:val="left"/>
      <w:lvlText w:val="(%1)"/>
      <w:numFmt w:val="upperLetter"/>
      <w:start w:val="2"/>
    </w:lvl>
  </w:abstractNum>
  <w:abstractNum w:abstractNumId="68">
    <w:nsid w:val="3DD15094"/>
    <w:multiLevelType w:val="hybridMultilevel"/>
    <w:lvl w:ilvl="0">
      <w:lvlJc w:val="left"/>
      <w:lvlText w:val="(%1)"/>
      <w:numFmt w:val="decimal"/>
      <w:start w:val="2"/>
    </w:lvl>
    <w:lvl w:ilvl="1">
      <w:lvlJc w:val="left"/>
      <w:lvlText w:val="(%2)"/>
      <w:numFmt w:val="lowerLetter"/>
      <w:start w:val="2"/>
    </w:lvl>
  </w:abstractNum>
  <w:abstractNum w:abstractNumId="69">
    <w:nsid w:val="3DB012B3"/>
    <w:multiLevelType w:val="hybridMultilevel"/>
    <w:lvl w:ilvl="0">
      <w:lvlJc w:val="left"/>
      <w:lvlText w:val="(%1)"/>
      <w:numFmt w:val="decimal"/>
      <w:start w:val="1"/>
    </w:lvl>
    <w:lvl w:ilvl="1">
      <w:lvlJc w:val="left"/>
      <w:lvlText w:val="(%2)"/>
      <w:numFmt w:val="lowerLetter"/>
      <w:start w:val="3"/>
    </w:lvl>
  </w:abstractNum>
  <w:abstractNum w:abstractNumId="70">
    <w:nsid w:val="2708C9AF"/>
    <w:multiLevelType w:val="hybridMultilevel"/>
    <w:lvl w:ilvl="0">
      <w:lvlJc w:val="left"/>
      <w:lvlText w:val="(%1)"/>
      <w:numFmt w:val="decimal"/>
      <w:start w:val="1"/>
    </w:lvl>
  </w:abstractNum>
  <w:abstractNum w:abstractNumId="71">
    <w:nsid w:val="5B25ACE2"/>
    <w:multiLevelType w:val="hybridMultilevel"/>
    <w:lvl w:ilvl="0">
      <w:lvlJc w:val="left"/>
      <w:lvlText w:val="(%1)"/>
      <w:numFmt w:val="decimal"/>
      <w:start w:val="6"/>
    </w:lvl>
  </w:abstractNum>
  <w:abstractNum w:abstractNumId="72">
    <w:nsid w:val="175DFCF0"/>
    <w:multiLevelType w:val="hybridMultilevel"/>
    <w:lvl w:ilvl="0">
      <w:lvlJc w:val="left"/>
      <w:lvlText w:val="(%1)"/>
      <w:numFmt w:val="decimal"/>
      <w:start w:val="1"/>
    </w:lvl>
  </w:abstractNum>
  <w:abstractNum w:abstractNumId="73">
    <w:nsid w:val="4F97E3E4"/>
    <w:multiLevelType w:val="hybridMultilevel"/>
    <w:lvl w:ilvl="0">
      <w:lvlJc w:val="left"/>
      <w:lvlText w:val="(%1)"/>
      <w:numFmt w:val="decimal"/>
      <w:start w:val="3"/>
    </w:lvl>
  </w:abstractNum>
  <w:abstractNum w:abstractNumId="74">
    <w:nsid w:val="53B0A9E"/>
    <w:multiLevelType w:val="hybridMultilevel"/>
    <w:lvl w:ilvl="0">
      <w:lvlJc w:val="left"/>
      <w:lvlText w:val="(%1)"/>
      <w:numFmt w:val="upperLetter"/>
      <w:start w:val="2"/>
    </w:lvl>
    <w:lvl w:ilvl="1">
      <w:lvlJc w:val="left"/>
      <w:lvlText w:val="(%2)"/>
      <w:numFmt w:val="decimal"/>
      <w:start w:val="8"/>
    </w:lvl>
  </w:abstractNum>
  <w:abstractNum w:abstractNumId="75">
    <w:nsid w:val="34FD6B4F"/>
    <w:multiLevelType w:val="hybridMultilevel"/>
    <w:lvl w:ilvl="0">
      <w:lvlJc w:val="left"/>
      <w:lvlText w:val="(%1)"/>
      <w:numFmt w:val="decimal"/>
      <w:start w:val="1"/>
    </w:lvl>
  </w:abstractNum>
  <w:abstractNum w:abstractNumId="76">
    <w:nsid w:val="5915FF32"/>
    <w:multiLevelType w:val="hybridMultilevel"/>
    <w:lvl w:ilvl="0">
      <w:lvlJc w:val="left"/>
      <w:lvlText w:val="(%1)"/>
      <w:numFmt w:val="decimal"/>
      <w:start w:val="2"/>
    </w:lvl>
  </w:abstractNum>
  <w:abstractNum w:abstractNumId="77">
    <w:nsid w:val="56438D15"/>
    <w:multiLevelType w:val="hybridMultilevel"/>
    <w:lvl w:ilvl="0">
      <w:lvlJc w:val="left"/>
      <w:lvlText w:val="(%1)"/>
      <w:numFmt w:val="lowerLetter"/>
      <w:start w:val="1"/>
    </w:lvl>
  </w:abstractNum>
  <w:abstractNum w:abstractNumId="78">
    <w:nsid w:val="519E3149"/>
    <w:multiLevelType w:val="hybridMultilevel"/>
    <w:lvl w:ilvl="0">
      <w:lvlJc w:val="left"/>
      <w:lvlText w:val="(%1)"/>
      <w:numFmt w:val="lowerLetter"/>
      <w:start w:val="2"/>
    </w:lvl>
  </w:abstractNum>
  <w:abstractNum w:abstractNumId="79">
    <w:nsid w:val="2C6E4AFD"/>
    <w:multiLevelType w:val="hybridMultilevel"/>
    <w:lvl w:ilvl="0">
      <w:lvlJc w:val="left"/>
      <w:lvlText w:val="(%1)"/>
      <w:numFmt w:val="decimal"/>
      <w:start w:val="1"/>
    </w:lvl>
  </w:abstractNum>
  <w:abstractNum w:abstractNumId="80">
    <w:nsid w:val="17A1B582"/>
    <w:multiLevelType w:val="hybridMultilevel"/>
    <w:lvl w:ilvl="0">
      <w:lvlJc w:val="left"/>
      <w:lvlText w:val="(%1)"/>
      <w:numFmt w:val="decimal"/>
      <w:start w:val="5"/>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decimal"/>
      <w:start w:val="1"/>
    </w:lvl>
    <w:lvl w:ilvl="1">
      <w:lvlJc w:val="left"/>
      <w:lvlText w:val="(%2)"/>
      <w:numFmt w:val="lowerLetter"/>
      <w:start w:val="2"/>
    </w:lvl>
  </w:abstractNum>
  <w:abstractNum w:abstractNumId="83">
    <w:nsid w:val="5D888A08"/>
    <w:multiLevelType w:val="hybridMultilevel"/>
    <w:lvl w:ilvl="0">
      <w:lvlJc w:val="left"/>
      <w:lvlText w:val="(%1)"/>
      <w:numFmt w:val="decimal"/>
      <w:start w:val="1"/>
    </w:lvl>
    <w:lvl w:ilvl="1">
      <w:lvlJc w:val="left"/>
      <w:lvlText w:val="(%2)"/>
      <w:numFmt w:val="lowerLetter"/>
      <w:start w:val="3"/>
    </w:lvl>
  </w:abstractNum>
  <w:abstractNum w:abstractNumId="84">
    <w:nsid w:val="2A082C70"/>
    <w:multiLevelType w:val="hybridMultilevel"/>
    <w:lvl w:ilvl="0">
      <w:lvlJc w:val="left"/>
      <w:lvlText w:val="(%1)"/>
      <w:numFmt w:val="decimal"/>
      <w:start w:val="1"/>
    </w:lvl>
  </w:abstractNum>
  <w:abstractNum w:abstractNumId="85">
    <w:nsid w:val="5EC6AFD4"/>
    <w:multiLevelType w:val="hybridMultilevel"/>
    <w:lvl w:ilvl="0">
      <w:lvlJc w:val="left"/>
      <w:lvlText w:val="(%1)"/>
      <w:numFmt w:val="decimal"/>
      <w:start w:val="2"/>
    </w:lvl>
    <w:lvl w:ilvl="1">
      <w:lvlJc w:val="left"/>
      <w:lvlText w:val="(%2)"/>
      <w:numFmt w:val="lowerLetter"/>
      <w:start w:val="4"/>
    </w:lvl>
  </w:abstractNum>
  <w:abstractNum w:abstractNumId="86">
    <w:nsid w:val="19E21BB2"/>
    <w:multiLevelType w:val="hybridMultilevel"/>
    <w:lvl w:ilvl="0">
      <w:lvlJc w:val="left"/>
      <w:lvlText w:val="(%1)"/>
      <w:numFmt w:val="decimal"/>
      <w:start w:val="1"/>
    </w:lvl>
  </w:abstractNum>
  <w:abstractNum w:abstractNumId="87">
    <w:nsid w:val="75E0858A"/>
    <w:multiLevelType w:val="hybridMultilevel"/>
    <w:lvl w:ilvl="0">
      <w:lvlJc w:val="left"/>
      <w:lvlText w:val="(%1)"/>
      <w:numFmt w:val="decimal"/>
      <w:start w:val="2"/>
    </w:lvl>
  </w:abstractNum>
  <w:abstractNum w:abstractNumId="88">
    <w:nsid w:val="57A61A29"/>
    <w:multiLevelType w:val="hybridMultilevel"/>
    <w:lvl w:ilvl="0">
      <w:lvlJc w:val="left"/>
      <w:lvlText w:val="(%1)"/>
      <w:numFmt w:val="decimal"/>
      <w:start w:val="10"/>
    </w:lvl>
  </w:abstractNum>
  <w:abstractNum w:abstractNumId="89">
    <w:nsid w:val="5399C654"/>
    <w:multiLevelType w:val="hybridMultilevel"/>
    <w:lvl w:ilvl="0">
      <w:lvlJc w:val="left"/>
      <w:lvlText w:val="(%1)"/>
      <w:numFmt w:val="decimal"/>
      <w:start w:val="1"/>
    </w:lvl>
  </w:abstractNum>
  <w:abstractNum w:abstractNumId="90">
    <w:nsid w:val="20EE1348"/>
    <w:multiLevelType w:val="hybridMultilevel"/>
    <w:lvl w:ilvl="0">
      <w:lvlJc w:val="left"/>
      <w:lvlText w:val="(%1)"/>
      <w:numFmt w:val="decimal"/>
      <w:start w:val="1"/>
    </w:lvl>
  </w:abstractNum>
  <w:abstractNum w:abstractNumId="91">
    <w:nsid w:val="4427069A"/>
    <w:multiLevelType w:val="hybridMultilevel"/>
    <w:lvl w:ilvl="0">
      <w:lvlJc w:val="left"/>
      <w:lvlText w:val="(%1)"/>
      <w:numFmt w:val="upperLetter"/>
      <w:start w:val="1"/>
    </w:lvl>
  </w:abstractNum>
  <w:abstractNum w:abstractNumId="92">
    <w:nsid w:val="B37E80A"/>
    <w:multiLevelType w:val="hybridMultilevel"/>
    <w:lvl w:ilvl="0">
      <w:lvlJc w:val="left"/>
      <w:lvlText w:val="(%1)"/>
      <w:numFmt w:val="decimal"/>
      <w:start w:val="1"/>
    </w:lvl>
  </w:abstractNum>
  <w:abstractNum w:abstractNumId="93">
    <w:nsid w:val="2157F6BC"/>
    <w:multiLevelType w:val="hybridMultilevel"/>
    <w:lvl w:ilvl="0">
      <w:lvlJc w:val="left"/>
      <w:lvlText w:val="%1"/>
      <w:numFmt w:val="decimal"/>
      <w:start w:val="1"/>
    </w:lvl>
    <w:lvl w:ilvl="1">
      <w:lvlJc w:val="left"/>
      <w:lvlText w:val="(%2)"/>
      <w:numFmt w:val="lowerLetter"/>
      <w:start w:val="1"/>
    </w:lvl>
  </w:abstractNum>
  <w:abstractNum w:abstractNumId="94">
    <w:nsid w:val="704E1DD5"/>
    <w:multiLevelType w:val="hybridMultilevel"/>
    <w:lvl w:ilvl="0">
      <w:lvlJc w:val="left"/>
      <w:lvlText w:val="(%1)"/>
      <w:numFmt w:val="decimal"/>
      <w:start w:val="1"/>
    </w:lvl>
    <w:lvl w:ilvl="1">
      <w:lvlJc w:val="left"/>
      <w:lvlText w:val="%2"/>
      <w:numFmt w:val="lowerLetter"/>
      <w:start w:val="1"/>
    </w:lvl>
  </w:abstractNum>
  <w:abstractNum w:abstractNumId="95">
    <w:nsid w:val="57D2F10E"/>
    <w:multiLevelType w:val="hybridMultilevel"/>
    <w:lvl w:ilvl="0">
      <w:lvlJc w:val="left"/>
      <w:lvlText w:val="(%1)"/>
      <w:numFmt w:val="decimal"/>
      <w:start w:val="7"/>
    </w:lvl>
    <w:lvl w:ilvl="1">
      <w:lvlJc w:val="left"/>
      <w:lvlText w:val="(%2)"/>
      <w:numFmt w:val="lowerLetter"/>
      <w:start w:val="3"/>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3"/>
    </w:lvl>
  </w:abstractNum>
  <w:abstractNum w:abstractNumId="98">
    <w:nsid w:val="2E48F044"/>
    <w:multiLevelType w:val="hybridMultilevel"/>
    <w:lvl w:ilvl="0">
      <w:lvlJc w:val="left"/>
      <w:lvlText w:val="%1"/>
      <w:numFmt w:val="lowerLetter"/>
      <w:start w:val="1"/>
    </w:lvl>
    <w:lvl w:ilvl="1">
      <w:lvlJc w:val="left"/>
      <w:lvlText w:val="(%2)"/>
      <w:numFmt w:val="decimal"/>
      <w:start w:val="1"/>
    </w:lvl>
  </w:abstractNum>
  <w:abstractNum w:abstractNumId="99">
    <w:nsid w:val="49D0FEAC"/>
    <w:multiLevelType w:val="hybridMultilevel"/>
    <w:lvl w:ilvl="0">
      <w:lvlJc w:val="left"/>
      <w:lvlText w:val="(%1)"/>
      <w:numFmt w:val="lowerLetter"/>
      <w:start w:val="3"/>
    </w:lvl>
    <w:lvl w:ilvl="1">
      <w:lvlJc w:val="left"/>
      <w:lvlText w:val="%2"/>
      <w:numFmt w:val="decimal"/>
      <w:start w:val="1"/>
    </w:lvl>
  </w:abstractNum>
  <w:abstractNum w:abstractNumId="100">
    <w:nsid w:val="4BEE5A5B"/>
    <w:multiLevelType w:val="hybridMultilevel"/>
    <w:lvl w:ilvl="0">
      <w:lvlJc w:val="left"/>
      <w:lvlText w:val="(%1)"/>
      <w:numFmt w:val="decimal"/>
      <w:start w:val="1"/>
    </w:lvl>
  </w:abstractNum>
  <w:abstractNum w:abstractNumId="101">
    <w:nsid w:val="5551B9F3"/>
    <w:multiLevelType w:val="hybridMultilevel"/>
    <w:lvl w:ilvl="0">
      <w:lvlJc w:val="left"/>
      <w:lvlText w:val="(%1)"/>
      <w:numFmt w:val="decimal"/>
      <w:start w:val="3"/>
    </w:lvl>
  </w:abstractNum>
  <w:abstractNum w:abstractNumId="102">
    <w:nsid w:val="24F6AB8E"/>
    <w:multiLevelType w:val="hybridMultilevel"/>
    <w:lvl w:ilvl="0">
      <w:lvlJc w:val="left"/>
      <w:lvlText w:val="(%1)"/>
      <w:numFmt w:val="lowerRoman"/>
      <w:start w:val="2"/>
    </w:lvl>
  </w:abstractNum>
  <w:abstractNum w:abstractNumId="103">
    <w:nsid w:val="634C574C"/>
    <w:multiLevelType w:val="hybridMultilevel"/>
    <w:lvl w:ilvl="0">
      <w:lvlJc w:val="left"/>
      <w:lvlText w:val="%1"/>
      <w:numFmt w:val="decimal"/>
      <w:start w:val="1"/>
    </w:lvl>
    <w:lvl w:ilvl="1">
      <w:lvlJc w:val="left"/>
      <w:lvlText w:val="(%2)"/>
      <w:numFmt w:val="lowerLetter"/>
      <w:start w:val="1"/>
    </w:lvl>
  </w:abstractNum>
  <w:abstractNum w:abstractNumId="104">
    <w:nsid w:val="24E99DD7"/>
    <w:multiLevelType w:val="hybridMultilevel"/>
    <w:lvl w:ilvl="0">
      <w:lvlJc w:val="left"/>
      <w:lvlText w:val="(%1)"/>
      <w:numFmt w:val="decimal"/>
      <w:start w:val="1"/>
    </w:lvl>
    <w:lvl w:ilvl="1">
      <w:lvlJc w:val="left"/>
      <w:lvlText w:val="%2"/>
      <w:numFmt w:val="lowerLetter"/>
      <w:start w:val="1"/>
    </w:lvl>
  </w:abstractNum>
  <w:abstractNum w:abstractNumId="105">
    <w:nsid w:val="2A31B62D"/>
    <w:multiLevelType w:val="hybridMultilevel"/>
    <w:lvl w:ilvl="0">
      <w:lvlJc w:val="left"/>
      <w:lvlText w:val="(%1)"/>
      <w:numFmt w:val="decimal"/>
      <w:start w:val="4"/>
    </w:lvl>
    <w:lvl w:ilvl="1">
      <w:lvlJc w:val="left"/>
      <w:lvlText w:val="(%2)"/>
      <w:numFmt w:val="lowerLetter"/>
      <w:start w:val="2"/>
    </w:lvl>
  </w:abstractNum>
  <w:abstractNum w:abstractNumId="106">
    <w:nsid w:val="1849C29B"/>
    <w:multiLevelType w:val="hybridMultilevel"/>
    <w:lvl w:ilvl="0">
      <w:lvlJc w:val="left"/>
      <w:lvlText w:val="%1"/>
      <w:numFmt w:val="decimal"/>
      <w:start w:val="1"/>
    </w:lvl>
    <w:lvl w:ilvl="1">
      <w:lvlJc w:val="left"/>
      <w:lvlText w:val="(%2)"/>
      <w:numFmt w:val="lowerLetter"/>
      <w:start w:val="1"/>
    </w:lvl>
  </w:abstractNum>
  <w:abstractNum w:abstractNumId="107">
    <w:nsid w:val="7DFF9D09"/>
    <w:multiLevelType w:val="hybridMultilevel"/>
    <w:lvl w:ilvl="0">
      <w:lvlJc w:val="left"/>
      <w:lvlText w:val="(%1)"/>
      <w:numFmt w:val="decimal"/>
      <w:start w:val="1"/>
    </w:lvl>
    <w:lvl w:ilvl="1">
      <w:lvlJc w:val="left"/>
      <w:lvlText w:val="%2"/>
      <w:numFmt w:val="lowerLetter"/>
      <w:start w:val="1"/>
    </w:lvl>
  </w:abstractNum>
  <w:abstractNum w:abstractNumId="108">
    <w:nsid w:val="754342"/>
    <w:multiLevelType w:val="hybridMultilevel"/>
    <w:lvl w:ilvl="0">
      <w:lvlJc w:val="left"/>
      <w:lvlText w:val="(%1)"/>
      <w:numFmt w:val="decimal"/>
      <w:start w:val="2"/>
    </w:lvl>
  </w:abstractNum>
  <w:abstractNum w:abstractNumId="109">
    <w:nsid w:val="69E7F3E5"/>
    <w:multiLevelType w:val="hybridMultilevel"/>
    <w:lvl w:ilvl="0">
      <w:lvlJc w:val="left"/>
      <w:lvlText w:val="%1"/>
      <w:numFmt w:val="lowerLetter"/>
      <w:start w:val="1"/>
    </w:lvl>
    <w:lvl w:ilvl="1">
      <w:lvlJc w:val="left"/>
      <w:lvlText w:val="(%2)"/>
      <w:numFmt w:val="decimal"/>
      <w:start w:val="6"/>
    </w:lvl>
  </w:abstractNum>
  <w:abstractNum w:abstractNumId="110">
    <w:nsid w:val="2A6DE806"/>
    <w:multiLevelType w:val="hybridMultilevel"/>
    <w:lvl w:ilvl="0">
      <w:lvlJc w:val="left"/>
      <w:lvlText w:val="(%1)"/>
      <w:numFmt w:val="lowerLetter"/>
      <w:start w:val="2"/>
    </w:lvl>
    <w:lvl w:ilvl="1">
      <w:lvlJc w:val="left"/>
      <w:lvlText w:val="(%2)"/>
      <w:numFmt w:val="decimal"/>
      <w:start w:val="7"/>
    </w:lvl>
  </w:abstractNum>
  <w:abstractNum w:abstractNumId="111">
    <w:nsid w:val="1816F8C4"/>
    <w:multiLevelType w:val="hybridMultilevel"/>
    <w:lvl w:ilvl="0">
      <w:lvlJc w:val="left"/>
      <w:lvlText w:val="(%1)"/>
      <w:numFmt w:val="decimal"/>
      <w:start w:val="8"/>
    </w:lvl>
  </w:abstractNum>
  <w:abstractNum w:abstractNumId="112">
    <w:nsid w:val="37DF22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3">
    <w:nsid w:val="7AB49D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4">
    <w:nsid w:val="759F82C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15">
    <w:nsid w:val="61E74EA3"/>
    <w:multiLevelType w:val="hybridMultilevel"/>
    <w:lvl w:ilvl="0">
      <w:lvlJc w:val="left"/>
      <w:lvlText w:val="(%1)"/>
      <w:numFmt w:val="decimal"/>
      <w:start w:val="9"/>
    </w:lvl>
    <w:lvl w:ilvl="1">
      <w:lvlJc w:val="left"/>
      <w:lvlText w:val="(%2)"/>
      <w:numFmt w:val="decimal"/>
      <w:start w:val="2"/>
    </w:lvl>
  </w:abstractNum>
  <w:abstractNum w:abstractNumId="116">
    <w:nsid w:val="597B4D84"/>
    <w:multiLevelType w:val="hybridMultilevel"/>
    <w:lvl w:ilvl="0">
      <w:lvlJc w:val="left"/>
      <w:lvlText w:val="(%1)"/>
      <w:numFmt w:val="decimal"/>
      <w:start w:val="1"/>
    </w:lvl>
  </w:abstractNum>
  <w:abstractNum w:abstractNumId="117">
    <w:nsid w:val="F819E7F"/>
    <w:multiLevelType w:val="hybridMultilevel"/>
    <w:lvl w:ilvl="0">
      <w:lvlJc w:val="left"/>
      <w:lvlText w:val="(%1)"/>
      <w:numFmt w:val="decimal"/>
      <w:start w:val="1"/>
    </w:lvl>
  </w:abstractNum>
  <w:abstractNum w:abstractNumId="118">
    <w:nsid w:val="57C7D42D"/>
    <w:multiLevelType w:val="hybridMultilevel"/>
    <w:lvl w:ilvl="0">
      <w:lvlJc w:val="left"/>
      <w:lvlText w:val="(%1)"/>
      <w:numFmt w:val="lowerLetter"/>
      <w:start w:val="1"/>
    </w:lvl>
  </w:abstractNum>
  <w:abstractNum w:abstractNumId="119">
    <w:nsid w:val="312167AD"/>
    <w:multiLevelType w:val="hybridMultilevel"/>
    <w:lvl w:ilvl="0">
      <w:lvlJc w:val="left"/>
      <w:lvlText w:val="(%1)"/>
      <w:numFmt w:val="lowerLetter"/>
      <w:start w:val="9"/>
    </w:lvl>
    <w:lvl w:ilvl="1">
      <w:lvlJc w:val="left"/>
      <w:lvlText w:val="(%2)"/>
      <w:numFmt w:val="lowerLetter"/>
      <w:start w:val="2"/>
    </w:lvl>
  </w:abstractNum>
  <w:abstractNum w:abstractNumId="120">
    <w:nsid w:val="631B64D4"/>
    <w:multiLevelType w:val="hybridMultilevel"/>
    <w:lvl w:ilvl="0">
      <w:lvlJc w:val="left"/>
      <w:lvlText w:val="(%1)"/>
      <w:numFmt w:val="lowerLetter"/>
      <w:start w:val="1"/>
    </w:lvl>
  </w:abstractNum>
  <w:abstractNum w:abstractNumId="121">
    <w:nsid w:val="78B5E776"/>
    <w:multiLevelType w:val="hybridMultilevel"/>
    <w:lvl w:ilvl="0">
      <w:lvlJc w:val="left"/>
      <w:lvlText w:val="(%1)"/>
      <w:numFmt w:val="lowerLetter"/>
      <w:start w:val="2"/>
    </w:lvl>
  </w:abstractNum>
  <w:abstractNum w:abstractNumId="122">
    <w:nsid w:val="75486E47"/>
    <w:multiLevelType w:val="hybridMultilevel"/>
    <w:lvl w:ilvl="0">
      <w:lvlJc w:val="left"/>
      <w:lvlText w:val="(%1)"/>
      <w:numFmt w:val="upperLetter"/>
      <w:start w:val="2"/>
    </w:lvl>
  </w:abstractNum>
  <w:abstractNum w:abstractNumId="123">
    <w:nsid w:val="6E534CDE"/>
    <w:multiLevelType w:val="hybridMultilevel"/>
    <w:lvl w:ilvl="0">
      <w:lvlJc w:val="left"/>
      <w:lvlText w:val="(%1)"/>
      <w:numFmt w:val="decimal"/>
      <w:start w:val="2"/>
    </w:lvl>
    <w:lvl w:ilvl="1">
      <w:lvlJc w:val="left"/>
      <w:lvlText w:val="(%2)"/>
      <w:numFmt w:val="lowerLetter"/>
      <w:start w:val="3"/>
    </w:lvl>
  </w:abstractNum>
  <w:abstractNum w:abstractNumId="124">
    <w:nsid w:val="1A0DDE32"/>
    <w:multiLevelType w:val="hybridMultilevel"/>
    <w:lvl w:ilvl="0">
      <w:lvlJc w:val="left"/>
      <w:lvlText w:val="(%1)"/>
      <w:numFmt w:val="lowerLetter"/>
      <w:start w:val="1"/>
    </w:lvl>
  </w:abstractNum>
  <w:abstractNum w:abstractNumId="125">
    <w:nsid w:val="65968C1C"/>
    <w:multiLevelType w:val="hybridMultilevel"/>
    <w:lvl w:ilvl="0">
      <w:lvlJc w:val="left"/>
      <w:lvlText w:val="%1"/>
      <w:numFmt w:val="lowerRoman"/>
      <w:start w:val="1"/>
    </w:lvl>
    <w:lvl w:ilvl="1">
      <w:lvlJc w:val="left"/>
      <w:lvlText w:val="(%2)"/>
      <w:numFmt w:val="lowerLetter"/>
      <w:start w:val="2"/>
    </w:lvl>
  </w:abstractNum>
  <w:abstractNum w:abstractNumId="126">
    <w:nsid w:val="46263DEC"/>
    <w:multiLevelType w:val="hybridMultilevel"/>
    <w:lvl w:ilvl="0">
      <w:lvlJc w:val="left"/>
      <w:lvlText w:val="(%1)"/>
      <w:numFmt w:val="lowerRoman"/>
      <w:start w:val="1"/>
    </w:lvl>
    <w:lvl w:ilvl="1">
      <w:lvlJc w:val="left"/>
      <w:lvlText w:val="%2"/>
      <w:numFmt w:val="lowerLetter"/>
      <w:start w:val="1"/>
    </w:lvl>
  </w:abstractNum>
  <w:abstractNum w:abstractNumId="127">
    <w:nsid w:val="260D8C4A"/>
    <w:multiLevelType w:val="hybridMultilevel"/>
    <w:lvl w:ilvl="0">
      <w:lvlJc w:val="left"/>
      <w:lvlText w:val="%1."/>
      <w:numFmt w:val="decimal"/>
      <w:start w:val="1"/>
    </w:lvl>
  </w:abstractNum>
  <w:abstractNum w:abstractNumId="128">
    <w:nsid w:val="73D4D3C4"/>
    <w:multiLevelType w:val="hybridMultilevel"/>
    <w:lvl w:ilvl="0">
      <w:lvlJc w:val="left"/>
      <w:lvlText w:val="1"/>
      <w:numFmt w:val="bullet"/>
      <w:start w:val="1"/>
    </w:lvl>
  </w:abstractNum>
  <w:abstractNum w:abstractNumId="129">
    <w:nsid w:val="746F2E30"/>
    <w:multiLevelType w:val="hybridMultilevel"/>
    <w:lvl w:ilvl="0">
      <w:lvlJc w:val="left"/>
      <w:lvlText w:val="2"/>
      <w:numFmt w:val="bullet"/>
      <w:start w:val="1"/>
    </w:lvl>
  </w:abstractNum>
  <w:abstractNum w:abstractNumId="130">
    <w:nsid w:val="6FDE8AF6"/>
    <w:multiLevelType w:val="hybridMultilevel"/>
    <w:lvl w:ilvl="0">
      <w:lvlJc w:val="left"/>
      <w:lvlText w:val="%1."/>
      <w:numFmt w:val="decimal"/>
      <w:start w:val="5"/>
    </w:lvl>
  </w:abstractNum>
  <w:abstractNum w:abstractNumId="131">
    <w:nsid w:val="3FC32E20"/>
    <w:multiLevelType w:val="hybridMultilevel"/>
    <w:lvl w:ilvl="0">
      <w:lvlJc w:val="left"/>
      <w:lvlText w:val="(%1)"/>
      <w:numFmt w:val="lowerLetter"/>
      <w:start w:val="1"/>
    </w:lvl>
  </w:abstractNum>
  <w:abstractNum w:abstractNumId="132">
    <w:nsid w:val="49C0E823"/>
    <w:multiLevelType w:val="hybridMultilevel"/>
    <w:lvl w:ilvl="0">
      <w:lvlJc w:val="left"/>
      <w:lvlText w:val="%1"/>
      <w:numFmt w:val="lowerRoman"/>
      <w:start w:val="1"/>
    </w:lvl>
    <w:lvl w:ilvl="1">
      <w:lvlJc w:val="left"/>
      <w:lvlText w:val="%2."/>
      <w:numFmt w:val="decimal"/>
      <w:start w:val="6"/>
    </w:lvl>
  </w:abstractNum>
  <w:abstractNum w:abstractNumId="133">
    <w:nsid w:val="14D53685"/>
    <w:multiLevelType w:val="hybridMultilevel"/>
    <w:lvl w:ilvl="0">
      <w:lvlJc w:val="left"/>
      <w:lvlText w:val="(%1)"/>
      <w:numFmt w:val="lowerRoman"/>
      <w:start w:val="2"/>
    </w:lvl>
    <w:lvl w:ilvl="1">
      <w:lvlJc w:val="left"/>
      <w:lvlText w:val="%2"/>
      <w:numFmt w:val="decimal"/>
      <w:start w:val="1"/>
    </w:lvl>
  </w:abstractNum>
  <w:abstractNum w:abstractNumId="134">
    <w:nsid w:val="230F856C"/>
    <w:multiLevelType w:val="hybridMultilevel"/>
    <w:lvl w:ilvl="0">
      <w:lvlJc w:val="left"/>
      <w:lvlText w:val="%1."/>
      <w:numFmt w:val="decimal"/>
      <w:start w:val="7"/>
    </w:lvl>
  </w:abstractNum>
  <w:abstractNum w:abstractNumId="135">
    <w:nsid w:val="6EAA85FB"/>
    <w:multiLevelType w:val="hybridMultilevel"/>
    <w:lvl w:ilvl="0">
      <w:lvlJc w:val="left"/>
      <w:lvlText w:val="%1."/>
      <w:numFmt w:val="decimal"/>
      <w:start w:val="12"/>
    </w:lvl>
  </w:abstractNum>
  <w:abstractNum w:abstractNumId="136">
    <w:nsid w:val="3F06ECB2"/>
    <w:multiLevelType w:val="hybridMultilevel"/>
    <w:lvl w:ilvl="0">
      <w:lvlJc w:val="left"/>
      <w:lvlText w:val="(%1)"/>
      <w:numFmt w:val="decimal"/>
      <w:start w:val="1"/>
    </w:lvl>
  </w:abstractNum>
  <w:abstractNum w:abstractNumId="137">
    <w:nsid w:val="3B594807"/>
    <w:multiLevelType w:val="hybridMultilevel"/>
    <w:lvl w:ilvl="0">
      <w:lvlJc w:val="left"/>
      <w:lvlText w:val="(%1)"/>
      <w:numFmt w:val="decimal"/>
      <w:start w:val="2"/>
    </w:lvl>
  </w:abstractNum>
  <w:abstractNum w:abstractNumId="138">
    <w:nsid w:val="6CAA2304"/>
    <w:multiLevelType w:val="hybridMultilevel"/>
    <w:lvl w:ilvl="0">
      <w:lvlJc w:val="left"/>
      <w:lvlText w:val="%1."/>
      <w:numFmt w:val="decimal"/>
      <w:start w:val="16"/>
    </w:lvl>
  </w:abstractNum>
  <w:abstractNum w:abstractNumId="139">
    <w:nsid w:val="3F7C2FF4"/>
    <w:multiLevelType w:val="hybridMultilevel"/>
    <w:lvl w:ilvl="0">
      <w:lvlJc w:val="left"/>
      <w:lvlText w:val="%1."/>
      <w:numFmt w:val="decimal"/>
      <w:start w:val="21"/>
    </w:lvl>
  </w:abstractNum>
  <w:abstractNum w:abstractNumId="140">
    <w:nsid w:val="25413BEC"/>
    <w:multiLevelType w:val="hybridMultilevel"/>
    <w:lvl w:ilvl="0">
      <w:lvlJc w:val="left"/>
      <w:lvlText w:val="%1."/>
      <w:numFmt w:val="decimal"/>
      <w:start w:val="1"/>
    </w:lvl>
  </w:abstractNum>
  <w:abstractNum w:abstractNumId="141">
    <w:nsid w:val="17180B0B"/>
    <w:multiLevelType w:val="hybridMultilevel"/>
    <w:lvl w:ilvl="0">
      <w:lvlJc w:val="left"/>
      <w:lvlText w:val="3"/>
      <w:numFmt w:val="bullet"/>
      <w:start w:val="1"/>
    </w:lvl>
  </w:abstractNum>
  <w:abstractNum w:abstractNumId="142">
    <w:nsid w:val="579328B9"/>
    <w:multiLevelType w:val="hybridMultilevel"/>
    <w:lvl w:ilvl="0">
      <w:lvlJc w:val="left"/>
      <w:lvlText w:val="4"/>
      <w:numFmt w:val="bullet"/>
      <w:start w:val="1"/>
    </w:lvl>
  </w:abstractNum>
  <w:abstractNum w:abstractNumId="143">
    <w:nsid w:val="5D205E20"/>
    <w:multiLevelType w:val="hybridMultilevel"/>
    <w:lvl w:ilvl="0">
      <w:lvlJc w:val="left"/>
      <w:lvlText w:val="%1."/>
      <w:numFmt w:val="decimal"/>
      <w:start w:val="5"/>
    </w:lvl>
  </w:abstractNum>
  <w:abstractNum w:abstractNumId="144">
    <w:nsid w:val="11CCA8BA"/>
    <w:multiLevelType w:val="hybridMultilevel"/>
    <w:lvl w:ilvl="0">
      <w:lvlJc w:val="left"/>
      <w:lvlText w:val="(%1)"/>
      <w:numFmt w:val="lowerLetter"/>
      <w:start w:val="1"/>
    </w:lvl>
  </w:abstractNum>
  <w:abstractNum w:abstractNumId="145">
    <w:nsid w:val="4D32AB86"/>
    <w:multiLevelType w:val="hybridMultilevel"/>
    <w:lvl w:ilvl="0">
      <w:lvlJc w:val="left"/>
      <w:lvlText w:val="%1."/>
      <w:numFmt w:val="decimal"/>
      <w:start w:val="6"/>
    </w:lvl>
  </w:abstractNum>
  <w:abstractNum w:abstractNumId="146">
    <w:nsid w:val="3F07ACC3"/>
    <w:multiLevelType w:val="hybridMultilevel"/>
    <w:lvl w:ilvl="0">
      <w:lvlJc w:val="left"/>
      <w:lvlText w:val="%1."/>
      <w:numFmt w:val="decimal"/>
      <w:start w:val="7"/>
    </w:lvl>
  </w:abstractNum>
  <w:abstractNum w:abstractNumId="147">
    <w:nsid w:val="6B47F63E"/>
    <w:multiLevelType w:val="hybridMultilevel"/>
    <w:lvl w:ilvl="0">
      <w:lvlJc w:val="left"/>
      <w:lvlText w:val="%1."/>
      <w:numFmt w:val="decimal"/>
      <w:start w:val="12"/>
    </w:lvl>
  </w:abstractNum>
  <w:abstractNum w:abstractNumId="148">
    <w:nsid w:val="5CB44A05"/>
    <w:multiLevelType w:val="hybridMultilevel"/>
    <w:lvl w:ilvl="0">
      <w:lvlJc w:val="left"/>
      <w:lvlText w:val="(%1)"/>
      <w:numFmt w:val="decimal"/>
      <w:start w:val="1"/>
    </w:lvl>
  </w:abstractNum>
  <w:abstractNum w:abstractNumId="149">
    <w:nsid w:val="16CF80F1"/>
    <w:multiLevelType w:val="hybridMultilevel"/>
    <w:lvl w:ilvl="0">
      <w:lvlJc w:val="left"/>
      <w:lvlText w:val="(%1)"/>
      <w:numFmt w:val="decimal"/>
      <w:start w:val="2"/>
    </w:lvl>
  </w:abstractNum>
  <w:abstractNum w:abstractNumId="150">
    <w:nsid w:val="1C695DEC"/>
    <w:multiLevelType w:val="hybridMultilevel"/>
    <w:lvl w:ilvl="0">
      <w:lvlJc w:val="left"/>
      <w:lvlText w:val="%1."/>
      <w:numFmt w:val="decimal"/>
      <w:start w:val="16"/>
    </w:lvl>
  </w:abstractNum>
  <w:abstractNum w:abstractNumId="151">
    <w:nsid w:val="3FCFAED9"/>
    <w:multiLevelType w:val="hybridMultilevel"/>
    <w:lvl w:ilvl="0">
      <w:lvlJc w:val="left"/>
      <w:lvlText w:val="%1."/>
      <w:numFmt w:val="decimal"/>
      <w:start w:val="21"/>
    </w:lvl>
  </w:abstractNum>
  <w:abstractNum w:abstractNumId="152">
    <w:nsid w:val="F856867"/>
    <w:multiLevelType w:val="hybridMultilevel"/>
    <w:lvl w:ilvl="0">
      <w:lvlJc w:val="left"/>
      <w:lvlText w:val="(%1)"/>
      <w:numFmt w:val="upperLetter"/>
      <w:start w:val="7"/>
    </w:lvl>
  </w:abstractNum>
  <w:abstractNum w:abstractNumId="153">
    <w:nsid w:val="11B1CC33"/>
    <w:multiLevelType w:val="hybridMultilevel"/>
    <w:lvl w:ilvl="0">
      <w:lvlJc w:val="left"/>
      <w:lvlText w:val="%1."/>
      <w:numFmt w:val="decimal"/>
      <w:start w:val="1"/>
    </w:lvl>
  </w:abstractNum>
  <w:abstractNum w:abstractNumId="154">
    <w:nsid w:val="2E22FBB7"/>
    <w:multiLevelType w:val="hybridMultilevel"/>
    <w:lvl w:ilvl="0">
      <w:lvlJc w:val="left"/>
      <w:lvlText w:val="%1."/>
      <w:numFmt w:val="decimal"/>
      <w:start w:val="2"/>
    </w:lvl>
    <w:lvl w:ilvl="1">
      <w:lvlJc w:val="left"/>
      <w:lvlText w:val="(%2)"/>
      <w:numFmt w:val="lowerLetter"/>
      <w:start w:val="1"/>
    </w:lvl>
  </w:abstractNum>
  <w:abstractNum w:abstractNumId="155">
    <w:nsid w:val="29934699"/>
    <w:multiLevelType w:val="hybridMultilevel"/>
    <w:lvl w:ilvl="0">
      <w:lvlJc w:val="left"/>
      <w:lvlText w:val="(%1)"/>
      <w:numFmt w:val="lowerLetter"/>
      <w:start w:val="2"/>
    </w:lvl>
  </w:abstractNum>
  <w:abstractNum w:abstractNumId="156">
    <w:nsid w:val="77485850"/>
    <w:multiLevelType w:val="hybridMultilevel"/>
    <w:lvl w:ilvl="0">
      <w:lvlJc w:val="left"/>
      <w:lvlText w:val="(%1)"/>
      <w:numFmt w:val="lowerLetter"/>
      <w:start w:val="3"/>
    </w:lvl>
  </w:abstractNum>
  <w:abstractNum w:abstractNumId="157">
    <w:nsid w:val="744939A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58">
    <w:nsid w:val="4FA0D2E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59">
    <w:nsid w:val="6B1D2C14"/>
    <w:multiLevelType w:val="hybridMultilevel"/>
    <w:lvl w:ilvl="0">
      <w:lvlJc w:val="left"/>
      <w:lvlText w:val="(%1)"/>
      <w:numFmt w:val="lowerLetter"/>
      <w:start w:val="3"/>
    </w:lvl>
  </w:abstractNum>
  <w:abstractNum w:abstractNumId="160">
    <w:nsid w:val="68B867D3"/>
    <w:multiLevelType w:val="hybridMultilevel"/>
    <w:lvl w:ilvl="0">
      <w:lvlJc w:val="left"/>
      <w:lvlText w:val="%1."/>
      <w:numFmt w:val="decimal"/>
      <w:start w:val="1"/>
    </w:lvl>
  </w:abstractNum>
  <w:abstractNum w:abstractNumId="161">
    <w:nsid w:val="3F7F5D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2">
    <w:nsid w:val="2AE05A3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3">
    <w:nsid w:val="32794FF7"/>
    <w:multiLevelType w:val="hybridMultilevel"/>
    <w:lvl w:ilvl="0">
      <w:lvlJc w:val="left"/>
      <w:lvlText w:val="(%1)"/>
      <w:numFmt w:val="lowerLetter"/>
      <w:start w:val="1"/>
    </w:lvl>
    <w:lvl w:ilvl="1">
      <w:lvlJc w:val="left"/>
      <w:lvlText w:val="(%2)"/>
      <w:numFmt w:val="lowerRoman"/>
      <w:start w:val="1"/>
    </w:lvl>
  </w:abstractNum>
  <w:abstractNum w:abstractNumId="164">
    <w:nsid w:val="5454945E"/>
    <w:multiLevelType w:val="hybridMultilevel"/>
    <w:lvl w:ilvl="0">
      <w:lvlJc w:val="left"/>
      <w:lvlText w:val="%1."/>
      <w:numFmt w:val="decimal"/>
      <w:start w:val="1"/>
    </w:lvl>
    <w:lvl w:ilvl="1">
      <w:lvlJc w:val="left"/>
      <w:lvlText w:val="(%2)"/>
      <w:numFmt w:val="lowerLetter"/>
      <w:start w:val="1"/>
    </w:lvl>
  </w:abstractNum>
  <w:abstractNum w:abstractNumId="165">
    <w:nsid w:val="4DEFDFA0"/>
    <w:multiLevelType w:val="hybridMultilevel"/>
    <w:lvl w:ilvl="0">
      <w:lvlJc w:val="left"/>
      <w:lvlText w:val="(%1)"/>
      <w:numFmt w:val="lowerRoman"/>
      <w:start w:val="4"/>
    </w:lvl>
    <w:lvl w:ilvl="1">
      <w:lvlJc w:val="left"/>
      <w:lvlText w:val="(%2)"/>
      <w:numFmt w:val="lowerLetter"/>
      <w:start w:val="2"/>
    </w:lvl>
  </w:abstractNum>
  <w:abstractNum w:abstractNumId="166">
    <w:nsid w:val="2123D5F2"/>
    <w:multiLevelType w:val="hybridMultilevel"/>
    <w:lvl w:ilvl="0">
      <w:lvlJc w:val="left"/>
      <w:lvlText w:val="%1."/>
      <w:numFmt w:val="decimal"/>
      <w:start w:val="2"/>
    </w:lvl>
    <w:lvl w:ilvl="1">
      <w:lvlJc w:val="left"/>
      <w:lvlText w:val="(%2)"/>
      <w:numFmt w:val="lowerLetter"/>
      <w:start w:val="1"/>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decimal"/>
      <w:start w:val="1"/>
    </w:lvl>
  </w:abstractNum>
  <w:abstractNum w:abstractNumId="169">
    <w:nsid w:val="DCDF8F6"/>
    <w:multiLevelType w:val="hybridMultilevel"/>
    <w:lvl w:ilvl="0">
      <w:lvlJc w:val="left"/>
      <w:lvlText w:val="%1"/>
      <w:numFmt w:val="upperLetter"/>
      <w:start w:val="1"/>
    </w:lvl>
    <w:lvl w:ilvl="1">
      <w:lvlJc w:val="left"/>
      <w:lvlText w:val="%2."/>
      <w:numFmt w:val="decimal"/>
      <w:start w:val="2"/>
    </w:lvl>
  </w:abstractNum>
  <w:abstractNum w:abstractNumId="170">
    <w:nsid w:val="52D7B105"/>
    <w:multiLevelType w:val="hybridMultilevel"/>
    <w:lvl w:ilvl="0">
      <w:lvlJc w:val="left"/>
      <w:lvlText w:val="(%1)"/>
      <w:numFmt w:val="upperLetter"/>
      <w:start w:val="2"/>
    </w:lvl>
    <w:lvl w:ilvl="1">
      <w:lvlJc w:val="left"/>
      <w:lvlText w:val="%2"/>
      <w:numFmt w:val="decimal"/>
      <w:start w:val="1"/>
    </w:lvl>
  </w:abstractNum>
  <w:abstractNum w:abstractNumId="171">
    <w:nsid w:val="2E8A6394"/>
    <w:multiLevelType w:val="hybridMultilevel"/>
    <w:lvl w:ilvl="0">
      <w:lvlJc w:val="left"/>
      <w:lvlText w:val="(%1)"/>
      <w:numFmt w:val="upperLetter"/>
      <w:start w:val="4"/>
    </w:lvl>
    <w:lvl w:ilvl="1">
      <w:lvlJc w:val="left"/>
      <w:lvlText w:val="%2."/>
      <w:numFmt w:val="decimal"/>
      <w:start w:val="3"/>
    </w:lvl>
  </w:abstractNum>
  <w:abstractNum w:abstractNumId="172">
    <w:nsid w:val="24E6040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2023-05-24T08:22:23Z</dcterms:created>
  <dcterms:modified xsi:type="dcterms:W3CDTF">2023-05-24T08:22:23Z</dcterms:modified>
</cp:coreProperties>
</file>