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844" w:type="dxa"/>
        <w:tblCellMar>
          <w:top w:w="0" w:type="dxa"/>
          <w:left w:w="0" w:type="dxa"/>
          <w:bottom w:w="0" w:type="dxa"/>
          <w:right w:w="0" w:type="dxa"/>
        </w:tblCellMar>
      </w:tblPr>
      <w:tr>
        <w:trPr>
          <w:trHeight w:val="214"/>
        </w:trPr>
        <w:tc>
          <w:tcPr>
            <w:tcW w:w="4200" w:type="dxa"/>
            <w:vAlign w:val="bottom"/>
          </w:tcPr>
          <w:p>
            <w:pPr>
              <w:jc w:val="center"/>
              <w:ind w:right="2061"/>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000-50189</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75-3099507</w:t>
            </w:r>
          </w:p>
        </w:tc>
      </w:tr>
      <w:tr>
        <w:trPr>
          <w:trHeight w:val="148"/>
        </w:trPr>
        <w:tc>
          <w:tcPr>
            <w:tcW w:w="4200" w:type="dxa"/>
            <w:vAlign w:val="bottom"/>
          </w:tcPr>
          <w:p>
            <w:pPr>
              <w:jc w:val="center"/>
              <w:ind w:right="20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00" w:type="dxa"/>
            <w:vAlign w:val="bottom"/>
          </w:tcPr>
          <w:p>
            <w:pPr>
              <w:jc w:val="center"/>
              <w:ind w:right="2081"/>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520" w:type="dxa"/>
            <w:vAlign w:val="bottom"/>
            <w:gridSpan w:val="2"/>
          </w:tcPr>
          <w:p>
            <w:pPr>
              <w:jc w:val="center"/>
              <w:ind w:right="742"/>
              <w:spacing w:after="0"/>
              <w:rPr>
                <w:sz w:val="20"/>
                <w:szCs w:val="20"/>
                <w:color w:val="auto"/>
              </w:rPr>
            </w:pPr>
            <w:r>
              <w:rPr>
                <w:rFonts w:ascii="Times New Roman" w:cs="Times New Roman" w:eastAsia="Times New Roman" w:hAnsi="Times New Roman"/>
                <w:sz w:val="18"/>
                <w:szCs w:val="18"/>
                <w:b w:val="1"/>
                <w:bCs w:val="1"/>
                <w:color w:val="auto"/>
                <w:w w:val="98"/>
              </w:rPr>
              <w:t>770 Township Line Road, Yardley, Pennsylvania</w:t>
            </w: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19067</w:t>
            </w:r>
          </w:p>
        </w:tc>
      </w:tr>
      <w:tr>
        <w:trPr>
          <w:trHeight w:val="190"/>
        </w:trPr>
        <w:tc>
          <w:tcPr>
            <w:tcW w:w="420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Christy L. Kalaus</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444" w:right="3340" w:hanging="444"/>
        <w:spacing w:after="0" w:line="28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ind w:right="259"/>
        <w:spacing w:after="0" w:line="282" w:lineRule="auto"/>
        <w:rPr>
          <w:sz w:val="20"/>
          <w:szCs w:val="20"/>
          <w:color w:val="auto"/>
        </w:rPr>
      </w:pPr>
      <w:r>
        <w:rPr>
          <w:rFonts w:ascii="Times New Roman" w:cs="Times New Roman" w:eastAsia="Times New Roman" w:hAnsi="Times New Roman"/>
          <w:sz w:val="18"/>
          <w:szCs w:val="18"/>
          <w:color w:val="auto"/>
        </w:rPr>
        <w:t xml:space="preserve">This Specialized Disclosure Report on Form SD and the Conflict Minerals Report, filed as Exhibit 1.01 hereto, are publicly available at </w:t>
      </w:r>
      <w:r>
        <w:rPr>
          <w:rFonts w:ascii="Times New Roman" w:cs="Times New Roman" w:eastAsia="Times New Roman" w:hAnsi="Times New Roman"/>
          <w:sz w:val="18"/>
          <w:szCs w:val="18"/>
          <w:u w:val="single" w:color="auto"/>
          <w:color w:val="auto"/>
        </w:rPr>
        <w:t>www.crowncork.com/investors/sec-filings</w:t>
      </w:r>
      <w:r>
        <w:rPr>
          <w:rFonts w:ascii="Times New Roman" w:cs="Times New Roman" w:eastAsia="Times New Roman" w:hAnsi="Times New Roman"/>
          <w:sz w:val="18"/>
          <w:szCs w:val="18"/>
          <w:color w:val="auto"/>
        </w:rPr>
        <w:t xml:space="preserve"> as well as the Securities and Exchange Commission’s EDGAR database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 SD.</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HOLDINGS, INC.</w:t>
            </w:r>
          </w:p>
        </w:tc>
        <w:tc>
          <w:tcPr>
            <w:tcW w:w="740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Christy L. Kalaus</w:t>
            </w:r>
          </w:p>
        </w:tc>
        <w:tc>
          <w:tcPr>
            <w:tcW w:w="7400" w:type="dxa"/>
            <w:vAlign w:val="bottom"/>
          </w:tcPr>
          <w:p>
            <w:pPr>
              <w:ind w:left="6380"/>
              <w:spacing w:after="0"/>
              <w:rPr>
                <w:sz w:val="20"/>
                <w:szCs w:val="20"/>
                <w:color w:val="auto"/>
              </w:rPr>
            </w:pPr>
            <w:r>
              <w:rPr>
                <w:rFonts w:ascii="Times New Roman" w:cs="Times New Roman" w:eastAsia="Times New Roman" w:hAnsi="Times New Roman"/>
                <w:sz w:val="18"/>
                <w:szCs w:val="18"/>
                <w:color w:val="auto"/>
                <w:w w:val="99"/>
              </w:rPr>
              <w:t>May 31, 2022</w:t>
            </w:r>
          </w:p>
        </w:tc>
      </w:tr>
      <w:tr>
        <w:trPr>
          <w:trHeight w:val="205"/>
        </w:trPr>
        <w:tc>
          <w:tcPr>
            <w:tcW w:w="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Christy L. Kalaus</w:t>
            </w:r>
          </w:p>
        </w:tc>
        <w:tc>
          <w:tcPr>
            <w:tcW w:w="740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740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Crown Holdings, Inc.</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Conflict Minerals Report (“</w:t>
      </w:r>
      <w:r>
        <w:rPr>
          <w:rFonts w:ascii="Times New Roman" w:cs="Times New Roman" w:eastAsia="Times New Roman" w:hAnsi="Times New Roman"/>
          <w:sz w:val="18"/>
          <w:szCs w:val="18"/>
          <w:u w:val="single" w:color="auto"/>
          <w:color w:val="auto"/>
        </w:rPr>
        <w:t>CMR</w:t>
      </w:r>
      <w:r>
        <w:rPr>
          <w:rFonts w:ascii="Times New Roman" w:cs="Times New Roman" w:eastAsia="Times New Roman" w:hAnsi="Times New Roman"/>
          <w:sz w:val="18"/>
          <w:szCs w:val="18"/>
          <w:color w:val="auto"/>
        </w:rPr>
        <w:t>”) of Crown Holdings, Inc. (“</w:t>
      </w:r>
      <w:r>
        <w:rPr>
          <w:rFonts w:ascii="Times New Roman" w:cs="Times New Roman" w:eastAsia="Times New Roman" w:hAnsi="Times New Roman"/>
          <w:sz w:val="18"/>
          <w:szCs w:val="18"/>
          <w:u w:val="single" w:color="auto"/>
          <w:color w:val="auto"/>
        </w:rPr>
        <w:t>Crown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calendar year 2021 was prepared in accordance with Rule 13p-1 under the Securities Exchange Act of 1934 and the Company’s Conflict Minerals Policy. Numerous terms in this CMR are defined in Rule 13p-1 or in the related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Release No. 34-67716 (August 22, 2012) and the reader is referred to the same for such definitions. Throughout this report, the minerals tin, tantalum, tungsten and gold (collectively, “</w:t>
      </w:r>
      <w:r>
        <w:rPr>
          <w:rFonts w:ascii="Times New Roman" w:cs="Times New Roman" w:eastAsia="Times New Roman" w:hAnsi="Times New Roman"/>
          <w:sz w:val="18"/>
          <w:szCs w:val="18"/>
          <w:u w:val="single" w:color="auto"/>
          <w:color w:val="auto"/>
        </w:rPr>
        <w:t>3TG</w:t>
      </w:r>
      <w:r>
        <w:rPr>
          <w:rFonts w:ascii="Times New Roman" w:cs="Times New Roman" w:eastAsia="Times New Roman" w:hAnsi="Times New Roman"/>
          <w:sz w:val="18"/>
          <w:szCs w:val="18"/>
          <w:color w:val="auto"/>
        </w:rPr>
        <w:t>”), when sourced in a way that directly or indirectly finances or benefits armed groups in Covered Countries, are referred to as “</w:t>
      </w:r>
      <w:r>
        <w:rPr>
          <w:rFonts w:ascii="Times New Roman" w:cs="Times New Roman" w:eastAsia="Times New Roman" w:hAnsi="Times New Roman"/>
          <w:sz w:val="18"/>
          <w:szCs w:val="18"/>
          <w:u w:val="single" w:color="auto"/>
          <w:color w:val="auto"/>
        </w:rPr>
        <w:t>conflict minerals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The Company has determined that tin is contained in the tinplate steel it purchases for its metal packaging businesses. Additionally, the Company has determined that 3TG may be contained in certain purchased components for its can-making and transit packaging machinery and equipment products, as well as the tools (and spare parts) that it makes for transit packaging. The Company has determined that 3TG is not present in the aluminum beverage cans or any other products that it produces.</w:t>
      </w:r>
    </w:p>
    <w:p>
      <w:pPr>
        <w:spacing w:after="0" w:line="183"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Crown does not directly purchase any of the 3TG minerals. Crown’s supply chain is complex, and Crown is typically several tiers removed from the smelter or refiner and mineral origin. Crown relies on its suppliers to provide information on the origin of the 3TG necessary to the functionality or production of Crown’s products. Crown has limited visibility beyond its direct suppliers to entities within the supply chain. Therefore, Crown relies principally on its direct suppliers to provide it with sourcing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Design Overview</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Crown’s due diligence processes for tracing and sourcing 3TG in its products have been designed in conformance with the due diligence related steps of the framework in The Organisation for Economic Co-operation and Development (“</w:t>
      </w:r>
      <w:r>
        <w:rPr>
          <w:rFonts w:ascii="Times New Roman" w:cs="Times New Roman" w:eastAsia="Times New Roman" w:hAnsi="Times New Roman"/>
          <w:sz w:val="18"/>
          <w:szCs w:val="18"/>
          <w:u w:val="single" w:color="auto"/>
          <w:color w:val="auto"/>
        </w:rPr>
        <w:t>OECD</w:t>
      </w:r>
      <w:r>
        <w:rPr>
          <w:rFonts w:ascii="Times New Roman" w:cs="Times New Roman" w:eastAsia="Times New Roman" w:hAnsi="Times New Roman"/>
          <w:sz w:val="18"/>
          <w:szCs w:val="18"/>
          <w:color w:val="auto"/>
        </w:rPr>
        <w:t>”) Due Diligence Guidance for Responsible Supply Chains of Minerals from Conflict-Affected and High-Risk Areas, Third Edition, and the related supplements for 3TG, consistent with the Company’s position as a downstream company. Crown also relied on information from the Responsible Minerals Assurance Process (“</w:t>
      </w:r>
      <w:r>
        <w:rPr>
          <w:rFonts w:ascii="Times New Roman" w:cs="Times New Roman" w:eastAsia="Times New Roman" w:hAnsi="Times New Roman"/>
          <w:sz w:val="18"/>
          <w:szCs w:val="18"/>
          <w:u w:val="single" w:color="auto"/>
          <w:color w:val="auto"/>
        </w:rPr>
        <w:t>RMAP</w:t>
      </w:r>
      <w:r>
        <w:rPr>
          <w:rFonts w:ascii="Times New Roman" w:cs="Times New Roman" w:eastAsia="Times New Roman" w:hAnsi="Times New Roman"/>
          <w:sz w:val="18"/>
          <w:szCs w:val="18"/>
          <w:color w:val="auto"/>
        </w:rPr>
        <w:t>”), a voluntary initiative managed by the Responsible Minerals Initiative (the “</w:t>
      </w:r>
      <w:r>
        <w:rPr>
          <w:rFonts w:ascii="Times New Roman" w:cs="Times New Roman" w:eastAsia="Times New Roman" w:hAnsi="Times New Roman"/>
          <w:sz w:val="18"/>
          <w:szCs w:val="18"/>
          <w:u w:val="single" w:color="auto"/>
          <w:color w:val="auto"/>
        </w:rPr>
        <w:t>RMI</w:t>
      </w:r>
      <w:r>
        <w:rPr>
          <w:rFonts w:ascii="Times New Roman" w:cs="Times New Roman" w:eastAsia="Times New Roman" w:hAnsi="Times New Roman"/>
          <w:sz w:val="18"/>
          <w:szCs w:val="18"/>
          <w:color w:val="auto"/>
        </w:rPr>
        <w:t>”) in which an independent third party audits the procurement activities of a smelter or refiner to determine with reasonable confidence that the minerals it processes originated from conflict-free sources. Upon completion of a successful audit, the smelter or refiner is designated by the RMI as “Conformant.” Where information from the RMI is not available, the Company conducts its own diligence, which includes: contacting its first-tier suppliers for additional information; conducting internet research; and analyzing the likelihood that the 3TG originated from a Covered Country based on the smelter’s location. In addition, Crown has engaged Assent Compliance (“</w:t>
      </w:r>
      <w:r>
        <w:rPr>
          <w:rFonts w:ascii="Times New Roman" w:cs="Times New Roman" w:eastAsia="Times New Roman" w:hAnsi="Times New Roman"/>
          <w:sz w:val="18"/>
          <w:szCs w:val="18"/>
          <w:u w:val="single" w:color="auto"/>
          <w:color w:val="auto"/>
        </w:rPr>
        <w:t>Assent</w:t>
      </w:r>
      <w:r>
        <w:rPr>
          <w:rFonts w:ascii="Times New Roman" w:cs="Times New Roman" w:eastAsia="Times New Roman" w:hAnsi="Times New Roman"/>
          <w:sz w:val="18"/>
          <w:szCs w:val="18"/>
          <w:color w:val="auto"/>
        </w:rPr>
        <w:t>”), a third-party service provider, to assist with the contacting of and processing of responses received from suppliers to its transit packaging machinery, equipment, tool and spare parts-making businesses.</w:t>
      </w:r>
    </w:p>
    <w:p>
      <w:pPr>
        <w:sectPr>
          <w:pgSz w:w="11900" w:h="16838" w:orient="portrait"/>
          <w:cols w:equalWidth="0" w:num="1">
            <w:col w:w="11020"/>
          </w:cols>
          <w:pgMar w:left="440" w:top="117" w:right="439" w:bottom="1440" w:gutter="0" w:footer="0" w:header="0"/>
        </w:sectPr>
      </w:pPr>
    </w:p>
    <w:bookmarkStart w:id="4" w:name="page5"/>
    <w:bookmarkEnd w:id="4"/>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guide its due diligence, the Company has established a due diligence compliance process that includes a documentation and record maintenance mechanism to ensure the retention of relevant documentation in a structured electronic database. Documentation with respect to the Company’s transit packaging machinery, equipment, tool and spare parts-making businesses is first separately collected and stored using the Assent Compliance Platform before being integrated in the rest of the Company’s due diligence compliance process. The Company expects to continue to refine, revise and improve its due diligence compliance process as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due diligence on the source and chain of custody of the 3TG contained in the covered products included the following measures: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Step 1 – Establish Strong Company Management Systems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Crown aims to avoid the use of conflict minerals in the manufacture of its products and is committed to complying with its reporting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applicable law. Crown has adopted a company-wide Conflict Minerals Policy which is set forth on its website at </w:t>
      </w:r>
      <w:r>
        <w:rPr>
          <w:rFonts w:ascii="Times New Roman" w:cs="Times New Roman" w:eastAsia="Times New Roman" w:hAnsi="Times New Roman"/>
          <w:sz w:val="18"/>
          <w:szCs w:val="18"/>
          <w:u w:val="single" w:color="auto"/>
          <w:color w:val="auto"/>
        </w:rPr>
        <w:t>https://www.crowncork.com/conflict-minerals-policy</w:t>
      </w:r>
      <w:r>
        <w:rPr>
          <w:rFonts w:ascii="Times New Roman" w:cs="Times New Roman" w:eastAsia="Times New Roman" w:hAnsi="Times New Roman"/>
          <w:sz w:val="18"/>
          <w:szCs w:val="18"/>
          <w:color w:val="auto"/>
        </w:rPr>
        <w:t>. In addition, Crown’s Supplier Code of Conduct includes a provision regarding responsible sourcing (which appears in the Supplier Code under the heading “Origin Mapping”). Crown’s written contracts with its tinplate steel suppliers, and most of Crown’s written contracts with suppliers to its can-making machinery and equipment business, contain an obligation of the supplier to cooperate with Crown in its efforts to eliminate conflict minerals from the supply chain. Implementation of this program continues to evolve at the Company’s transit packaging machinery, equipment, tool and spare parts-making businesses. Suppliers who do not comply with Crown’s Conflict Minerals Policy may be denied future business, and those who violate contractual provisions or policies are subject to enforcement actions by Crown.</w:t>
      </w:r>
    </w:p>
    <w:p>
      <w:pPr>
        <w:spacing w:after="0" w:line="185"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Personnel</w:t>
      </w:r>
      <w:r>
        <w:rPr>
          <w:rFonts w:ascii="Times New Roman" w:cs="Times New Roman" w:eastAsia="Times New Roman" w:hAnsi="Times New Roman"/>
          <w:sz w:val="18"/>
          <w:szCs w:val="18"/>
          <w:color w:val="auto"/>
        </w:rPr>
        <w:t>. The Company’s conflict minerals compliance effort involved a cross-functional group of personnel from the legal, finance,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and sustainability functions. This team is responsible for implementing Crown’s conflict minerals compliance strategy.</w:t>
      </w:r>
    </w:p>
    <w:p>
      <w:pPr>
        <w:spacing w:after="0" w:line="15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Supplier Engagement</w:t>
      </w:r>
      <w:r>
        <w:rPr>
          <w:rFonts w:ascii="Times New Roman" w:cs="Times New Roman" w:eastAsia="Times New Roman" w:hAnsi="Times New Roman"/>
          <w:sz w:val="18"/>
          <w:szCs w:val="18"/>
          <w:color w:val="auto"/>
        </w:rPr>
        <w:t>. The Company contacted all of the first-tier suppliers of tinplate steel for its metal packaging business and contacted (or arranged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Assent to contact) almost all of the first-tier suppliers for its can-making machinery and equipment business and transit packaging machinery, equipment, tool and spare parts-making businesses to provide them with notice of the relevant SEC requirements and to advise them of the Company’s commitment to responsibly source materials and of its due diligence expectations. The Company intends to archive the received supplier responses as part of its reasonable country of origin inquiry (“</w:t>
      </w:r>
      <w:r>
        <w:rPr>
          <w:rFonts w:ascii="Times New Roman" w:cs="Times New Roman" w:eastAsia="Times New Roman" w:hAnsi="Times New Roman"/>
          <w:sz w:val="18"/>
          <w:szCs w:val="18"/>
          <w:u w:val="single" w:color="auto"/>
          <w:color w:val="auto"/>
        </w:rPr>
        <w:t>RCOI</w:t>
      </w:r>
      <w:r>
        <w:rPr>
          <w:rFonts w:ascii="Times New Roman" w:cs="Times New Roman" w:eastAsia="Times New Roman" w:hAnsi="Times New Roman"/>
          <w:sz w:val="18"/>
          <w:szCs w:val="18"/>
          <w:color w:val="auto"/>
        </w:rPr>
        <w:t>”) and due diligence. Feedback from this process will be used to modify, where appropriate, the design of the Company’s conflict minerals due diligence compliance process.</w:t>
      </w:r>
    </w:p>
    <w:p>
      <w:pPr>
        <w:spacing w:after="0" w:line="182"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Grievance Mechanism</w:t>
      </w:r>
      <w:r>
        <w:rPr>
          <w:rFonts w:ascii="Times New Roman" w:cs="Times New Roman" w:eastAsia="Times New Roman" w:hAnsi="Times New Roman"/>
          <w:sz w:val="18"/>
          <w:szCs w:val="18"/>
          <w:color w:val="auto"/>
        </w:rPr>
        <w:t>. The Company’s existing procedures for reporting code of conduct or other ethics violations are also available for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conflict minerals compliance problems.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Step 2 – Identify and Assess Risk in the Supply Chain</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Identification of Risk</w:t>
      </w:r>
      <w:r>
        <w:rPr>
          <w:rFonts w:ascii="Times New Roman" w:cs="Times New Roman" w:eastAsia="Times New Roman" w:hAnsi="Times New Roman"/>
          <w:sz w:val="18"/>
          <w:szCs w:val="18"/>
          <w:color w:val="auto"/>
        </w:rPr>
        <w:t>. To identify risks in its supply chain, the Company first assessed the likelihood of the presence of conflict minerals in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If a product clearly does not contain 3TG (e.g., aluminum cans), the inquiry ended. For each of its other products, the Company used its own and outside resources to determine whether such product contains 3TG. At the end of this process, the Company determined that most of its steel containers and container components (e.g., cans, jar lids and bottle caps) contain tin. The Company also has determined that its can-making machinery and equipment business and its transit packaging machinery, equipment, tool and spare parts-making businesses, may contain 3TG.</w:t>
      </w:r>
    </w:p>
    <w:p>
      <w:pPr>
        <w:sectPr>
          <w:pgSz w:w="11900" w:h="16838" w:orient="portrait"/>
          <w:cols w:equalWidth="0" w:num="1">
            <w:col w:w="10980"/>
          </w:cols>
          <w:pgMar w:left="440" w:top="270" w:right="479" w:bottom="1440" w:gutter="0" w:footer="0" w:header="0"/>
        </w:sectPr>
      </w:pPr>
    </w:p>
    <w:bookmarkStart w:id="5" w:name="page6"/>
    <w:bookmarkEnd w:id="5"/>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then contacted all of the first-tier suppliers of tinplate steel for its metal packaging business and contacted (or arranged for Assent to contact) almost all of the first-tier suppliers for its can-making machinery and equipment business and transit packaging machinery, equipment, tool and spare parts-making businesses identified through its RCOI to request information regarding the source and chain of custody of 3TG in its supply chain. To facilitate the collection of complete, accurate, standardized and verifiable information, the Company relied primarily on the Conflict Minerals Reporting Template (the “</w:t>
      </w:r>
      <w:r>
        <w:rPr>
          <w:rFonts w:ascii="Times New Roman" w:cs="Times New Roman" w:eastAsia="Times New Roman" w:hAnsi="Times New Roman"/>
          <w:sz w:val="18"/>
          <w:szCs w:val="18"/>
          <w:u w:val="single" w:color="auto"/>
          <w:color w:val="auto"/>
        </w:rPr>
        <w:t>CMRT</w:t>
      </w:r>
      <w:r>
        <w:rPr>
          <w:rFonts w:ascii="Times New Roman" w:cs="Times New Roman" w:eastAsia="Times New Roman" w:hAnsi="Times New Roman"/>
          <w:sz w:val="18"/>
          <w:szCs w:val="18"/>
          <w:color w:val="auto"/>
        </w:rPr>
        <w:t>”) made available by the RMI. The CMRT facilitates the transfer of information through the supply chain regarding country of origin, mine location and smelters and refiners used. Written instructions and recorded training illustrating the use of the CMRT are available on the RMI’s website.</w:t>
      </w:r>
    </w:p>
    <w:p>
      <w:pPr>
        <w:spacing w:after="0" w:line="18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i w:val="1"/>
          <w:iCs w:val="1"/>
          <w:color w:val="auto"/>
        </w:rPr>
        <w:t>Assessment of Risk</w:t>
      </w:r>
      <w:r>
        <w:rPr>
          <w:rFonts w:ascii="Times New Roman" w:cs="Times New Roman" w:eastAsia="Times New Roman" w:hAnsi="Times New Roman"/>
          <w:sz w:val="18"/>
          <w:szCs w:val="18"/>
          <w:color w:val="auto"/>
        </w:rPr>
        <w:t>. Upon receipt of completed CMRTs from its suppliers, the Company assessed the due diligence efforts of any identified smelter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refiner by examining the information provided in the CMRT to determine if the smelter or refiner has been validated under the RMI’s RMAP as “Conformant.” The RMAP provides information regarding those smelters or refiners that, following an independent third-party audit, have been found to be compliant with the RMAP’s assessment protocols to assure sourcing of only conflict-free materials. Where information from the RMI is not available, or where the supplier provides information in a form other than the CMRT, the Company conducts its own diligence, which includes: contacting its first-tier suppliers for additional information; conducting internet research; and analyzing the likelihood that the 3TG originated from a Covered Country based on the smelter’s location. In addition, the Company has engaged Assent to conduct CMRT validation checks as part of the due diligence of its transit packaging machinery, equipment, tool and spare parts-making businesses. Assent evaluates supplier responses for plausibility, consistency, and gaps, and conducts additional supplier inquiries to address issues such as incomplete data on CMRTs, responses that did not identify smelters or refiners for listed metals, and responses that identified organizations as smelters or refiners which were not verified as such through further analysis and research.</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Step 3 – Design and Implement a Strategy to Respond to Identified Risks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expects to take the following steps, among others, to improve its due diligence measures, increase supply chain transparency and further mitigate the risk that the 3TG contained in its products may finance or benefit armed groups in the Covered Countries:</w:t>
      </w:r>
    </w:p>
    <w:p>
      <w:pPr>
        <w:spacing w:after="0" w:line="67" w:lineRule="exact"/>
        <w:rPr>
          <w:sz w:val="20"/>
          <w:szCs w:val="20"/>
          <w:color w:val="auto"/>
        </w:rPr>
      </w:pPr>
    </w:p>
    <w:p>
      <w:pPr>
        <w:ind w:left="960" w:right="5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and document communication with suppliers to increase the response rate and facilitate the collection of current, accurate and complete information about the supply chain, smelters, refiners and mineral origin;</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to implement responsible sourcing and request that suppliers encourage smelters and each of their refiners to obtain a “conflict-free” designation from an independent third-party auditor;</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its efforts toward 100% supplier vendor adherence to its Supplier Code of Conduct and enforce its rights under its Supplier Code of Conduct regarding responsible sourcing;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findings from Crown’s conflict minerals due diligence compliance process to senior management.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Step 4 – Carry Out an Independent Third-Party Audit of Supply Chain Due Diligence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direct relationships with smelters or refiners that process 3TG, and it does not perform or direct audits of these entities within its supply chain. As an alternative, the Company intends to rely on information collected and provided by independent third-party audit programs, such as the RMAP, when necessary.</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OECD Step 5 – Report on Supply Chain Due Diligence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Crown files this CMR on Form SD with the SEC. Crown also publishes this CMR on its website at </w:t>
      </w:r>
      <w:r>
        <w:rPr>
          <w:rFonts w:ascii="Times New Roman" w:cs="Times New Roman" w:eastAsia="Times New Roman" w:hAnsi="Times New Roman"/>
          <w:sz w:val="18"/>
          <w:szCs w:val="18"/>
          <w:u w:val="single" w:color="auto"/>
          <w:color w:val="auto"/>
        </w:rPr>
        <w:t>www.crowncork.com/investors/sec-filings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Facilities and Country of Origin of 3TG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Packaging Products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Excluding purchases from recyclers, Crown purchases tinplate steel from forty-six (46) suppliers for its metal packaging businesses, forty-three (43) of whom have provided Crown with a list of their tin smelters in connection with Crown’s due diligence compliance process.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Tinplate steel from any of these forty-six (46) suppliers may be used in Crown’s metal packaging products. Tin is the only 3TG mineral identified in the Company’s metal packaging business. The Company contacted all of these suppliers as part of its due diligence compliance process. Of the suppliers who provided complete responses to the Company’s inquiry, one (1) of these suppliers indicated the intentional addition or use of 3TG in their products or production process which was sourced from a Covered Country, but the minerals came from a smelter or refiner that has been validated under the RMI’s RMAP as “Conformant”. The countries in which the smelters identified by the Company’s tinplate steel suppliers are located are as follows: Belgium, Bolivia, Brazil, China, Indonesia, Malaysia, Peru, Poland, Spain, Taiwan, Thailand, and the United States.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Can-Making Machinery and Equipment Products</w:t>
      </w:r>
    </w:p>
    <w:p>
      <w:pPr>
        <w:spacing w:after="0" w:line="11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None of Crown’s direct suppliers are 3TG smelters and Crown does not purchase any 3TG directly for its can-making machinery and equipment products. Any 3TG materials that may be part of Crown’s can-making machinery products are incorporated into components (or components of components) or raw materials that are purchased by Crown and included into the machinery and equipment products.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result of Crown’s RCOI process and due diligence for its can-making machinery and equipment business products, which account for approximately 2% of Crown’s net sales in fiscal year 2021, Crown identified as in-scope and contacted a total of one hundred ninety (190) suppliers. All suppliers contacted, representing, collectively, over 92% of the can-making machinery and equipment business’s annual purchases of raw materials and components, responded to Crown’s inquiry. Of the suppliers who provided completed CMRTs, thirty-four (34) suppliers indicated the intentional addition or use of 3TG in their products or production process. Nine (9) of those thirty-four (34) suppliers indicated that one or more of the smelters that provided the 3TG found in the parts, sub-assemblies or components sold to them did source from a Covered Country. None of these nine (9) suppliers, who each sell a wide range of general supply products such as hardware, controllers and other components, had the capability to identify the country of origin of the 3TG found in the products that they specifically sold to Crown because of the nature of the products sold to Crown. Eight (8) of the thirty-four (34) suppliers indicated that none of the smelters that provided the 3TG found in the products sold to Crown sourced from a Covered Country. Every one of the smelters identified by these eight (8) suppliers has been identified by the RMI as “Conformant” or was cleared by the Company’s own due diligence investigation. The remaining seventeen (17) of the thirty-four (34) suppliers either (i) indicated that the 3TG found in the products sold to Crown was not sourced from a Covered Country but did not provide a smelter list to verify the declaration or (ii) indicated that they were unable to confirm that one or more of the smelters that provided</w:t>
      </w:r>
    </w:p>
    <w:p>
      <w:pPr>
        <w:sectPr>
          <w:pgSz w:w="11900" w:h="16838" w:orient="portrait"/>
          <w:cols w:equalWidth="0" w:num="1">
            <w:col w:w="10980"/>
          </w:cols>
          <w:pgMar w:left="440" w:top="268" w:right="479" w:bottom="1440" w:gutter="0" w:footer="0" w:header="0"/>
        </w:sectPr>
      </w:pPr>
    </w:p>
    <w:bookmarkStart w:id="7" w:name="page8"/>
    <w:bookmarkEnd w:id="7"/>
    <w:p>
      <w:pPr>
        <w:ind w:right="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3TG found in the products sold to Crown did not source from a Covered Country because of the nature of the products sold to Crown. The information provided by the responding suppliers was often incomplete or unverifiable. Additionally, based on the information provided by many of Crown’s suppliers who are engaged in general supply industries such as hardware, controllers and other components, it cannot be verified that all the smelters identified contributed to parts that ended up in Crown products or even that the 3TG materials were incorporated in Crown products, since some of these responses cover the entire product range of the supplier’s products and not just those sold to Crown.</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Because of the long supply chain from most smelters to the component suppliers to Crown’s can-making machinery and equipment business, information provided to Crown by its component suppliers did not enable Crown to verify the country of origin for all of the 3TG added to the specific parts that ended up in Crown’s can-making machinery and equipment products.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Transit Packaging Machinery, Equipment, Tool and Spare Parts-Making Products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acquired its transit packaging machinery, equipment, tool and spare parts-making businesses on April 3, 2018. The Company this year assessed the likelihood of the presence of conflict minerals in each of the products of its transit packaging machinery, equipment, tool and spare parts-making businesses as part of Step 2 of its due diligence compliance process described above. At the end of this process, the Company determined that its transit packaging metal strapping business and plastic and paperboard businesses do not use or manufacture products that contain 3TG. Certain products of its transit packaging machinery, equipment, tool and spare parts-making businesses, however, may contain 3TG.</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of Crown’s RCOI process and due diligence for its transit packaging machinery, equipment, tool and spare parts-making business products, Crown identified as in-scope a total of four hundred sixteen (416) suppliers and delivered this list of in-scope suppliers to Assent. Assent then attempted to verify, for each of the in-scope suppliers, whether that supplier is active and self-certifies that its products do not contain 3TG. Assent contacted and solicited the completion of CMRTs (much like Crown does for its can-making machinery and equipment business) from each of the in-scope suppliers that is active and not certified.</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calendar year 2021, three hundred sixty-one (361) suppliers of Crown’s transit packaging business, representing more than 85% of the number of suppliers to Crown’s transit packaging machinery, equipment, tool and spare parts-making businesses contacted and, collectively, over 95% of the transit packaging machinery, equipment, tool and spare parts-making business’s annual purchase value of raw materials and components, responded to Assent’s inquiry. Of the suppliers who provided completed CMRTs, Ninety-Seven (97) suppliers indicated the intentional addition or use of 3TG in their products or production process. Thirty-Five (35) of those Ninety-Seven (97) suppliers indicated that none of the smelters that provided the 3TG found in the products sold to Crown sourced from a Covered Country. Eight (8) of those Ninety-Seven (97) suppliers were unable to confirm which smelters provided the 3TG found in the products specifically sold to the transit packaging machinery, equipment, tool and spare parts-making businesses. Fifty-Four (54) of those Ninety-Seven (97) suppliers indicated that one or more of the smelters that provided the 3TG to them did source from a Covered Country. None of these Fifty-Four (54) suppliers, who all sell a wide range of general supply products such as hardware, controllers and other components, had the capability to identify the country of origin of all the 3TG found in the products specifically sold to the transit packaging machinery, equipment, tool and spare parts-making businesses because of the nature of the products sold to the Company. The information provided by the responding suppliers is, by nature, unverifiable.</w:t>
      </w:r>
    </w:p>
    <w:p>
      <w:pPr>
        <w:sectPr>
          <w:pgSz w:w="11900" w:h="16838" w:orient="portrait"/>
          <w:cols w:equalWidth="0" w:num="1">
            <w:col w:w="11000"/>
          </w:cols>
          <w:pgMar w:left="440" w:top="270" w:right="459" w:bottom="1440" w:gutter="0" w:footer="0" w:header="0"/>
        </w:sectPr>
      </w:pPr>
    </w:p>
    <w:bookmarkStart w:id="8" w:name="page9"/>
    <w:bookmarkEnd w:id="8"/>
    <w:p>
      <w:pPr>
        <w:ind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Additionally, as it relates to Crown’s suppliers who are engaged in general supply industries such as hardware, controllers and other components, it cannot be verified that all the smelters identified contributed to parts that ended up in Crown products, or even that the 3TG materials were incorporated in Crown products, since some of these responses cover the entire product range of the supplier’s products and not just those sold to Crown.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Improvements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will undertake the following steps during the next compliance period:</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sustainability goals announced as part of its Twentyby30 program to reduce the amount of minerals mined from the Earth;</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direct suppliers to the RMI for information and encourage them to support the RMI’s efforts through membership;</w:t>
      </w:r>
    </w:p>
    <w:p>
      <w:pPr>
        <w:spacing w:after="0" w:line="130"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refine its due diligence process for suppliers who indicate the intentional addition or use of 3TG in their products or production process but who (i) are unable to confirm whether the smelters that provided the 3TG found in the products sold to Crown businesses source from a Covered Country or (ii) did not provide a smelter list so that their responses could be verified;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engage with suppliers that did not respond to the request for information for calendar year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All information contained in this CMR, other than statements of historical fact, constitute forward-looking statements within the meaning of federal securities laws. These forward-looking statements involve a number of risks, uncertainties, assumptions and other factors including, among other things, Crown’s suppliers’ responsiveness and cooperation with Crown’s due diligence efforts, Crown’s ability to implement improvements in its conflict minerals due diligence compliance process, changes to the sourcing status of smelters and refiners in Crown’s supply chain, changes to the conflict minerals rules, Crown’s ability to identify and mitigate related risks in Crown’s supply chain, and risks and uncertainties related to the COVID-19 coronavirus pandemic more generally. Other risks, uncertainties, assumptions and other factors relevant to our forward-looking statements are discussed in greater detail in our reports filed with the SEC. All forward-looking statements speak only as of the date of this report, and Crown undertakes no obligation to review or update any forward-looking statements to reflect events, circumstances or changes in expectations occurring after filing this CMR with the SEC.</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2022-05-31T09:07:52Z</dcterms:created>
  <dcterms:modified xsi:type="dcterms:W3CDTF">2022-05-31T09:07:52Z</dcterms:modified>
</cp:coreProperties>
</file>