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NOVAES DJALMA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34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President - Americas Division</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3,608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106,050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2,840</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103,210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22, 2024 whose grant was originally reported on a Form 4 filed with the Securities and Exchange Commission on January 12, 2021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3,608. The Return on Invested Capital achieved by the Company compared to the ROIC target yielded 200% payout. As a result, 3,608 additional ROIC Performance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02/23/2024</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2024-02-23T11:22:25Z</dcterms:created>
  <dcterms:modified xsi:type="dcterms:W3CDTF">2024-02-23T11:22:25Z</dcterms:modified>
</cp:coreProperties>
</file>