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11-K</w:t>
      </w:r>
    </w:p>
    <w:p>
      <w:pPr>
        <w:sectPr>
          <w:pgSz w:w="11900" w:h="16838" w:orient="portrait"/>
          <w:cols w:equalWidth="0" w:num="1">
            <w:col w:w="9019"/>
          </w:cols>
          <w:pgMar w:left="1440" w:top="1440" w:right="1440" w:bottom="1440" w:gutter="0" w:footer="0" w:header="0"/>
        </w:sectPr>
      </w:pPr>
    </w:p>
    <w:p>
      <w:pPr>
        <w:spacing w:after="0" w:line="200" w:lineRule="exact"/>
        <w:rPr>
          <w:sz w:val="24"/>
          <w:szCs w:val="24"/>
          <w:color w:val="auto"/>
        </w:rPr>
      </w:pPr>
    </w:p>
    <w:p>
      <w:pPr>
        <w:spacing w:after="0" w:line="308"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 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ANNUAL REPORT PURSUANT TO SECTION 15(d)</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ectPr>
          <w:pgSz w:w="11900" w:h="16838" w:orient="portrait"/>
          <w:cols w:equalWidth="0" w:num="2">
            <w:col w:w="1060" w:space="720"/>
            <w:col w:w="7239"/>
          </w:cols>
          <w:pgMar w:left="1440" w:top="1440" w:right="1440" w:bottom="1440" w:gutter="0" w:footer="0" w:header="0"/>
          <w:type w:val="continuous"/>
        </w:sectPr>
      </w:pPr>
    </w:p>
    <w:p>
      <w:pPr>
        <w:spacing w:after="0" w:line="200" w:lineRule="exact"/>
        <w:rPr>
          <w:sz w:val="24"/>
          <w:szCs w:val="24"/>
          <w:color w:val="auto"/>
        </w:rPr>
      </w:pPr>
    </w:p>
    <w:p>
      <w:pPr>
        <w:spacing w:after="0" w:line="292" w:lineRule="exact"/>
        <w:rPr>
          <w:sz w:val="24"/>
          <w:szCs w:val="24"/>
          <w:color w:val="auto"/>
        </w:rPr>
      </w:pPr>
    </w:p>
    <w:p>
      <w:pPr>
        <w:ind w:left="1780"/>
        <w:spacing w:after="0"/>
        <w:rPr>
          <w:sz w:val="20"/>
          <w:szCs w:val="20"/>
          <w:color w:val="auto"/>
        </w:rPr>
      </w:pPr>
      <w:r>
        <w:rPr>
          <w:rFonts w:ascii="Arial" w:cs="Arial" w:eastAsia="Arial" w:hAnsi="Arial"/>
          <w:sz w:val="19"/>
          <w:szCs w:val="19"/>
          <w:b w:val="1"/>
          <w:bCs w:val="1"/>
          <w:color w:val="auto"/>
        </w:rPr>
        <w:t>For the fiscal year ended December 31, 2017</w:t>
      </w:r>
    </w:p>
    <w:p>
      <w:pPr>
        <w:spacing w:after="0" w:line="200" w:lineRule="exact"/>
        <w:rPr>
          <w:sz w:val="24"/>
          <w:szCs w:val="24"/>
          <w:color w:val="auto"/>
        </w:rPr>
      </w:pPr>
    </w:p>
    <w:p>
      <w:pPr>
        <w:spacing w:after="0" w:line="203"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Commission File Number 0-50189</w:t>
      </w:r>
    </w:p>
    <w:p>
      <w:pPr>
        <w:sectPr>
          <w:pgSz w:w="11900" w:h="16838" w:orient="portrait"/>
          <w:cols w:equalWidth="0" w:num="1">
            <w:col w:w="9019"/>
          </w:cols>
          <w:pgMar w:left="1440" w:top="1440" w:right="1440" w:bottom="1440" w:gutter="0" w:footer="0" w:header="0"/>
          <w:type w:val="continuous"/>
        </w:sectPr>
      </w:pPr>
    </w:p>
    <w:p>
      <w:pPr>
        <w:spacing w:after="0" w:line="395" w:lineRule="exact"/>
        <w:rPr>
          <w:sz w:val="24"/>
          <w:szCs w:val="24"/>
          <w:color w:val="auto"/>
        </w:rPr>
      </w:pPr>
    </w:p>
    <w:p>
      <w:pPr>
        <w:ind w:left="2200" w:hanging="489"/>
        <w:spacing w:after="0"/>
        <w:tabs>
          <w:tab w:leader="none" w:pos="22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Full title of the plan:</w:t>
      </w:r>
    </w:p>
    <w:p>
      <w:pPr>
        <w:spacing w:after="0" w:line="368" w:lineRule="exact"/>
        <w:rPr>
          <w:rFonts w:ascii="Arial" w:cs="Arial" w:eastAsia="Arial" w:hAnsi="Arial"/>
          <w:sz w:val="22"/>
          <w:szCs w:val="22"/>
          <w:b w:val="1"/>
          <w:bCs w:val="1"/>
          <w:color w:val="auto"/>
        </w:rPr>
      </w:pPr>
    </w:p>
    <w:p>
      <w:pPr>
        <w:ind w:left="2200" w:right="3579"/>
        <w:spacing w:after="0" w:line="394" w:lineRule="auto"/>
        <w:rPr>
          <w:rFonts w:ascii="Arial" w:cs="Arial" w:eastAsia="Arial" w:hAnsi="Arial"/>
          <w:sz w:val="22"/>
          <w:szCs w:val="22"/>
          <w:b w:val="1"/>
          <w:bCs w:val="1"/>
          <w:color w:val="auto"/>
        </w:rPr>
      </w:pPr>
      <w:r>
        <w:rPr>
          <w:rFonts w:ascii="Arial" w:cs="Arial" w:eastAsia="Arial" w:hAnsi="Arial"/>
          <w:sz w:val="19"/>
          <w:szCs w:val="19"/>
          <w:b w:val="1"/>
          <w:bCs w:val="1"/>
          <w:color w:val="auto"/>
        </w:rPr>
        <w:t>Crown Cork &amp; Seal Company, Inc. 401(k) Retirement Savings Plan</w:t>
      </w:r>
    </w:p>
    <w:p>
      <w:pPr>
        <w:spacing w:after="0" w:line="200" w:lineRule="exact"/>
        <w:rPr>
          <w:rFonts w:ascii="Arial" w:cs="Arial" w:eastAsia="Arial" w:hAnsi="Arial"/>
          <w:sz w:val="22"/>
          <w:szCs w:val="22"/>
          <w:b w:val="1"/>
          <w:bCs w:val="1"/>
          <w:color w:val="auto"/>
        </w:rPr>
      </w:pPr>
    </w:p>
    <w:p>
      <w:pPr>
        <w:ind w:left="2200" w:right="1539" w:hanging="477"/>
        <w:spacing w:after="0" w:line="394" w:lineRule="auto"/>
        <w:tabs>
          <w:tab w:leader="none" w:pos="220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Name of issuer of the Securities held pursuant to the plan and the address of its principal executive office:</w:t>
      </w:r>
    </w:p>
    <w:p>
      <w:pPr>
        <w:spacing w:after="0" w:line="200" w:lineRule="exact"/>
        <w:rPr>
          <w:sz w:val="24"/>
          <w:szCs w:val="24"/>
          <w:color w:val="auto"/>
        </w:rPr>
      </w:pPr>
    </w:p>
    <w:p>
      <w:pPr>
        <w:spacing w:after="0" w:line="28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CROWN HOLDINGS, INC.</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ONE CROWN WAY</w:t>
      </w:r>
    </w:p>
    <w:p>
      <w:pPr>
        <w:spacing w:after="0" w:line="4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PHILADELPHIA, PA 19154-4599</w:t>
      </w:r>
    </w:p>
    <w:p>
      <w:pPr>
        <w:sectPr>
          <w:pgSz w:w="11900" w:h="16838" w:orient="portrait"/>
          <w:cols w:equalWidth="0" w:num="1">
            <w:col w:w="9019"/>
          </w:cols>
          <w:pgMar w:left="1440" w:top="1440" w:right="1440"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20" w:type="dxa"/>
            <w:vAlign w:val="bottom"/>
          </w:tcPr>
          <w:p>
            <w:pPr>
              <w:spacing w:after="0"/>
              <w:rPr>
                <w:sz w:val="23"/>
                <w:szCs w:val="23"/>
                <w:color w:val="auto"/>
              </w:rPr>
            </w:pPr>
          </w:p>
        </w:tc>
        <w:tc>
          <w:tcPr>
            <w:tcW w:w="2000" w:type="dxa"/>
            <w:vAlign w:val="bottom"/>
          </w:tcPr>
          <w:p>
            <w:pPr>
              <w:ind w:left="1360"/>
              <w:spacing w:after="0"/>
              <w:rPr>
                <w:sz w:val="20"/>
                <w:szCs w:val="20"/>
                <w:color w:val="auto"/>
              </w:rPr>
            </w:pPr>
            <w:r>
              <w:rPr>
                <w:rFonts w:ascii="Arial" w:cs="Arial" w:eastAsia="Arial" w:hAnsi="Arial"/>
                <w:sz w:val="22"/>
                <w:szCs w:val="22"/>
                <w:color w:val="auto"/>
                <w:w w:val="80"/>
              </w:rPr>
              <w:t>Page(s)</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Signatures</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1"/>
              </w:rPr>
              <w:t>3</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Report of Independent Registered Public Accounting Firm</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1"/>
              </w:rPr>
              <w:t>6</w:t>
            </w:r>
          </w:p>
        </w:tc>
      </w:tr>
      <w:tr>
        <w:trPr>
          <w:trHeight w:val="590"/>
        </w:trPr>
        <w:tc>
          <w:tcPr>
            <w:tcW w:w="7620" w:type="dxa"/>
            <w:vAlign w:val="bottom"/>
          </w:tcPr>
          <w:p>
            <w:pPr>
              <w:spacing w:after="0"/>
              <w:rPr>
                <w:sz w:val="20"/>
                <w:szCs w:val="20"/>
                <w:color w:val="auto"/>
              </w:rPr>
            </w:pPr>
            <w:r>
              <w:rPr>
                <w:rFonts w:ascii="Arial" w:cs="Arial" w:eastAsia="Arial" w:hAnsi="Arial"/>
                <w:sz w:val="22"/>
                <w:szCs w:val="22"/>
                <w:color w:val="auto"/>
              </w:rPr>
              <w:t>Financial Statements and Supplemental Information in Accordance</w:t>
            </w:r>
          </w:p>
        </w:tc>
        <w:tc>
          <w:tcPr>
            <w:tcW w:w="2000" w:type="dxa"/>
            <w:vAlign w:val="bottom"/>
          </w:tcPr>
          <w:p>
            <w:pPr>
              <w:spacing w:after="0"/>
              <w:rPr>
                <w:sz w:val="24"/>
                <w:szCs w:val="24"/>
                <w:color w:val="auto"/>
              </w:rPr>
            </w:pPr>
          </w:p>
        </w:tc>
      </w:tr>
      <w:tr>
        <w:trPr>
          <w:trHeight w:val="275"/>
        </w:trPr>
        <w:tc>
          <w:tcPr>
            <w:tcW w:w="7620" w:type="dxa"/>
            <w:vAlign w:val="bottom"/>
          </w:tcPr>
          <w:p>
            <w:pPr>
              <w:spacing w:after="0"/>
              <w:rPr>
                <w:sz w:val="20"/>
                <w:szCs w:val="20"/>
                <w:color w:val="auto"/>
              </w:rPr>
            </w:pPr>
            <w:r>
              <w:rPr>
                <w:rFonts w:ascii="Arial" w:cs="Arial" w:eastAsia="Arial" w:hAnsi="Arial"/>
                <w:sz w:val="22"/>
                <w:szCs w:val="22"/>
                <w:color w:val="auto"/>
              </w:rPr>
              <w:t>with the Financial Reporting Requirements of ERISA</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8"/>
              </w:rPr>
              <w:t>7 - 16</w:t>
            </w:r>
          </w:p>
        </w:tc>
      </w:tr>
      <w:tr>
        <w:trPr>
          <w:trHeight w:val="621"/>
        </w:trPr>
        <w:tc>
          <w:tcPr>
            <w:tcW w:w="7620" w:type="dxa"/>
            <w:vAlign w:val="bottom"/>
          </w:tcPr>
          <w:p>
            <w:pPr>
              <w:spacing w:after="0"/>
              <w:rPr>
                <w:sz w:val="20"/>
                <w:szCs w:val="20"/>
                <w:color w:val="auto"/>
              </w:rPr>
            </w:pPr>
            <w:r>
              <w:rPr>
                <w:rFonts w:ascii="Arial" w:cs="Arial" w:eastAsia="Arial" w:hAnsi="Arial"/>
                <w:sz w:val="22"/>
                <w:szCs w:val="22"/>
                <w:color w:val="auto"/>
              </w:rPr>
              <w:t>Exhibit 23 - Consent of Independent Registered Public Accounting Firm</w:t>
            </w:r>
          </w:p>
        </w:tc>
        <w:tc>
          <w:tcPr>
            <w:tcW w:w="2000" w:type="dxa"/>
            <w:vAlign w:val="bottom"/>
          </w:tcPr>
          <w:p>
            <w:pPr>
              <w:jc w:val="center"/>
              <w:ind w:left="1272"/>
              <w:spacing w:after="0"/>
              <w:rPr>
                <w:sz w:val="20"/>
                <w:szCs w:val="20"/>
                <w:color w:val="auto"/>
              </w:rPr>
            </w:pPr>
            <w:r>
              <w:rPr>
                <w:rFonts w:ascii="Arial" w:cs="Arial" w:eastAsia="Arial" w:hAnsi="Arial"/>
                <w:sz w:val="22"/>
                <w:szCs w:val="22"/>
                <w:color w:val="auto"/>
                <w:w w:val="89"/>
              </w:rPr>
              <w:t>17</w:t>
            </w:r>
          </w:p>
        </w:tc>
      </w:tr>
    </w:tbl>
    <w:p>
      <w:pPr>
        <w:sectPr>
          <w:pgSz w:w="11900" w:h="16838" w:orient="portrait"/>
          <w:cols w:equalWidth="0" w:num="1">
            <w:col w:w="9620"/>
          </w:cols>
          <w:pgMar w:left="1120" w:top="1023" w:right="11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Benefit Plans Investment Committee has duly caused this annual report to be signed on its behalf by the undersigned hereto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Crown Cork &amp; Seal Company, Inc.</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401(k) Retirement Savings Plan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620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June 19, 2018</w:t>
      </w:r>
    </w:p>
    <w:p>
      <w:pPr>
        <w:sectPr>
          <w:pgSz w:w="11900" w:h="16838" w:orient="portrait"/>
          <w:cols w:equalWidth="0" w:num="1">
            <w:col w:w="11340"/>
          </w:cols>
          <w:pgMar w:left="240" w:top="1239" w:right="3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CROWN CORK &amp; SEAL COMPANY, INC.</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401(k) RETIREMENT SAVINGS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Financial Statements as of and for the years ended</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December 31, 2017 and 2016</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Supplemental information required for Form 5500</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as of December 31, 2017</w:t>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401(k) Retirement Savings Plan</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8500" w:type="dxa"/>
            <w:vAlign w:val="bottom"/>
          </w:tcPr>
          <w:p>
            <w:pPr>
              <w:spacing w:after="0"/>
              <w:rPr>
                <w:sz w:val="21"/>
                <w:szCs w:val="21"/>
                <w:color w:val="auto"/>
              </w:rPr>
            </w:pPr>
          </w:p>
        </w:tc>
        <w:tc>
          <w:tcPr>
            <w:tcW w:w="2420" w:type="dxa"/>
            <w:vAlign w:val="bottom"/>
          </w:tcPr>
          <w:p>
            <w:pPr>
              <w:ind w:left="1840"/>
              <w:spacing w:after="0"/>
              <w:rPr>
                <w:sz w:val="20"/>
                <w:szCs w:val="20"/>
                <w:color w:val="auto"/>
              </w:rPr>
            </w:pPr>
            <w:r>
              <w:rPr>
                <w:rFonts w:ascii="Arial" w:cs="Arial" w:eastAsia="Arial" w:hAnsi="Arial"/>
                <w:sz w:val="20"/>
                <w:szCs w:val="20"/>
                <w:color w:val="auto"/>
                <w:w w:val="79"/>
              </w:rPr>
              <w:t>Page(s)</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1</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Financial Statements</w:t>
            </w:r>
          </w:p>
        </w:tc>
        <w:tc>
          <w:tcPr>
            <w:tcW w:w="2420" w:type="dxa"/>
            <w:vAlign w:val="bottom"/>
          </w:tcPr>
          <w:p>
            <w:pPr>
              <w:spacing w:after="0"/>
              <w:rPr>
                <w:sz w:val="24"/>
                <w:szCs w:val="24"/>
                <w:color w:val="auto"/>
              </w:rPr>
            </w:pPr>
          </w:p>
        </w:tc>
      </w:tr>
      <w:tr>
        <w:trPr>
          <w:trHeight w:val="608"/>
        </w:trPr>
        <w:tc>
          <w:tcPr>
            <w:tcW w:w="8500" w:type="dxa"/>
            <w:vAlign w:val="bottom"/>
          </w:tcPr>
          <w:p>
            <w:pPr>
              <w:ind w:left="160"/>
              <w:spacing w:after="0"/>
              <w:rPr>
                <w:sz w:val="20"/>
                <w:szCs w:val="20"/>
                <w:color w:val="auto"/>
              </w:rPr>
            </w:pPr>
            <w:r>
              <w:rPr>
                <w:rFonts w:ascii="Arial" w:cs="Arial" w:eastAsia="Arial" w:hAnsi="Arial"/>
                <w:sz w:val="20"/>
                <w:szCs w:val="20"/>
                <w:color w:val="auto"/>
              </w:rPr>
              <w:t>Statement of Net Assets Available for Benefits as of December 31, 2017 and 2016</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2</w:t>
            </w:r>
          </w:p>
        </w:tc>
      </w:tr>
      <w:tr>
        <w:trPr>
          <w:trHeight w:val="587"/>
        </w:trPr>
        <w:tc>
          <w:tcPr>
            <w:tcW w:w="8500" w:type="dxa"/>
            <w:vAlign w:val="bottom"/>
          </w:tcPr>
          <w:p>
            <w:pPr>
              <w:ind w:left="160"/>
              <w:spacing w:after="0"/>
              <w:rPr>
                <w:sz w:val="20"/>
                <w:szCs w:val="20"/>
                <w:color w:val="auto"/>
              </w:rPr>
            </w:pPr>
            <w:r>
              <w:rPr>
                <w:rFonts w:ascii="Arial" w:cs="Arial" w:eastAsia="Arial" w:hAnsi="Arial"/>
                <w:sz w:val="20"/>
                <w:szCs w:val="20"/>
                <w:color w:val="auto"/>
              </w:rPr>
              <w:t>Statement of Changes in Net Assets Available for Benefits for the years ended</w:t>
            </w:r>
          </w:p>
        </w:tc>
        <w:tc>
          <w:tcPr>
            <w:tcW w:w="2420" w:type="dxa"/>
            <w:vAlign w:val="bottom"/>
          </w:tcPr>
          <w:p>
            <w:pPr>
              <w:spacing w:after="0"/>
              <w:rPr>
                <w:sz w:val="24"/>
                <w:szCs w:val="24"/>
                <w:color w:val="auto"/>
              </w:rPr>
            </w:pPr>
          </w:p>
        </w:tc>
      </w:tr>
      <w:tr>
        <w:trPr>
          <w:trHeight w:val="250"/>
        </w:trPr>
        <w:tc>
          <w:tcPr>
            <w:tcW w:w="8500" w:type="dxa"/>
            <w:vAlign w:val="bottom"/>
          </w:tcPr>
          <w:p>
            <w:pPr>
              <w:ind w:left="160"/>
              <w:spacing w:after="0"/>
              <w:rPr>
                <w:sz w:val="20"/>
                <w:szCs w:val="20"/>
                <w:color w:val="auto"/>
              </w:rPr>
            </w:pPr>
            <w:r>
              <w:rPr>
                <w:rFonts w:ascii="Arial" w:cs="Arial" w:eastAsia="Arial" w:hAnsi="Arial"/>
                <w:sz w:val="20"/>
                <w:szCs w:val="20"/>
                <w:color w:val="auto"/>
              </w:rPr>
              <w:t>December 31, 2017 and 2016</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9"/>
              </w:rPr>
              <w:t>3</w:t>
            </w:r>
          </w:p>
        </w:tc>
      </w:tr>
      <w:tr>
        <w:trPr>
          <w:trHeight w:val="608"/>
        </w:trPr>
        <w:tc>
          <w:tcPr>
            <w:tcW w:w="8500" w:type="dxa"/>
            <w:vAlign w:val="bottom"/>
          </w:tcPr>
          <w:p>
            <w:pPr>
              <w:ind w:left="140"/>
              <w:spacing w:after="0"/>
              <w:rPr>
                <w:sz w:val="20"/>
                <w:szCs w:val="20"/>
                <w:color w:val="auto"/>
              </w:rPr>
            </w:pPr>
            <w:r>
              <w:rPr>
                <w:rFonts w:ascii="Arial" w:cs="Arial" w:eastAsia="Arial" w:hAnsi="Arial"/>
                <w:sz w:val="20"/>
                <w:szCs w:val="20"/>
                <w:color w:val="auto"/>
              </w:rPr>
              <w:t>Notes to Financial Statements</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94"/>
              </w:rPr>
              <w:t>4 - 9</w:t>
            </w: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Supplemental Information *</w:t>
            </w:r>
          </w:p>
        </w:tc>
        <w:tc>
          <w:tcPr>
            <w:tcW w:w="2420" w:type="dxa"/>
            <w:vAlign w:val="bottom"/>
          </w:tcPr>
          <w:p>
            <w:pPr>
              <w:spacing w:after="0"/>
              <w:rPr>
                <w:sz w:val="24"/>
                <w:szCs w:val="24"/>
                <w:color w:val="auto"/>
              </w:rPr>
            </w:pPr>
          </w:p>
        </w:tc>
      </w:tr>
      <w:tr>
        <w:trPr>
          <w:trHeight w:val="608"/>
        </w:trPr>
        <w:tc>
          <w:tcPr>
            <w:tcW w:w="850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2420" w:type="dxa"/>
            <w:vAlign w:val="bottom"/>
          </w:tcPr>
          <w:p>
            <w:pPr>
              <w:jc w:val="center"/>
              <w:ind w:left="1741"/>
              <w:spacing w:after="0"/>
              <w:rPr>
                <w:sz w:val="20"/>
                <w:szCs w:val="20"/>
                <w:color w:val="auto"/>
              </w:rPr>
            </w:pPr>
            <w:r>
              <w:rPr>
                <w:rFonts w:ascii="Arial" w:cs="Arial" w:eastAsia="Arial" w:hAnsi="Arial"/>
                <w:sz w:val="20"/>
                <w:szCs w:val="20"/>
                <w:color w:val="auto"/>
                <w:w w:val="80"/>
              </w:rPr>
              <w:t>10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hanging="172"/>
        <w:spacing w:after="0" w:line="277" w:lineRule="auto"/>
        <w:tabs>
          <w:tab w:leader="none" w:pos="1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supplemental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00"/>
          </w:cols>
          <w:pgMar w:left="240" w:top="873"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Crown Cork &amp; Seal Company, Inc. 401(k) Retirement Savings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have audited the accompanying statement of net assets available for benefits of the Crown Cork &amp; Seal Company, Inc. 401(k) Retirement Savings Plan (the "Plan") as of December 31, 2017 and 2016, the related statement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2017 and 2016, and the changes in net assets available for benefits for the years then ended,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supplemental Schedule H, Line 4i - Schedule of Assets (Held at End of Year) as of December 31, 2017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forms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/s/ Baker Tilly Virchow Krause,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Plan's auditor since 2005.</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19, 2018</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2" w:right="239" w:bottom="1440" w:gutter="0" w:footer="0" w:header="0"/>
        </w:sectPr>
      </w:pPr>
    </w:p>
    <w:bookmarkStart w:id="6" w:name="page7"/>
    <w:bookmarkEnd w:id="6"/>
    <w:p>
      <w:pPr>
        <w:ind w:left="26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b w:val="1"/>
          <w:bCs w:val="1"/>
          <w:color w:val="auto"/>
        </w:rPr>
        <w:t>Statement of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28575</wp:posOffset>
            </wp:positionV>
            <wp:extent cx="6963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3410" cy="17145"/>
                    </a:xfrm>
                    <a:prstGeom prst="rect">
                      <a:avLst/>
                    </a:prstGeom>
                    <a:noFill/>
                  </pic:spPr>
                </pic:pic>
              </a:graphicData>
            </a:graphic>
          </wp:anchor>
        </w:drawing>
      </w:r>
    </w:p>
    <w:p>
      <w:pPr>
        <w:spacing w:after="0" w:line="56"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900" w:type="dxa"/>
            <w:vAlign w:val="bottom"/>
            <w:gridSpan w:val="3"/>
          </w:tcPr>
          <w:p>
            <w:pPr>
              <w:jc w:val="right"/>
              <w:ind w:right="41"/>
              <w:spacing w:after="0"/>
              <w:rPr>
                <w:sz w:val="20"/>
                <w:szCs w:val="20"/>
                <w:color w:val="auto"/>
              </w:rPr>
            </w:pPr>
            <w:r>
              <w:rPr>
                <w:rFonts w:ascii="Arial" w:cs="Arial" w:eastAsia="Arial" w:hAnsi="Arial"/>
                <w:sz w:val="20"/>
                <w:szCs w:val="20"/>
                <w:b w:val="1"/>
                <w:bCs w:val="1"/>
                <w:color w:val="auto"/>
              </w:rPr>
              <w:t>As of December 31,</w:t>
            </w: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30"/>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61"/>
        </w:trPr>
        <w:tc>
          <w:tcPr>
            <w:tcW w:w="6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481"/>
              <w:spacing w:after="0"/>
              <w:rPr>
                <w:sz w:val="20"/>
                <w:szCs w:val="20"/>
                <w:color w:val="auto"/>
              </w:rPr>
            </w:pPr>
            <w:r>
              <w:rPr>
                <w:rFonts w:ascii="Arial" w:cs="Arial" w:eastAsia="Arial" w:hAnsi="Arial"/>
                <w:sz w:val="20"/>
                <w:szCs w:val="20"/>
                <w:b w:val="1"/>
                <w:bCs w:val="1"/>
                <w:color w:val="auto"/>
              </w:rPr>
              <w:t>2017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481"/>
              <w:spacing w:after="0"/>
              <w:rPr>
                <w:sz w:val="20"/>
                <w:szCs w:val="20"/>
                <w:color w:val="auto"/>
              </w:rPr>
            </w:pPr>
            <w:r>
              <w:rPr>
                <w:rFonts w:ascii="Arial" w:cs="Arial" w:eastAsia="Arial" w:hAnsi="Arial"/>
                <w:sz w:val="20"/>
                <w:szCs w:val="20"/>
                <w:b w:val="1"/>
                <w:bCs w:val="1"/>
                <w:color w:val="auto"/>
              </w:rPr>
              <w:t>2016</w:t>
            </w:r>
          </w:p>
        </w:tc>
        <w:tc>
          <w:tcPr>
            <w:tcW w:w="320" w:type="dxa"/>
            <w:vAlign w:val="bottom"/>
          </w:tcPr>
          <w:p>
            <w:pPr>
              <w:spacing w:after="0"/>
              <w:rPr>
                <w:sz w:val="22"/>
                <w:szCs w:val="22"/>
                <w:color w:val="auto"/>
              </w:rPr>
            </w:pPr>
          </w:p>
        </w:tc>
      </w:tr>
      <w:tr>
        <w:trPr>
          <w:trHeight w:val="30"/>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Investments, at fair value</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Registered investment companies: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DFA Emerging Markets Core Equity Portfolio</w:t>
            </w:r>
          </w:p>
        </w:tc>
        <w:tc>
          <w:tcPr>
            <w:tcW w:w="280" w:type="dxa"/>
            <w:vAlign w:val="bottom"/>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1,290,135</w:t>
            </w:r>
          </w:p>
        </w:tc>
        <w:tc>
          <w:tcPr>
            <w:tcW w:w="13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521,093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DFA US Targeted Value Portfolio</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341,079</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188,884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HSBC Investor Small Cap Equity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11,791,224</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9,405,413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Harbor International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983,987</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627,709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JPMorgan Intrepid Value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4,883,541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4,342,768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Metropolitan West Total Return Bond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9,249,768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9,168,765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T. Rowe Price International Discovery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452,177</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113,427</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International Growth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11,930,685</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8,271,435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Morgan Growth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3,498,083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2,213,745</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Prime Money Market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94,702</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64,487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2010 Fund</w:t>
            </w:r>
          </w:p>
        </w:tc>
        <w:tc>
          <w:tcPr>
            <w:tcW w:w="280" w:type="dxa"/>
            <w:vAlign w:val="bottom"/>
          </w:tcPr>
          <w:p>
            <w:pPr>
              <w:spacing w:after="0"/>
              <w:rPr>
                <w:sz w:val="22"/>
                <w:szCs w:val="22"/>
                <w:color w:val="auto"/>
              </w:rPr>
            </w:pPr>
          </w:p>
        </w:tc>
        <w:tc>
          <w:tcPr>
            <w:tcW w:w="2580" w:type="dxa"/>
            <w:vAlign w:val="bottom"/>
            <w:gridSpan w:val="2"/>
          </w:tcPr>
          <w:p>
            <w:pPr>
              <w:jc w:val="right"/>
              <w:ind w:right="142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453,709</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2015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3,822,914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4,276,911</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2020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4,862,885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3,821,741</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2025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8,294,700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6,799,073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2030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5,046,451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2,933,308</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2035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5,397,124</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3,932,814</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2040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3,112,646</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1,819,227</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2045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3,314,009</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2,405,889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2050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2,052,549</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1,326,281</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2055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956,845</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521,863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2060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86,488</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18,650</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Target Retirement 2065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528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Target Retirement Income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1,593,670</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1,096,923</w:t>
            </w:r>
          </w:p>
        </w:tc>
        <w:tc>
          <w:tcPr>
            <w:tcW w:w="32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20"/>
                <w:szCs w:val="20"/>
                <w:color w:val="auto"/>
              </w:rPr>
              <w:t>Vanguard Total Stock Market Index Fund</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47,690,459</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42,651,209</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160"/>
              <w:spacing w:after="0"/>
              <w:rPr>
                <w:sz w:val="20"/>
                <w:szCs w:val="20"/>
                <w:color w:val="auto"/>
              </w:rPr>
            </w:pPr>
            <w:r>
              <w:rPr>
                <w:rFonts w:ascii="Arial" w:cs="Arial" w:eastAsia="Arial" w:hAnsi="Arial"/>
                <w:sz w:val="20"/>
                <w:szCs w:val="20"/>
                <w:color w:val="auto"/>
              </w:rPr>
              <w:t>Vanguard Wellington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15,506,313</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13,712,113</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146,252,962</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120,687,437</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70"/>
        </w:trPr>
        <w:tc>
          <w:tcPr>
            <w:tcW w:w="6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42,397,220</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46,760,333</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Crown Holdings, Inc. Stock Fund</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19,546,121</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21,172,844</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0"/>
                <w:szCs w:val="20"/>
                <w:b w:val="1"/>
                <w:bCs w:val="1"/>
                <w:color w:val="auto"/>
              </w:rPr>
              <w:t>Total investments, at fair value</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208,196,303</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188,620,614</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64"/>
        </w:trPr>
        <w:tc>
          <w:tcPr>
            <w:tcW w:w="6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Receivables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61"/>
        </w:trPr>
        <w:tc>
          <w:tcPr>
            <w:tcW w:w="6220" w:type="dxa"/>
            <w:vAlign w:val="bottom"/>
          </w:tcPr>
          <w:p>
            <w:pPr>
              <w:ind w:left="20"/>
              <w:spacing w:after="0"/>
              <w:rPr>
                <w:sz w:val="20"/>
                <w:szCs w:val="20"/>
                <w:color w:val="auto"/>
              </w:rPr>
            </w:pPr>
            <w:r>
              <w:rPr>
                <w:rFonts w:ascii="Arial" w:cs="Arial" w:eastAsia="Arial" w:hAnsi="Arial"/>
                <w:sz w:val="20"/>
                <w:szCs w:val="20"/>
                <w:color w:val="auto"/>
              </w:rPr>
              <w:t>Notes receivable from participants</w:t>
            </w:r>
          </w:p>
        </w:tc>
        <w:tc>
          <w:tcPr>
            <w:tcW w:w="2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20"/>
                <w:szCs w:val="20"/>
                <w:color w:val="auto"/>
              </w:rPr>
              <w:t>3,368,015</w:t>
            </w:r>
          </w:p>
        </w:tc>
        <w:tc>
          <w:tcPr>
            <w:tcW w:w="1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3,197,691</w:t>
            </w:r>
          </w:p>
        </w:tc>
        <w:tc>
          <w:tcPr>
            <w:tcW w:w="320" w:type="dxa"/>
            <w:vAlign w:val="bottom"/>
          </w:tcPr>
          <w:p>
            <w:pPr>
              <w:spacing w:after="0"/>
              <w:rPr>
                <w:sz w:val="22"/>
                <w:szCs w:val="22"/>
                <w:color w:val="auto"/>
              </w:rPr>
            </w:pPr>
          </w:p>
        </w:tc>
      </w:tr>
      <w:tr>
        <w:trPr>
          <w:trHeight w:val="23"/>
        </w:trPr>
        <w:tc>
          <w:tcPr>
            <w:tcW w:w="6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r>
      <w:tr>
        <w:trPr>
          <w:trHeight w:val="277"/>
        </w:trPr>
        <w:tc>
          <w:tcPr>
            <w:tcW w:w="6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20"/>
                <w:szCs w:val="20"/>
                <w:b w:val="1"/>
                <w:bCs w:val="1"/>
                <w:color w:val="auto"/>
              </w:rPr>
              <w:t>Total receivables</w:t>
            </w:r>
          </w:p>
        </w:tc>
        <w:tc>
          <w:tcPr>
            <w:tcW w:w="2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3,368,015</w:t>
            </w:r>
          </w:p>
        </w:tc>
        <w:tc>
          <w:tcPr>
            <w:tcW w:w="13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3,197,691</w:t>
            </w:r>
          </w:p>
        </w:tc>
        <w:tc>
          <w:tcPr>
            <w:tcW w:w="320" w:type="dxa"/>
            <w:vAlign w:val="bottom"/>
            <w:tcBorders>
              <w:bottom w:val="single" w:sz="8" w:color="CCEEFF"/>
            </w:tcBorders>
            <w:shd w:val="clear" w:color="auto" w:fill="CCEEFF"/>
          </w:tcPr>
          <w:p>
            <w:pPr>
              <w:spacing w:after="0"/>
              <w:rPr>
                <w:sz w:val="24"/>
                <w:szCs w:val="24"/>
                <w:color w:val="auto"/>
              </w:rPr>
            </w:pPr>
          </w:p>
        </w:tc>
      </w:tr>
      <w:tr>
        <w:trPr>
          <w:trHeight w:val="264"/>
        </w:trPr>
        <w:tc>
          <w:tcPr>
            <w:tcW w:w="62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3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64"/>
        </w:trPr>
        <w:tc>
          <w:tcPr>
            <w:tcW w:w="6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20"/>
                <w:szCs w:val="20"/>
                <w:b w:val="1"/>
                <w:bCs w:val="1"/>
                <w:color w:val="auto"/>
              </w:rPr>
              <w:t>Total assets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211,564,318</w:t>
            </w:r>
          </w:p>
        </w:tc>
        <w:tc>
          <w:tcPr>
            <w:tcW w:w="1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191,818,305</w:t>
            </w:r>
          </w:p>
        </w:tc>
        <w:tc>
          <w:tcPr>
            <w:tcW w:w="320" w:type="dxa"/>
            <w:vAlign w:val="bottom"/>
            <w:tcBorders>
              <w:bottom w:val="single" w:sz="8" w:color="CCEEFF"/>
            </w:tcBorders>
            <w:shd w:val="clear" w:color="auto" w:fill="CCEEFF"/>
          </w:tcPr>
          <w:p>
            <w:pPr>
              <w:spacing w:after="0"/>
              <w:rPr>
                <w:sz w:val="22"/>
                <w:szCs w:val="22"/>
                <w:color w:val="auto"/>
              </w:rPr>
            </w:pPr>
          </w:p>
        </w:tc>
      </w:tr>
      <w:tr>
        <w:trPr>
          <w:trHeight w:val="270"/>
        </w:trPr>
        <w:tc>
          <w:tcPr>
            <w:tcW w:w="6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gridSpan w:val="2"/>
            <w:shd w:val="clear" w:color="auto" w:fill="CCEEFF"/>
          </w:tcPr>
          <w:p>
            <w:pPr>
              <w:jc w:val="center"/>
              <w:ind w:right="1580"/>
              <w:spacing w:after="0"/>
              <w:rPr>
                <w:sz w:val="20"/>
                <w:szCs w:val="20"/>
                <w:color w:val="auto"/>
              </w:rPr>
            </w:pPr>
            <w:r>
              <w:rPr>
                <w:rFonts w:ascii="Arial" w:cs="Arial" w:eastAsia="Arial" w:hAnsi="Arial"/>
                <w:sz w:val="20"/>
                <w:szCs w:val="20"/>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20"/>
                <w:szCs w:val="20"/>
                <w:color w:val="auto"/>
                <w:w w:val="99"/>
              </w:rPr>
              <w:t>—</w:t>
            </w:r>
          </w:p>
        </w:tc>
      </w:tr>
      <w:tr>
        <w:trPr>
          <w:trHeight w:val="270"/>
        </w:trPr>
        <w:tc>
          <w:tcPr>
            <w:tcW w:w="6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320" w:type="dxa"/>
            <w:vAlign w:val="bottom"/>
            <w:tcBorders>
              <w:bottom w:val="single" w:sz="8" w:color="CCEEFF"/>
            </w:tcBorders>
          </w:tcPr>
          <w:p>
            <w:pPr>
              <w:spacing w:after="0"/>
              <w:rPr>
                <w:sz w:val="23"/>
                <w:szCs w:val="23"/>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w w:val="89"/>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211,564,318</w:t>
            </w:r>
          </w:p>
        </w:tc>
        <w:tc>
          <w:tcPr>
            <w:tcW w:w="13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w w:val="98"/>
              </w:rPr>
              <w:t>191,818,305</w:t>
            </w:r>
          </w:p>
        </w:tc>
        <w:tc>
          <w:tcPr>
            <w:tcW w:w="320" w:type="dxa"/>
            <w:vAlign w:val="bottom"/>
            <w:tcBorders>
              <w:bottom w:val="single" w:sz="8" w:color="CCEEFF"/>
            </w:tcBorders>
            <w:shd w:val="clear" w:color="auto" w:fill="CCEEFF"/>
          </w:tcPr>
          <w:p>
            <w:pPr>
              <w:spacing w:after="0"/>
              <w:rPr>
                <w:sz w:val="23"/>
                <w:szCs w:val="23"/>
                <w:color w:val="auto"/>
              </w:rPr>
            </w:pP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240" w:top="949" w:right="459" w:bottom="503"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240" w:top="949" w:right="459" w:bottom="503" w:gutter="0" w:footer="0" w:header="0"/>
          <w:type w:val="continuous"/>
        </w:sectPr>
      </w:pPr>
    </w:p>
    <w:bookmarkStart w:id="7" w:name="page8"/>
    <w:bookmarkEnd w:id="7"/>
    <w:p>
      <w:pPr>
        <w:ind w:left="320"/>
        <w:spacing w:after="0"/>
        <w:rPr>
          <w:sz w:val="20"/>
          <w:szCs w:val="20"/>
          <w:color w:val="auto"/>
        </w:rPr>
      </w:pPr>
      <w:r>
        <w:rPr>
          <w:rFonts w:ascii="Arial" w:cs="Arial" w:eastAsia="Arial" w:hAnsi="Arial"/>
          <w:sz w:val="22"/>
          <w:szCs w:val="22"/>
          <w:b w:val="1"/>
          <w:bCs w:val="1"/>
          <w:color w:val="auto"/>
        </w:rPr>
        <w:t>CROWN CORK &amp; SEAL COMPANY, INC.</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401(k) RETIREMENT SAVINGS PLAN</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Statement of Changes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28575</wp:posOffset>
            </wp:positionV>
            <wp:extent cx="6877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56" w:lineRule="exact"/>
        <w:rPr>
          <w:sz w:val="20"/>
          <w:szCs w:val="20"/>
          <w:color w:val="auto"/>
        </w:rPr>
      </w:pPr>
    </w:p>
    <w:tbl>
      <w:tblPr>
        <w:tblLayout w:type="fixed"/>
        <w:tblInd w:w="300" w:type="dxa"/>
        <w:tblCellMar>
          <w:top w:w="0" w:type="dxa"/>
          <w:left w:w="0" w:type="dxa"/>
          <w:bottom w:w="0" w:type="dxa"/>
          <w:right w:w="0" w:type="dxa"/>
        </w:tblCellMar>
      </w:tblPr>
      <w:tr>
        <w:trPr>
          <w:trHeight w:val="256"/>
        </w:trPr>
        <w:tc>
          <w:tcPr>
            <w:tcW w:w="6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60" w:type="dxa"/>
            <w:vAlign w:val="bottom"/>
            <w:gridSpan w:val="4"/>
          </w:tcPr>
          <w:p>
            <w:pPr>
              <w:jc w:val="right"/>
              <w:ind w:right="761"/>
              <w:spacing w:after="0"/>
              <w:rPr>
                <w:sz w:val="20"/>
                <w:szCs w:val="20"/>
                <w:color w:val="auto"/>
              </w:rPr>
            </w:pPr>
            <w:r>
              <w:rPr>
                <w:rFonts w:ascii="Arial" w:cs="Arial" w:eastAsia="Arial" w:hAnsi="Arial"/>
                <w:sz w:val="20"/>
                <w:szCs w:val="20"/>
                <w:b w:val="1"/>
                <w:bCs w:val="1"/>
                <w:color w:val="auto"/>
              </w:rPr>
              <w:t>For the Year Ended December 31,</w:t>
            </w:r>
          </w:p>
        </w:tc>
      </w:tr>
      <w:tr>
        <w:trPr>
          <w:trHeight w:val="30"/>
        </w:trPr>
        <w:tc>
          <w:tcPr>
            <w:tcW w:w="6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1"/>
        </w:trPr>
        <w:tc>
          <w:tcPr>
            <w:tcW w:w="6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b w:val="1"/>
                <w:bCs w:val="1"/>
                <w:color w:val="auto"/>
              </w:rPr>
              <w:t>2017</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541"/>
              <w:spacing w:after="0"/>
              <w:rPr>
                <w:sz w:val="20"/>
                <w:szCs w:val="20"/>
                <w:color w:val="auto"/>
              </w:rPr>
            </w:pPr>
            <w:r>
              <w:rPr>
                <w:rFonts w:ascii="Arial" w:cs="Arial" w:eastAsia="Arial" w:hAnsi="Arial"/>
                <w:sz w:val="20"/>
                <w:szCs w:val="20"/>
                <w:b w:val="1"/>
                <w:bCs w:val="1"/>
                <w:color w:val="auto"/>
              </w:rPr>
              <w:t>2016</w:t>
            </w:r>
          </w:p>
        </w:tc>
      </w:tr>
      <w:tr>
        <w:trPr>
          <w:trHeight w:val="30"/>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Investment income:</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20"/>
                <w:szCs w:val="20"/>
                <w:color w:val="auto"/>
              </w:rPr>
              <w:t>Interest and dividend income</w:t>
            </w: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6,316,373</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4,586,257</w:t>
            </w:r>
          </w:p>
        </w:tc>
      </w:tr>
      <w:tr>
        <w:trPr>
          <w:trHeight w:val="261"/>
        </w:trPr>
        <w:tc>
          <w:tcPr>
            <w:tcW w:w="6240" w:type="dxa"/>
            <w:vAlign w:val="bottom"/>
          </w:tcPr>
          <w:p>
            <w:pPr>
              <w:ind w:left="180"/>
              <w:spacing w:after="0"/>
              <w:rPr>
                <w:sz w:val="20"/>
                <w:szCs w:val="20"/>
                <w:color w:val="auto"/>
              </w:rPr>
            </w:pPr>
            <w:r>
              <w:rPr>
                <w:rFonts w:ascii="Arial" w:cs="Arial" w:eastAsia="Arial" w:hAnsi="Arial"/>
                <w:sz w:val="20"/>
                <w:szCs w:val="20"/>
                <w:color w:val="auto"/>
              </w:rPr>
              <w:t>Net appreciation in fair value of investments</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20,571,904</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6,667,953</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investment income</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26,888,277</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11,254,210</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8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Interest income, notes receivable from participants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146,594</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142,043</w:t>
            </w:r>
          </w:p>
        </w:tc>
      </w:tr>
      <w:tr>
        <w:trPr>
          <w:trHeight w:val="254"/>
        </w:trPr>
        <w:tc>
          <w:tcPr>
            <w:tcW w:w="6240" w:type="dxa"/>
            <w:vAlign w:val="bottom"/>
          </w:tcPr>
          <w:p>
            <w:pPr>
              <w:ind w:left="1020"/>
              <w:spacing w:after="0"/>
              <w:rPr>
                <w:sz w:val="20"/>
                <w:szCs w:val="20"/>
                <w:color w:val="auto"/>
              </w:rPr>
            </w:pPr>
            <w:r>
              <w:rPr>
                <w:rFonts w:ascii="Arial" w:cs="Arial" w:eastAsia="Arial" w:hAnsi="Arial"/>
                <w:sz w:val="20"/>
                <w:szCs w:val="20"/>
                <w:b w:val="1"/>
                <w:bCs w:val="1"/>
                <w:color w:val="auto"/>
              </w:rPr>
              <w:t>Total interest income, notes receivable</w:t>
            </w: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146,594</w:t>
            </w:r>
          </w:p>
        </w:tc>
        <w:tc>
          <w:tcPr>
            <w:tcW w:w="12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142,043</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6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Contributions:</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20"/>
                <w:szCs w:val="20"/>
                <w:color w:val="auto"/>
              </w:rPr>
              <w:t>Employer</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1,623,272</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1,512,918</w:t>
            </w:r>
          </w:p>
        </w:tc>
      </w:tr>
      <w:tr>
        <w:trPr>
          <w:trHeight w:val="261"/>
        </w:trPr>
        <w:tc>
          <w:tcPr>
            <w:tcW w:w="6240" w:type="dxa"/>
            <w:vAlign w:val="bottom"/>
          </w:tcPr>
          <w:p>
            <w:pPr>
              <w:ind w:left="320"/>
              <w:spacing w:after="0"/>
              <w:rPr>
                <w:sz w:val="20"/>
                <w:szCs w:val="20"/>
                <w:color w:val="auto"/>
              </w:rPr>
            </w:pPr>
            <w:r>
              <w:rPr>
                <w:rFonts w:ascii="Arial" w:cs="Arial" w:eastAsia="Arial" w:hAnsi="Arial"/>
                <w:sz w:val="20"/>
                <w:szCs w:val="20"/>
                <w:color w:val="auto"/>
              </w:rPr>
              <w:t>Participant</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9,841,027</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8,889,953</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contributions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11,464,299</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10,402,871</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8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additions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32,390</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6,461</w:t>
            </w:r>
          </w:p>
        </w:tc>
      </w:tr>
      <w:tr>
        <w:trPr>
          <w:trHeight w:val="254"/>
        </w:trPr>
        <w:tc>
          <w:tcPr>
            <w:tcW w:w="6240" w:type="dxa"/>
            <w:vAlign w:val="bottom"/>
          </w:tcPr>
          <w:p>
            <w:pPr>
              <w:ind w:left="1020"/>
              <w:spacing w:after="0"/>
              <w:rPr>
                <w:sz w:val="20"/>
                <w:szCs w:val="20"/>
                <w:color w:val="auto"/>
              </w:rPr>
            </w:pPr>
            <w:r>
              <w:rPr>
                <w:rFonts w:ascii="Arial" w:cs="Arial" w:eastAsia="Arial" w:hAnsi="Arial"/>
                <w:sz w:val="20"/>
                <w:szCs w:val="20"/>
                <w:b w:val="1"/>
                <w:bCs w:val="1"/>
                <w:color w:val="auto"/>
              </w:rPr>
              <w:t>Total additions</w:t>
            </w: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38,531,560</w:t>
            </w:r>
          </w:p>
        </w:tc>
        <w:tc>
          <w:tcPr>
            <w:tcW w:w="128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right"/>
              <w:ind w:right="21"/>
              <w:spacing w:after="0"/>
              <w:rPr>
                <w:sz w:val="20"/>
                <w:szCs w:val="20"/>
                <w:color w:val="auto"/>
              </w:rPr>
            </w:pPr>
            <w:r>
              <w:rPr>
                <w:rFonts w:ascii="Arial" w:cs="Arial" w:eastAsia="Arial" w:hAnsi="Arial"/>
                <w:sz w:val="20"/>
                <w:szCs w:val="20"/>
                <w:color w:val="auto"/>
              </w:rPr>
              <w:t>21,805,585</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8"/>
        </w:trPr>
        <w:tc>
          <w:tcPr>
            <w:tcW w:w="6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
        </w:trPr>
        <w:tc>
          <w:tcPr>
            <w:tcW w:w="6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Benefits paid to participants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18,634,017</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18,550,770</w:t>
            </w:r>
          </w:p>
        </w:tc>
      </w:tr>
      <w:tr>
        <w:trPr>
          <w:trHeight w:val="261"/>
        </w:trPr>
        <w:tc>
          <w:tcPr>
            <w:tcW w:w="6240" w:type="dxa"/>
            <w:vAlign w:val="bottom"/>
          </w:tcPr>
          <w:p>
            <w:pPr>
              <w:ind w:left="20"/>
              <w:spacing w:after="0"/>
              <w:rPr>
                <w:sz w:val="20"/>
                <w:szCs w:val="20"/>
                <w:color w:val="auto"/>
              </w:rPr>
            </w:pPr>
            <w:r>
              <w:rPr>
                <w:rFonts w:ascii="Arial" w:cs="Arial" w:eastAsia="Arial" w:hAnsi="Arial"/>
                <w:sz w:val="20"/>
                <w:szCs w:val="20"/>
                <w:color w:val="auto"/>
              </w:rPr>
              <w:t>Administrative expenses</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151,530</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124,826</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7"/>
        </w:trPr>
        <w:tc>
          <w:tcPr>
            <w:tcW w:w="6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20"/>
                <w:szCs w:val="20"/>
                <w:b w:val="1"/>
                <w:bCs w:val="1"/>
                <w:color w:val="auto"/>
              </w:rPr>
              <w:t>Total deductions</w:t>
            </w: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18,785,547</w:t>
            </w:r>
          </w:p>
        </w:tc>
        <w:tc>
          <w:tcPr>
            <w:tcW w:w="12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18,675,596</w:t>
            </w:r>
          </w:p>
        </w:tc>
      </w:tr>
      <w:tr>
        <w:trPr>
          <w:trHeight w:val="318"/>
        </w:trPr>
        <w:tc>
          <w:tcPr>
            <w:tcW w:w="6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19,746,013</w:t>
            </w: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3,129,989</w:t>
            </w:r>
          </w:p>
        </w:tc>
      </w:tr>
      <w:tr>
        <w:trPr>
          <w:trHeight w:val="324"/>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61"/>
        </w:trPr>
        <w:tc>
          <w:tcPr>
            <w:tcW w:w="6240" w:type="dxa"/>
            <w:vAlign w:val="bottom"/>
          </w:tcPr>
          <w:p>
            <w:pPr>
              <w:ind w:left="340"/>
              <w:spacing w:after="0"/>
              <w:rPr>
                <w:sz w:val="20"/>
                <w:szCs w:val="20"/>
                <w:color w:val="auto"/>
              </w:rPr>
            </w:pPr>
            <w:r>
              <w:rPr>
                <w:rFonts w:ascii="Arial" w:cs="Arial" w:eastAsia="Arial" w:hAnsi="Arial"/>
                <w:sz w:val="20"/>
                <w:szCs w:val="20"/>
                <w:color w:val="auto"/>
              </w:rPr>
              <w:t>Beginning of year</w:t>
            </w: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191,818,305</w:t>
            </w: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20"/>
                <w:szCs w:val="20"/>
                <w:color w:val="auto"/>
              </w:rPr>
              <w:t>188,688,316</w:t>
            </w:r>
          </w:p>
        </w:tc>
      </w:tr>
      <w:tr>
        <w:trPr>
          <w:trHeight w:val="23"/>
        </w:trPr>
        <w:tc>
          <w:tcPr>
            <w:tcW w:w="6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2"/>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20"/>
                <w:szCs w:val="20"/>
                <w:color w:val="auto"/>
              </w:rPr>
              <w:t>End of year</w:t>
            </w: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211,564,318</w:t>
            </w:r>
          </w:p>
        </w:tc>
        <w:tc>
          <w:tcPr>
            <w:tcW w:w="12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20"/>
                <w:szCs w:val="20"/>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20"/>
                <w:szCs w:val="20"/>
                <w:color w:val="auto"/>
              </w:rPr>
              <w:t>191,818,305</w:t>
            </w:r>
          </w:p>
        </w:tc>
      </w:tr>
      <w:tr>
        <w:trPr>
          <w:trHeight w:val="20"/>
        </w:trPr>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140"/>
          </w:cols>
          <w:pgMar w:left="240" w:top="94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240" w:top="949" w:right="5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 DESCRIPTION OF PLAN</w:t>
      </w:r>
    </w:p>
    <w:p>
      <w:pPr>
        <w:spacing w:after="0" w:line="222"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following description of the Crown Cork &amp; Seal Company, Inc. 401(k) Retirement Savings Plan (the “Plan") provides only general information. Participants should refer to the Plan document for a more complete description of the Plan's provisions.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General</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Plan is a voluntary defined contribution plan. The purpose of the Plan is to provide a convenient method by which eligible employees of Crown Holdings, Inc. and subsidiaries (the “Company”) may save regularly through salary deferrals and through Company matching contributions. Generally, employees are eligible to participate in the Plan upon date of hire. The Plan is subject to the provisions of the Employee Retirement Income Security Act of 1974 (“ERISA”).</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Plan is administered by the Crown Cork &amp; Seal Company, Inc. Benefit Plans Committee (the “Committee”). The Committee has appointed Vanguard Fiduciary Trust Company (“VFTC”) as the trustee and recordkeeper of the Plan.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Contributions</w:t>
      </w:r>
    </w:p>
    <w:p>
      <w:pPr>
        <w:spacing w:after="0" w:line="2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Plan has two contribution components: a participant salary deferral 401(k) component and a Company matching contribution component. The Plan allows before-tax participant contributions of 2% to 75% of eligible compensation. The Plan also allows after-tax participant contributions of 1% to 10% of eligible compensation. The Company makes matching contributions equal to 50% of the participant's contribution, up to 3% of compensation, depending on the employer company, as defined in the Plan document. Participants direct the investment of their contributions into various investment options offered by the Plan. Company contributions are invested in accordance with participant investment directions. Contribution amounts are subject to certain Internal Revenue Service ("IRS") limitations.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Participant Accounts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Each participant's account is credited with the participant's contributions and allocation of (a) the Company's contribution and (b) Plan earnings, and charged with an allocation of any miscellaneous fees. Allocations are based on participant earnings or account balances, as defined. The benefit to which a participant is entitled is the benefit that can be provided from the participant's vested account.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Vesting</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plus actual earnings thereon is based on years of continuous service. A participant is considered 25% vested in the Company's contributions after one year of credited service. The participant's vested interest increases at a rate of 25% for each year of service thereafter, with the participant being 100% vested after four years.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rPr>
          <w:sz w:val="20"/>
          <w:szCs w:val="20"/>
          <w:color w:val="auto"/>
        </w:rPr>
      </w:pPr>
      <w:r>
        <w:rPr>
          <w:rFonts w:ascii="Arial" w:cs="Arial" w:eastAsia="Arial" w:hAnsi="Arial"/>
          <w:sz w:val="20"/>
          <w:szCs w:val="20"/>
          <w:color w:val="auto"/>
        </w:rPr>
        <w:t>Participants may borrow from their account a minimum of $1,000 up to a maximum equal to the lesser of $50,000 or 50% of the participant's vested account balance. Notes receivable terms range from 1 to 5 years or up to 10 years for the purchase of a primary residence. The notes receivable are secured by the balance in the participant's account and bear interest at a rate commensurate with a prevailing commercial rate for a secured personal loan. Interest rates on notes receivable outstanding as of December 31, 2017 and 2016 range from 4.25% to 6.25%. Principal and interest are paid ratably through monthly payroll deductions. A participant may not have more than two outstanding notes receivable at any one time.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2" w:right="239" w:bottom="1440" w:gutter="0" w:footer="0" w:header="0"/>
        </w:sectPr>
      </w:pPr>
    </w:p>
    <w:bookmarkStart w:id="9" w:name="page10"/>
    <w:bookmarkEnd w:id="9"/>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On termination of service due to retirement, attainment of age 65, permanent plant shutdown, permanent disability, or death, the participant, or his or her beneficiary, automatically becomes fully vested in the Company contributions. For termination of service due to these or any other reasons, a participant may receive the value of the vested interest in his or her account as a lump-sum distribution. All distributions are paid in either cash or Company stock at the participant's election.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Forfeited Accounts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When certain terminations of participation in the Plan occur, the non-vested portion of the participant's account, as defined, represents a forfeiture. Total unallocated forfeitures, which will be used to reduce future Company contributions, were $425 and $2 at December 31, 2017 and 2016, respectively. Forfeitures used to offset Company contributions in 2017 and 2016 totaled $78,259 and $50,246,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Plan Termination</w:t>
      </w:r>
    </w:p>
    <w:p>
      <w:pPr>
        <w:spacing w:after="0" w:line="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Company reserves the right to retroactively amend or modify any of the provisions of the Plan in any respect in order to qualify or maintain the Plan as a plan meeting the requirements of ERISA or any other applicable legislation. Although it has not expressed any intent to do so, the Company has the right under the Plan to discontinue its contributions at any time and to terminate the Plan subject to the provisions of ERISA. In the event of Plan termination, participants will become 100% vested in their Company contributions.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 SUMMARY OF SIGNIFICANT ACCOUNTING POLICIES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significant accounting policies, which conform with accounting principles generally accepted in the United States of America, have been used consistently in the preparation of the Plan's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Basis of Accounting</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financial statements of the Plan are prepared under the accrual basis of accounting.</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Use of Estimates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financial statements, as well as reported amounts of additions and deductions during the reporting period. Actual results could differ from those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Investment Valuation and Income Recognition</w:t>
      </w:r>
    </w:p>
    <w:p>
      <w:pPr>
        <w:spacing w:after="0" w:line="22"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The Plan’s investments are reported at fair value. Fair value is the price that would be received to sell an asset or paid to transfer a liability in an orderly transaction between market participants at the measurement date. See Note 3 for a discussion of fair value measurements.</w:t>
      </w:r>
    </w:p>
    <w:p>
      <w:pPr>
        <w:spacing w:after="0" w:line="159"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Purchases and sales of securities are recorded on the trade-date basis. Interest income is recorded on the accrual basis. Dividends are recorded on the ex-dividend date. Net appreciation includes the Plan’s gains and losses on investments bought and sold as well as held during the year.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05" w:right="2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Notes Receivable From Participants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Notes receivable from participants are measured at their unpaid principal balance plus any accrued but unpaid interest. Related fees are recorded as administrative expenses and are expensed when they are incurred. Interest income is recorded on the accrual basis. No allowance for credit losses has been recorded as of December 31, 2017 and 2016.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Payment of Benefits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Expenses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Recordkeeping expenses and fees related to the administration of notes receivable from participants are charged directly to the participant’s account and are included in administrative expenses. Investment related expenses are included in net appreciation in fair value of investments. Expenses paid by the Company are excluded from these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 FAIR VALUE MEASUREMENTS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authoritative guidance are described as follows:</w:t>
      </w:r>
    </w:p>
    <w:p>
      <w:pPr>
        <w:spacing w:after="0" w:line="205"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90"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such as:</w:t>
      </w:r>
    </w:p>
    <w:p>
      <w:pPr>
        <w:spacing w:after="0" w:line="190"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similar assets or liabilities in active markets;</w:t>
      </w:r>
    </w:p>
    <w:p>
      <w:pPr>
        <w:spacing w:after="0" w:line="15" w:lineRule="exact"/>
        <w:rPr>
          <w:rFonts w:ascii="Arial" w:cs="Arial" w:eastAsia="Arial" w:hAnsi="Arial"/>
          <w:sz w:val="20"/>
          <w:szCs w:val="20"/>
          <w:color w:val="auto"/>
        </w:rPr>
      </w:pP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quoted prices for identical or similar assets or liabilities in inactive markets;</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other than quoted prices that are observable for the asset or liability;</w:t>
      </w:r>
    </w:p>
    <w:p>
      <w:pPr>
        <w:ind w:left="1300" w:hanging="320"/>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inputs that are derived principally from or corroborated by observable market data by correlation or other means.</w:t>
      </w:r>
    </w:p>
    <w:p>
      <w:pPr>
        <w:spacing w:after="0" w:line="213"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If the asset or liability has a specified (contractual) term, the Level 2 input must be observable for substantially the full term of the asset or liability.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05"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instruments measured at fair value on a recurring basis for the Plan:</w:t>
      </w:r>
    </w:p>
    <w:p>
      <w:pPr>
        <w:spacing w:after="0" w:line="385"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2017</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146,252,962</w:t>
            </w:r>
          </w:p>
        </w:tc>
        <w:tc>
          <w:tcPr>
            <w:tcW w:w="138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146,252,962</w:t>
            </w:r>
          </w:p>
        </w:tc>
      </w:tr>
      <w:tr>
        <w:trPr>
          <w:trHeight w:val="2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Common stock fund</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19,546,121</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19,546,121</w:t>
            </w:r>
          </w:p>
        </w:tc>
      </w:tr>
      <w:tr>
        <w:trPr>
          <w:trHeight w:val="277"/>
        </w:trPr>
        <w:tc>
          <w:tcPr>
            <w:tcW w:w="4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165,799,083</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165,799,083</w:t>
            </w:r>
          </w:p>
        </w:tc>
      </w:tr>
      <w:tr>
        <w:trPr>
          <w:trHeight w:val="20"/>
        </w:trPr>
        <w:tc>
          <w:tcPr>
            <w:tcW w:w="4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69"/>
        </w:trPr>
        <w:tc>
          <w:tcPr>
            <w:tcW w:w="4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42,397,220</w:t>
            </w:r>
          </w:p>
        </w:tc>
      </w:tr>
      <w:tr>
        <w:trPr>
          <w:trHeight w:val="277"/>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208,196,303</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60" w:type="dxa"/>
            <w:vAlign w:val="bottom"/>
            <w:gridSpan w:val="4"/>
          </w:tcPr>
          <w:p>
            <w:pPr>
              <w:jc w:val="right"/>
              <w:ind w:right="521"/>
              <w:spacing w:after="0"/>
              <w:rPr>
                <w:sz w:val="20"/>
                <w:szCs w:val="20"/>
                <w:color w:val="auto"/>
              </w:rPr>
            </w:pPr>
            <w:r>
              <w:rPr>
                <w:rFonts w:ascii="Arial" w:cs="Arial" w:eastAsia="Arial" w:hAnsi="Arial"/>
                <w:sz w:val="20"/>
                <w:szCs w:val="20"/>
                <w:b w:val="1"/>
                <w:bCs w:val="1"/>
                <w:color w:val="auto"/>
                <w:w w:val="93"/>
              </w:rPr>
              <w:t>Assets at Fair Value as of December 31, 2016</w:t>
            </w:r>
          </w:p>
        </w:tc>
      </w:tr>
      <w:tr>
        <w:trPr>
          <w:trHeight w:val="2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4"/>
        </w:trPr>
        <w:tc>
          <w:tcPr>
            <w:tcW w:w="4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
          </w:tcPr>
          <w:p>
            <w:pPr>
              <w:ind w:left="240"/>
              <w:spacing w:after="0"/>
              <w:rPr>
                <w:sz w:val="20"/>
                <w:szCs w:val="20"/>
                <w:color w:val="auto"/>
              </w:rPr>
            </w:pPr>
            <w:r>
              <w:rPr>
                <w:rFonts w:ascii="Arial" w:cs="Arial" w:eastAsia="Arial" w:hAnsi="Arial"/>
                <w:sz w:val="20"/>
                <w:szCs w:val="20"/>
                <w:b w:val="1"/>
                <w:bCs w:val="1"/>
                <w:color w:val="auto"/>
              </w:rPr>
              <w:t>Level 1</w:t>
            </w:r>
          </w:p>
        </w:tc>
        <w:tc>
          <w:tcPr>
            <w:tcW w:w="400" w:type="dxa"/>
            <w:vAlign w:val="bottom"/>
          </w:tcPr>
          <w:p>
            <w:pPr>
              <w:spacing w:after="0"/>
              <w:rPr>
                <w:sz w:val="22"/>
                <w:szCs w:val="22"/>
                <w:color w:val="auto"/>
              </w:rPr>
            </w:pPr>
          </w:p>
        </w:tc>
        <w:tc>
          <w:tcPr>
            <w:tcW w:w="1420" w:type="dxa"/>
            <w:vAlign w:val="bottom"/>
          </w:tcPr>
          <w:p>
            <w:pPr>
              <w:jc w:val="right"/>
              <w:ind w:right="601"/>
              <w:spacing w:after="0"/>
              <w:rPr>
                <w:sz w:val="20"/>
                <w:szCs w:val="20"/>
                <w:color w:val="auto"/>
              </w:rPr>
            </w:pPr>
            <w:r>
              <w:rPr>
                <w:rFonts w:ascii="Arial" w:cs="Arial" w:eastAsia="Arial" w:hAnsi="Arial"/>
                <w:sz w:val="20"/>
                <w:szCs w:val="20"/>
                <w:b w:val="1"/>
                <w:bCs w:val="1"/>
                <w:color w:val="auto"/>
              </w:rPr>
              <w:t>Total</w:t>
            </w:r>
          </w:p>
        </w:tc>
      </w:tr>
      <w:tr>
        <w:trPr>
          <w:trHeight w:val="23"/>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91"/>
        </w:trPr>
        <w:tc>
          <w:tcPr>
            <w:tcW w:w="4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1"/>
        </w:trPr>
        <w:tc>
          <w:tcPr>
            <w:tcW w:w="4980" w:type="dxa"/>
            <w:vAlign w:val="bottom"/>
          </w:tcPr>
          <w:p>
            <w:pPr>
              <w:ind w:left="20"/>
              <w:spacing w:after="0"/>
              <w:rPr>
                <w:sz w:val="20"/>
                <w:szCs w:val="20"/>
                <w:color w:val="auto"/>
              </w:rPr>
            </w:pPr>
            <w:r>
              <w:rPr>
                <w:rFonts w:ascii="Arial" w:cs="Arial" w:eastAsia="Arial" w:hAnsi="Arial"/>
                <w:sz w:val="20"/>
                <w:szCs w:val="20"/>
                <w:color w:val="auto"/>
              </w:rPr>
              <w:t>Registered investment companies</w:t>
            </w:r>
          </w:p>
        </w:tc>
        <w:tc>
          <w:tcPr>
            <w:tcW w:w="360" w:type="dxa"/>
            <w:vAlign w:val="bottom"/>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Pr>
          <w:p>
            <w:pPr>
              <w:jc w:val="right"/>
              <w:ind w:right="1"/>
              <w:spacing w:after="0"/>
              <w:rPr>
                <w:sz w:val="20"/>
                <w:szCs w:val="20"/>
                <w:color w:val="auto"/>
              </w:rPr>
            </w:pPr>
            <w:r>
              <w:rPr>
                <w:rFonts w:ascii="Arial" w:cs="Arial" w:eastAsia="Arial" w:hAnsi="Arial"/>
                <w:sz w:val="20"/>
                <w:szCs w:val="20"/>
                <w:color w:val="auto"/>
              </w:rPr>
              <w:t>120,687,437</w:t>
            </w:r>
          </w:p>
        </w:tc>
        <w:tc>
          <w:tcPr>
            <w:tcW w:w="138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20"/>
                <w:szCs w:val="20"/>
                <w:color w:val="auto"/>
              </w:rPr>
              <w:t>120,687,437</w:t>
            </w:r>
          </w:p>
        </w:tc>
      </w:tr>
      <w:tr>
        <w:trPr>
          <w:trHeight w:val="2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Common stock fund</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21,172,844</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21,172,844</w:t>
            </w:r>
          </w:p>
        </w:tc>
      </w:tr>
      <w:tr>
        <w:trPr>
          <w:trHeight w:val="277"/>
        </w:trPr>
        <w:tc>
          <w:tcPr>
            <w:tcW w:w="4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319"/>
        </w:trPr>
        <w:tc>
          <w:tcPr>
            <w:tcW w:w="4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20"/>
                <w:szCs w:val="20"/>
                <w:color w:val="auto"/>
              </w:rPr>
              <w:t>Total assets in fair value hierarchy</w:t>
            </w: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141,860,281</w:t>
            </w: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141,860,281</w:t>
            </w:r>
          </w:p>
        </w:tc>
      </w:tr>
      <w:tr>
        <w:trPr>
          <w:trHeight w:val="269"/>
        </w:trPr>
        <w:tc>
          <w:tcPr>
            <w:tcW w:w="49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20" w:type="dxa"/>
            <w:vAlign w:val="bottom"/>
            <w:tcBorders>
              <w:top w:val="single" w:sz="8" w:color="auto"/>
            </w:tcBorders>
          </w:tcPr>
          <w:p>
            <w:pPr>
              <w:spacing w:after="0"/>
              <w:rPr>
                <w:sz w:val="23"/>
                <w:szCs w:val="23"/>
                <w:color w:val="auto"/>
              </w:rPr>
            </w:pPr>
          </w:p>
        </w:tc>
      </w:tr>
      <w:tr>
        <w:trPr>
          <w:trHeight w:val="28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measured at net asset value (a)</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46,760,333</w:t>
            </w:r>
          </w:p>
        </w:tc>
      </w:tr>
      <w:tr>
        <w:trPr>
          <w:trHeight w:val="277"/>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Investments at fair value</w:t>
            </w:r>
          </w:p>
        </w:tc>
        <w:tc>
          <w:tcPr>
            <w:tcW w:w="3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20"/>
                <w:szCs w:val="20"/>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188,620,614</w:t>
            </w:r>
          </w:p>
        </w:tc>
      </w:tr>
      <w:tr>
        <w:trPr>
          <w:trHeight w:val="20"/>
        </w:trPr>
        <w:tc>
          <w:tcPr>
            <w:tcW w:w="4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980" w:hanging="324"/>
        <w:spacing w:after="0" w:line="26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9"/>
          <w:szCs w:val="19"/>
          <w:color w:val="auto"/>
        </w:rPr>
        <w:t>Certain investments that were measured at net asset value ("NAV") per share (or its equivalent) have not been classified in the fair value hierarchy. The fair value amounts presented in this table are intended to permit reconciliation of the fair value hierarchy to the line items presented in the Statement of Net Assets Available for Benefits.</w:t>
      </w:r>
    </w:p>
    <w:p>
      <w:pPr>
        <w:spacing w:after="0" w:line="4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following is a description of the valuation methodologies used for assets measured at fair value. There have been no changes in the methodologies used at December 31, 2017 and 2016.</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Registered investment companies are valued at quoted market prices, which represent the NAV of shares held by the Plan at year end.</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fair value of the common stock fund is measured at the closing price reported on the active market on which the security held by the fund is traded.</w:t>
      </w:r>
    </w:p>
    <w:p>
      <w:pPr>
        <w:sectPr>
          <w:pgSz w:w="11900" w:h="16838" w:orient="portrait"/>
          <w:cols w:equalWidth="0" w:num="1">
            <w:col w:w="11420"/>
          </w:cols>
          <w:pgMar w:left="240" w:top="8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80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Vanguard Retirement Savings Trust is a collective trust fund that is valued at the NAV of the units of the collective trust fund held by the Plan at year end times the respective unit value. The NAV, as provided by the trustee, is used as practical expedient to estimate fair value. The NAV of the collective trust fund is based upon significant observable inputs, although it is not based upon quoted market prices in an active market. The collective trust fund’s investment objective is to seek the preservation of capital and to provide a competitive level of income over time that is consistent with the preservation of capital. To achieve its investment objective, the collective trust fund invests in assets (typically contracts issued by insurance companies and banks, synthetic investment contracts, and short term investments) and enters into “wrapper” contracts issued by third-parties and invests in cash equivalents represented by shares in a money market fund.</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Investments Measured Using NAV per Share Practical Expedient</w:t>
      </w:r>
    </w:p>
    <w:p>
      <w:pPr>
        <w:spacing w:after="0" w:line="235" w:lineRule="exact"/>
        <w:rPr>
          <w:sz w:val="20"/>
          <w:szCs w:val="20"/>
          <w:color w:val="auto"/>
        </w:rPr>
      </w:pPr>
    </w:p>
    <w:p>
      <w:pPr>
        <w:jc w:val="both"/>
        <w:ind w:left="500"/>
        <w:spacing w:after="0" w:line="250" w:lineRule="auto"/>
        <w:rPr>
          <w:sz w:val="20"/>
          <w:szCs w:val="20"/>
          <w:color w:val="auto"/>
        </w:rPr>
      </w:pPr>
      <w:r>
        <w:rPr>
          <w:rFonts w:ascii="Arial" w:cs="Arial" w:eastAsia="Arial" w:hAnsi="Arial"/>
          <w:sz w:val="20"/>
          <w:szCs w:val="20"/>
          <w:color w:val="auto"/>
        </w:rPr>
        <w:t>The following table summarizes investments for which fair value is measured using NAV per share practical expedient as of December 31, 2017 and 2016, respectively. There are no participant redemption restrictions for these investments; the redemption notice period is applicable only to the Plan.</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2017</w:t>
            </w:r>
          </w:p>
        </w:tc>
        <w:tc>
          <w:tcPr>
            <w:tcW w:w="1440" w:type="dxa"/>
            <w:vAlign w:val="bottom"/>
          </w:tcPr>
          <w:p>
            <w:pPr>
              <w:spacing w:after="0"/>
              <w:rPr>
                <w:sz w:val="22"/>
                <w:szCs w:val="22"/>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42,397,220</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608"/>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4"/>
          </w:tcPr>
          <w:p>
            <w:pPr>
              <w:ind w:left="860"/>
              <w:spacing w:after="0"/>
              <w:rPr>
                <w:sz w:val="20"/>
                <w:szCs w:val="20"/>
                <w:color w:val="auto"/>
              </w:rPr>
            </w:pPr>
            <w:r>
              <w:rPr>
                <w:rFonts w:ascii="Arial" w:cs="Arial" w:eastAsia="Arial" w:hAnsi="Arial"/>
                <w:sz w:val="20"/>
                <w:szCs w:val="20"/>
                <w:b w:val="1"/>
                <w:bCs w:val="1"/>
                <w:color w:val="auto"/>
              </w:rPr>
              <w:t>December 31, 2016</w:t>
            </w:r>
          </w:p>
        </w:tc>
        <w:tc>
          <w:tcPr>
            <w:tcW w:w="1440" w:type="dxa"/>
            <w:vAlign w:val="bottom"/>
          </w:tcPr>
          <w:p>
            <w:pPr>
              <w:spacing w:after="0"/>
              <w:rPr>
                <w:sz w:val="24"/>
                <w:szCs w:val="24"/>
                <w:color w:val="auto"/>
              </w:rPr>
            </w:pP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7"/>
        </w:trPr>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2"/>
          </w:tcPr>
          <w:p>
            <w:pPr>
              <w:jc w:val="center"/>
              <w:ind w:right="180"/>
              <w:spacing w:after="0" w:line="228" w:lineRule="exact"/>
              <w:rPr>
                <w:sz w:val="20"/>
                <w:szCs w:val="20"/>
                <w:color w:val="auto"/>
              </w:rPr>
            </w:pPr>
            <w:r>
              <w:rPr>
                <w:rFonts w:ascii="Arial" w:cs="Arial" w:eastAsia="Arial" w:hAnsi="Arial"/>
                <w:sz w:val="20"/>
                <w:szCs w:val="20"/>
                <w:b w:val="1"/>
                <w:bCs w:val="1"/>
                <w:color w:val="auto"/>
                <w:w w:val="89"/>
              </w:rPr>
              <w:t>Unfunded</w:t>
            </w:r>
          </w:p>
        </w:tc>
        <w:tc>
          <w:tcPr>
            <w:tcW w:w="1760" w:type="dxa"/>
            <w:vAlign w:val="bottom"/>
            <w:gridSpan w:val="2"/>
          </w:tcPr>
          <w:p>
            <w:pPr>
              <w:jc w:val="center"/>
              <w:ind w:right="200"/>
              <w:spacing w:after="0" w:line="228" w:lineRule="exact"/>
              <w:rPr>
                <w:sz w:val="20"/>
                <w:szCs w:val="20"/>
                <w:color w:val="auto"/>
              </w:rPr>
            </w:pPr>
            <w:r>
              <w:rPr>
                <w:rFonts w:ascii="Arial" w:cs="Arial" w:eastAsia="Arial" w:hAnsi="Arial"/>
                <w:sz w:val="20"/>
                <w:szCs w:val="20"/>
                <w:b w:val="1"/>
                <w:bCs w:val="1"/>
                <w:color w:val="auto"/>
                <w:w w:val="89"/>
              </w:rPr>
              <w:t>Redemption</w:t>
            </w:r>
          </w:p>
        </w:tc>
        <w:tc>
          <w:tcPr>
            <w:tcW w:w="144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89"/>
              </w:rPr>
              <w:t>Redemption</w:t>
            </w:r>
          </w:p>
        </w:tc>
      </w:tr>
      <w:tr>
        <w:trPr>
          <w:trHeight w:val="256"/>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
              <w:spacing w:after="0"/>
              <w:rPr>
                <w:sz w:val="20"/>
                <w:szCs w:val="20"/>
                <w:color w:val="auto"/>
              </w:rPr>
            </w:pPr>
            <w:r>
              <w:rPr>
                <w:rFonts w:ascii="Arial" w:cs="Arial" w:eastAsia="Arial" w:hAnsi="Arial"/>
                <w:sz w:val="20"/>
                <w:szCs w:val="20"/>
                <w:b w:val="1"/>
                <w:bCs w:val="1"/>
                <w:color w:val="auto"/>
              </w:rPr>
              <w:t>Fair Value</w:t>
            </w:r>
          </w:p>
        </w:tc>
        <w:tc>
          <w:tcPr>
            <w:tcW w:w="18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9"/>
              </w:rPr>
              <w:t>Commitments</w:t>
            </w:r>
          </w:p>
        </w:tc>
        <w:tc>
          <w:tcPr>
            <w:tcW w:w="1760" w:type="dxa"/>
            <w:vAlign w:val="bottom"/>
            <w:gridSpan w:val="2"/>
          </w:tcPr>
          <w:p>
            <w:pPr>
              <w:jc w:val="center"/>
              <w:ind w:right="180"/>
              <w:spacing w:after="0"/>
              <w:rPr>
                <w:sz w:val="20"/>
                <w:szCs w:val="20"/>
                <w:color w:val="auto"/>
              </w:rPr>
            </w:pPr>
            <w:r>
              <w:rPr>
                <w:rFonts w:ascii="Arial" w:cs="Arial" w:eastAsia="Arial" w:hAnsi="Arial"/>
                <w:sz w:val="20"/>
                <w:szCs w:val="20"/>
                <w:b w:val="1"/>
                <w:bCs w:val="1"/>
                <w:color w:val="auto"/>
                <w:w w:val="88"/>
              </w:rPr>
              <w:t>Frequency</w:t>
            </w:r>
          </w:p>
        </w:tc>
        <w:tc>
          <w:tcPr>
            <w:tcW w:w="1440" w:type="dxa"/>
            <w:vAlign w:val="bottom"/>
          </w:tcPr>
          <w:p>
            <w:pPr>
              <w:jc w:val="center"/>
              <w:spacing w:after="0"/>
              <w:rPr>
                <w:sz w:val="20"/>
                <w:szCs w:val="20"/>
                <w:color w:val="auto"/>
              </w:rPr>
            </w:pPr>
            <w:r>
              <w:rPr>
                <w:rFonts w:ascii="Arial" w:cs="Arial" w:eastAsia="Arial" w:hAnsi="Arial"/>
                <w:sz w:val="20"/>
                <w:szCs w:val="20"/>
                <w:b w:val="1"/>
                <w:bCs w:val="1"/>
                <w:color w:val="auto"/>
                <w:w w:val="88"/>
              </w:rPr>
              <w:t>Notice Period</w:t>
            </w:r>
          </w:p>
        </w:tc>
      </w:tr>
      <w:tr>
        <w:trPr>
          <w:trHeight w:val="23"/>
        </w:trPr>
        <w:tc>
          <w:tcPr>
            <w:tcW w:w="3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78"/>
        </w:trPr>
        <w:tc>
          <w:tcPr>
            <w:tcW w:w="3520" w:type="dxa"/>
            <w:vAlign w:val="bottom"/>
          </w:tcPr>
          <w:p>
            <w:pPr>
              <w:spacing w:after="0"/>
              <w:rPr>
                <w:sz w:val="20"/>
                <w:szCs w:val="20"/>
                <w:color w:val="auto"/>
              </w:rPr>
            </w:pPr>
            <w:r>
              <w:rPr>
                <w:rFonts w:ascii="Arial" w:cs="Arial" w:eastAsia="Arial" w:hAnsi="Arial"/>
                <w:sz w:val="20"/>
                <w:szCs w:val="20"/>
                <w:color w:val="auto"/>
              </w:rPr>
              <w:t>Vanguard Retirement Savings Trust</w:t>
            </w:r>
          </w:p>
        </w:tc>
        <w:tc>
          <w:tcPr>
            <w:tcW w:w="220" w:type="dxa"/>
            <w:vAlign w:val="bottom"/>
          </w:tcPr>
          <w:p>
            <w:pPr>
              <w:jc w:val="right"/>
              <w:ind w:right="1"/>
              <w:spacing w:after="0"/>
              <w:rPr>
                <w:sz w:val="20"/>
                <w:szCs w:val="20"/>
                <w:color w:val="auto"/>
              </w:rPr>
            </w:pPr>
            <w:r>
              <w:rPr>
                <w:rFonts w:ascii="Arial" w:cs="Arial" w:eastAsia="Arial" w:hAnsi="Arial"/>
                <w:sz w:val="20"/>
                <w:szCs w:val="20"/>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20"/>
                <w:szCs w:val="20"/>
                <w:color w:val="auto"/>
              </w:rPr>
              <w:t>46,760,333</w:t>
            </w:r>
          </w:p>
        </w:tc>
        <w:tc>
          <w:tcPr>
            <w:tcW w:w="20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20"/>
                <w:szCs w:val="20"/>
                <w:color w:val="auto"/>
              </w:rPr>
              <w:t>N/A</w:t>
            </w:r>
          </w:p>
        </w:tc>
        <w:tc>
          <w:tcPr>
            <w:tcW w:w="1760" w:type="dxa"/>
            <w:vAlign w:val="bottom"/>
            <w:gridSpan w:val="2"/>
          </w:tcPr>
          <w:p>
            <w:pPr>
              <w:jc w:val="center"/>
              <w:ind w:right="200"/>
              <w:spacing w:after="0"/>
              <w:rPr>
                <w:sz w:val="20"/>
                <w:szCs w:val="20"/>
                <w:color w:val="auto"/>
              </w:rPr>
            </w:pPr>
            <w:r>
              <w:rPr>
                <w:rFonts w:ascii="Arial" w:cs="Arial" w:eastAsia="Arial" w:hAnsi="Arial"/>
                <w:sz w:val="20"/>
                <w:szCs w:val="20"/>
                <w:color w:val="auto"/>
                <w:w w:val="98"/>
              </w:rPr>
              <w:t>Daily</w:t>
            </w:r>
          </w:p>
        </w:tc>
        <w:tc>
          <w:tcPr>
            <w:tcW w:w="1440" w:type="dxa"/>
            <w:vAlign w:val="bottom"/>
          </w:tcPr>
          <w:p>
            <w:pPr>
              <w:jc w:val="center"/>
              <w:spacing w:after="0"/>
              <w:rPr>
                <w:sz w:val="20"/>
                <w:szCs w:val="20"/>
                <w:color w:val="auto"/>
              </w:rPr>
            </w:pPr>
            <w:r>
              <w:rPr>
                <w:rFonts w:ascii="Arial" w:cs="Arial" w:eastAsia="Arial" w:hAnsi="Arial"/>
                <w:sz w:val="20"/>
                <w:szCs w:val="20"/>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 RELATED PARTY TRANSACTIONS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Plan participants invest in shares of registered investment companies and a collective trust fund managed by affiliates of VFTC. VFTC acts as trustee for investments of the Plan. The Plan participants also invest in shares of the Company’s common stock through the Crown Holdings, Inc. Stock Fund. The Company's common stock fund held approximately 347,000 and 403,000 shares of Crown Holdings, Inc. common stock representing 9.2% and 11.0% of Plan assets as of December 31, 2017 and 2016, respectively. For the years 2017 and 2016, the Company common stock fund had purchases of $6,169,323 and $2,509,404, respectively, and sales of $9,594,700 and $7,404,660, respectively. There were no dividends on the Company's common stock in 2017 or 2016. The Plan also issues loans to participants, which are secured by the balances in the respective participant accounts. Transactions in such investments qualify as party-in-interest transactions and are exempt from the prohibited transaction rules.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792" w:right="23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auto"/>
        </w:rPr>
        <w:t>CROWN CORK &amp; SEAL COMPANY, INC.</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401(k) RETIREMENT SAVINGS PLAN</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Certain administrative functions of the Plan are performed by officers or employees of the Company. No such officer or employee receives compensation from the Plan.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 TAX STATUS</w:t>
      </w:r>
    </w:p>
    <w:p>
      <w:pPr>
        <w:spacing w:after="0" w:line="235"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The IRS determined and informed the Company by letter dated September 19, 2015 that the Plan was qualified under Internal Revenue Code (“IRC”) Section 401(k). The Company believes the Plan is designed and is currently being operated in compliance with the applicable requirements of the IRC and therefore, believes that the Plan is qualified, and the related trust is tax exempt.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if the organization has taken an uncertain position that more likely than not would not be sustained upon examination by the IRS. The Plan administrator has analyzed the tax positions taken by the Plan and has concluded that as of December 31, 2017 and 2016, there are no uncertain positions taken, or expected to be taken, that would require recognition of a liability or disclosure in the financial statements. The Plan is subject to routine audits by taxing jurisdictions; however, there are currently no audits for any tax periods in progress. The Plan administrator believes it is no longer subject to income tax examinations for years prior to 2014.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 RISKS AND UNCERTAINTIES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such changes could materially affect participants’ account balances and the amounts reported in the Statement of Net Assets Available for Benefits.</w:t>
      </w:r>
    </w:p>
    <w:p>
      <w:pPr>
        <w:spacing w:after="0" w:line="2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December 31, 2017 and 2016, the Plan had investments of $90,087,679 and $110,584,386, respectively that were concentrated in two and three funds,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5" w:right="2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Supplemental Information</w:t>
      </w:r>
    </w:p>
    <w:p>
      <w:pPr>
        <w:spacing w:after="0" w:line="93"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Required for Form 5500</w:t>
      </w:r>
    </w:p>
    <w:p>
      <w:pPr>
        <w:sectPr>
          <w:pgSz w:w="11900" w:h="16838" w:orient="portrait"/>
          <w:cols w:equalWidth="0" w:num="1">
            <w:col w:w="9019"/>
          </w:cols>
          <w:pgMar w:left="1440" w:top="1440" w:right="1440"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CROWN CORK &amp; SEAL COMPANY, INC. 401(k) RETIREMENT SAVINGS PLAN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20"/>
          <w:szCs w:val="20"/>
          <w:color w:val="auto"/>
        </w:rPr>
        <w:t>Schedule H, Line 4i - 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69805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0555" cy="17145"/>
                    </a:xfrm>
                    <a:prstGeom prst="rect">
                      <a:avLst/>
                    </a:prstGeom>
                    <a:noFill/>
                  </pic:spPr>
                </pic:pic>
              </a:graphicData>
            </a:graphic>
          </wp:anchor>
        </w:drawing>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Crown Cork &amp; Seal Company, Inc. 401(k) Retirement Savings Plan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EIN 23-1526444 Plan No. 100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Current</w:t>
            </w:r>
          </w:p>
        </w:tc>
      </w:tr>
      <w:tr>
        <w:trPr>
          <w:trHeight w:val="256"/>
        </w:trPr>
        <w:tc>
          <w:tcPr>
            <w:tcW w:w="16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Arial" w:cs="Arial" w:eastAsia="Arial" w:hAnsi="Arial"/>
                <w:sz w:val="20"/>
                <w:szCs w:val="20"/>
                <w:b w:val="1"/>
                <w:bCs w:val="1"/>
                <w:color w:val="auto"/>
              </w:rPr>
              <w:t>Identity of Participant-Directed Issues</w:t>
            </w:r>
          </w:p>
        </w:tc>
        <w:tc>
          <w:tcPr>
            <w:tcW w:w="4860" w:type="dxa"/>
            <w:vAlign w:val="bottom"/>
          </w:tcPr>
          <w:p>
            <w:pPr>
              <w:ind w:left="1680"/>
              <w:spacing w:after="0"/>
              <w:rPr>
                <w:sz w:val="20"/>
                <w:szCs w:val="20"/>
                <w:color w:val="auto"/>
              </w:rPr>
            </w:pPr>
            <w:r>
              <w:rPr>
                <w:rFonts w:ascii="Arial" w:cs="Arial" w:eastAsia="Arial" w:hAnsi="Arial"/>
                <w:sz w:val="20"/>
                <w:szCs w:val="20"/>
                <w:b w:val="1"/>
                <w:bCs w:val="1"/>
                <w:color w:val="auto"/>
              </w:rPr>
              <w:t>Investment Type</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b w:val="1"/>
                <w:bCs w:val="1"/>
                <w:color w:val="auto"/>
              </w:rPr>
              <w:t>Value</w:t>
            </w:r>
          </w:p>
        </w:tc>
      </w:tr>
      <w:tr>
        <w:trPr>
          <w:trHeight w:val="30"/>
        </w:trPr>
        <w:tc>
          <w:tcPr>
            <w:tcW w:w="16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DFA Emerging Markets Core Equity Portfolio</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1,290,135</w:t>
            </w:r>
          </w:p>
        </w:tc>
      </w:tr>
      <w:tr>
        <w:trPr>
          <w:trHeight w:val="261"/>
        </w:trPr>
        <w:tc>
          <w:tcPr>
            <w:tcW w:w="16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Arial" w:cs="Arial" w:eastAsia="Arial" w:hAnsi="Arial"/>
                <w:sz w:val="20"/>
                <w:szCs w:val="20"/>
                <w:color w:val="auto"/>
              </w:rPr>
              <w:t>DFA US Targeted Value Portfolio</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341,079</w:t>
            </w:r>
          </w:p>
        </w:tc>
      </w:tr>
      <w:tr>
        <w:trPr>
          <w:trHeight w:val="23"/>
        </w:trPr>
        <w:tc>
          <w:tcPr>
            <w:tcW w:w="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HSBC Investor Small Cap Equity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11,791,224</w:t>
            </w:r>
          </w:p>
        </w:tc>
      </w:tr>
      <w:tr>
        <w:trPr>
          <w:trHeight w:val="261"/>
        </w:trPr>
        <w:tc>
          <w:tcPr>
            <w:tcW w:w="16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Arial" w:cs="Arial" w:eastAsia="Arial" w:hAnsi="Arial"/>
                <w:sz w:val="20"/>
                <w:szCs w:val="20"/>
                <w:color w:val="auto"/>
              </w:rPr>
              <w:t>Harbor International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983,987</w:t>
            </w:r>
          </w:p>
        </w:tc>
      </w:tr>
      <w:tr>
        <w:trPr>
          <w:trHeight w:val="23"/>
        </w:trPr>
        <w:tc>
          <w:tcPr>
            <w:tcW w:w="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JPMorgan Intrepid Value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4,883,541</w:t>
            </w:r>
          </w:p>
        </w:tc>
      </w:tr>
      <w:tr>
        <w:trPr>
          <w:trHeight w:val="261"/>
        </w:trPr>
        <w:tc>
          <w:tcPr>
            <w:tcW w:w="160" w:type="dxa"/>
            <w:vAlign w:val="bottom"/>
          </w:tcPr>
          <w:p>
            <w:pPr>
              <w:spacing w:after="0"/>
              <w:rPr>
                <w:sz w:val="22"/>
                <w:szCs w:val="22"/>
                <w:color w:val="auto"/>
              </w:rPr>
            </w:pPr>
          </w:p>
        </w:tc>
        <w:tc>
          <w:tcPr>
            <w:tcW w:w="4640" w:type="dxa"/>
            <w:vAlign w:val="bottom"/>
          </w:tcPr>
          <w:p>
            <w:pPr>
              <w:ind w:left="20"/>
              <w:spacing w:after="0"/>
              <w:rPr>
                <w:sz w:val="20"/>
                <w:szCs w:val="20"/>
                <w:color w:val="auto"/>
              </w:rPr>
            </w:pPr>
            <w:r>
              <w:rPr>
                <w:rFonts w:ascii="Arial" w:cs="Arial" w:eastAsia="Arial" w:hAnsi="Arial"/>
                <w:sz w:val="20"/>
                <w:szCs w:val="20"/>
                <w:color w:val="auto"/>
              </w:rPr>
              <w:t>Metropolitan West Total Return Bond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9,249,768</w:t>
            </w:r>
          </w:p>
        </w:tc>
      </w:tr>
      <w:tr>
        <w:trPr>
          <w:trHeight w:val="23"/>
        </w:trPr>
        <w:tc>
          <w:tcPr>
            <w:tcW w:w="1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spacing w:after="0"/>
              <w:rPr>
                <w:sz w:val="22"/>
                <w:szCs w:val="22"/>
                <w:color w:val="auto"/>
              </w:rPr>
            </w:pP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 Rowe Price International Discovery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452,177</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International Growth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11,930,685</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Morgan Growth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3,498,083</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Prime Money Market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94,702</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2015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3,822,914</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2020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4,862,885</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2025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8,294,700</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2030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5,046,451</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2035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5,397,124</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2040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3,112,646</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2045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3,314,009</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2050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2,052,549</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2055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956,845</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2060 Trust</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86,488</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Target Retirement 2065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528</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Target Retirement Income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1,593,670</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Total Stock Market Index Fund</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47,690,459</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Vanguard Wellington Fund</w:t>
            </w:r>
          </w:p>
        </w:tc>
        <w:tc>
          <w:tcPr>
            <w:tcW w:w="4860" w:type="dxa"/>
            <w:vAlign w:val="bottom"/>
          </w:tcPr>
          <w:p>
            <w:pPr>
              <w:ind w:left="940"/>
              <w:spacing w:after="0"/>
              <w:rPr>
                <w:sz w:val="20"/>
                <w:szCs w:val="20"/>
                <w:color w:val="auto"/>
              </w:rPr>
            </w:pPr>
            <w:r>
              <w:rPr>
                <w:rFonts w:ascii="Arial" w:cs="Arial" w:eastAsia="Arial" w:hAnsi="Arial"/>
                <w:sz w:val="20"/>
                <w:szCs w:val="20"/>
                <w:color w:val="auto"/>
              </w:rPr>
              <w:t>Registered Investment Company</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15,506,313</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Vanguard Retirement Savings Trust</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Collective Trust Fund</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42,397,220</w:t>
            </w:r>
          </w:p>
        </w:tc>
      </w:tr>
      <w:tr>
        <w:trPr>
          <w:trHeight w:val="261"/>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9"/>
                <w:szCs w:val="19"/>
                <w:color w:val="auto"/>
              </w:rPr>
              <w:t>Crown Holdings, Inc. Stock Fund</w:t>
            </w:r>
          </w:p>
        </w:tc>
        <w:tc>
          <w:tcPr>
            <w:tcW w:w="4860" w:type="dxa"/>
            <w:vAlign w:val="bottom"/>
          </w:tcPr>
          <w:p>
            <w:pPr>
              <w:ind w:left="940"/>
              <w:spacing w:after="0"/>
              <w:rPr>
                <w:sz w:val="20"/>
                <w:szCs w:val="20"/>
                <w:color w:val="auto"/>
              </w:rPr>
            </w:pPr>
            <w:r>
              <w:rPr>
                <w:rFonts w:ascii="Arial" w:cs="Arial" w:eastAsia="Arial" w:hAnsi="Arial"/>
                <w:sz w:val="20"/>
                <w:szCs w:val="20"/>
                <w:color w:val="auto"/>
              </w:rPr>
              <w:t>Common Stock Fund</w:t>
            </w:r>
          </w:p>
        </w:tc>
        <w:tc>
          <w:tcPr>
            <w:tcW w:w="180" w:type="dxa"/>
            <w:vAlign w:val="bottom"/>
          </w:tcPr>
          <w:p>
            <w:pPr>
              <w:spacing w:after="0"/>
              <w:rPr>
                <w:sz w:val="22"/>
                <w:szCs w:val="22"/>
                <w:color w:val="auto"/>
              </w:rPr>
            </w:pPr>
          </w:p>
        </w:tc>
        <w:tc>
          <w:tcPr>
            <w:tcW w:w="1160" w:type="dxa"/>
            <w:vAlign w:val="bottom"/>
          </w:tcPr>
          <w:p>
            <w:pPr>
              <w:jc w:val="right"/>
              <w:ind w:right="21"/>
              <w:spacing w:after="0"/>
              <w:rPr>
                <w:sz w:val="20"/>
                <w:szCs w:val="20"/>
                <w:color w:val="auto"/>
              </w:rPr>
            </w:pPr>
            <w:r>
              <w:rPr>
                <w:rFonts w:ascii="Arial" w:cs="Arial" w:eastAsia="Arial" w:hAnsi="Arial"/>
                <w:sz w:val="20"/>
                <w:szCs w:val="20"/>
                <w:color w:val="auto"/>
              </w:rPr>
              <w:t>19,546,121</w:t>
            </w:r>
          </w:p>
        </w:tc>
      </w:tr>
      <w:tr>
        <w:trPr>
          <w:trHeight w:val="23"/>
        </w:trPr>
        <w:tc>
          <w:tcPr>
            <w:tcW w:w="4800" w:type="dxa"/>
            <w:vAlign w:val="bottom"/>
            <w:gridSpan w:val="2"/>
          </w:tcPr>
          <w:p>
            <w:pPr>
              <w:spacing w:after="0"/>
              <w:rPr>
                <w:sz w:val="2"/>
                <w:szCs w:val="2"/>
                <w:color w:val="auto"/>
              </w:rPr>
            </w:pPr>
          </w:p>
        </w:tc>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Notes receivable from participants</w:t>
            </w:r>
          </w:p>
        </w:tc>
        <w:tc>
          <w:tcPr>
            <w:tcW w:w="48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20"/>
                <w:szCs w:val="20"/>
                <w:color w:val="auto"/>
              </w:rPr>
              <w:t>Interest rates: 4.25% - 6.25%</w:t>
            </w:r>
          </w:p>
        </w:tc>
        <w:tc>
          <w:tcPr>
            <w:tcW w:w="1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rPr>
              <w:t>3,368,015</w:t>
            </w:r>
          </w:p>
        </w:tc>
      </w:tr>
      <w:tr>
        <w:trPr>
          <w:trHeight w:val="272"/>
        </w:trPr>
        <w:tc>
          <w:tcPr>
            <w:tcW w:w="160" w:type="dxa"/>
            <w:vAlign w:val="bottom"/>
          </w:tcPr>
          <w:p>
            <w:pPr>
              <w:spacing w:after="0"/>
              <w:rPr>
                <w:sz w:val="23"/>
                <w:szCs w:val="23"/>
                <w:color w:val="auto"/>
              </w:rPr>
            </w:pPr>
          </w:p>
        </w:tc>
        <w:tc>
          <w:tcPr>
            <w:tcW w:w="4640" w:type="dxa"/>
            <w:vAlign w:val="bottom"/>
          </w:tcPr>
          <w:p>
            <w:pPr>
              <w:ind w:left="20"/>
              <w:spacing w:after="0"/>
              <w:rPr>
                <w:sz w:val="20"/>
                <w:szCs w:val="20"/>
                <w:color w:val="auto"/>
              </w:rPr>
            </w:pPr>
            <w:r>
              <w:rPr>
                <w:rFonts w:ascii="Arial" w:cs="Arial" w:eastAsia="Arial" w:hAnsi="Arial"/>
                <w:sz w:val="20"/>
                <w:szCs w:val="20"/>
                <w:b w:val="1"/>
                <w:bCs w:val="1"/>
                <w:color w:val="auto"/>
              </w:rPr>
              <w:t>Total Assets (Held at End of Year)</w:t>
            </w:r>
          </w:p>
        </w:tc>
        <w:tc>
          <w:tcPr>
            <w:tcW w:w="4860" w:type="dxa"/>
            <w:vAlign w:val="bottom"/>
          </w:tcPr>
          <w:p>
            <w:pPr>
              <w:spacing w:after="0"/>
              <w:rPr>
                <w:sz w:val="23"/>
                <w:szCs w:val="23"/>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91"/>
              </w:rPr>
              <w:t>211,564,318</w:t>
            </w:r>
          </w:p>
        </w:tc>
      </w:tr>
      <w:tr>
        <w:trPr>
          <w:trHeight w:val="20"/>
        </w:trPr>
        <w:tc>
          <w:tcPr>
            <w:tcW w:w="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Party-in-Interest as defined by ERISA</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column not required to be reported as all investments are participant directed.</w:t>
      </w: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733"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25"/>
          <w:szCs w:val="25"/>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We consent to the incorporation by reference in the Registration Statement (No. 333-140991) on Form S-8 of our report dated June 19, 2018, which appears in this annual report on Form 11-K of the Crown Cork &amp; Seal Company, Inc. 401(k) Retirement Savings Plan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/s/ Baker Tilly Virchow Krause,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Philadelphia, Pennsylvania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June 19, 2018</w:t>
      </w:r>
    </w:p>
    <w:sectPr>
      <w:pgSz w:w="11900" w:h="16838" w:orient="portrait"/>
      <w:cols w:equalWidth="0" w:num="1">
        <w:col w:w="11420"/>
      </w:cols>
      <w:pgMar w:left="240" w:top="7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2019-12-06T21:33:27Z</dcterms:created>
  <dcterms:modified xsi:type="dcterms:W3CDTF">2019-12-06T21:33:27Z</dcterms:modified>
</cp:coreProperties>
</file>