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46"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8, 2022</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CROWN HOLDINGS, INC.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3160" w:type="dxa"/>
            <w:vAlign w:val="bottom"/>
          </w:tcPr>
          <w:p>
            <w:pPr>
              <w:jc w:val="center"/>
              <w:ind w:right="850"/>
              <w:spacing w:after="0"/>
              <w:rPr>
                <w:sz w:val="20"/>
                <w:szCs w:val="20"/>
                <w:color w:val="auto"/>
              </w:rPr>
            </w:pPr>
            <w:r>
              <w:rPr>
                <w:rFonts w:ascii="Arial" w:cs="Arial" w:eastAsia="Arial" w:hAnsi="Arial"/>
                <w:sz w:val="18"/>
                <w:szCs w:val="18"/>
                <w:b w:val="1"/>
                <w:bCs w:val="1"/>
                <w:color w:val="auto"/>
                <w:w w:val="88"/>
              </w:rPr>
              <w:t>Pennsylvania</w:t>
            </w:r>
          </w:p>
        </w:tc>
        <w:tc>
          <w:tcPr>
            <w:tcW w:w="3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000-50189</w:t>
            </w:r>
          </w:p>
        </w:tc>
        <w:tc>
          <w:tcPr>
            <w:tcW w:w="250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75-3099507</w:t>
            </w:r>
          </w:p>
        </w:tc>
      </w:tr>
      <w:tr>
        <w:trPr>
          <w:trHeight w:val="176"/>
        </w:trPr>
        <w:tc>
          <w:tcPr>
            <w:tcW w:w="3160" w:type="dxa"/>
            <w:vAlign w:val="bottom"/>
          </w:tcPr>
          <w:p>
            <w:pPr>
              <w:jc w:val="center"/>
              <w:ind w:right="870"/>
              <w:spacing w:after="0" w:line="176" w:lineRule="exact"/>
              <w:rPr>
                <w:sz w:val="20"/>
                <w:szCs w:val="20"/>
                <w:color w:val="auto"/>
              </w:rPr>
            </w:pPr>
            <w:r>
              <w:rPr>
                <w:rFonts w:ascii="Arial" w:cs="Arial" w:eastAsia="Arial" w:hAnsi="Arial"/>
                <w:sz w:val="18"/>
                <w:szCs w:val="18"/>
                <w:color w:val="auto"/>
                <w:w w:val="92"/>
              </w:rPr>
              <w:t>(State or Other Jurisdiction of</w:t>
            </w:r>
          </w:p>
        </w:tc>
        <w:tc>
          <w:tcPr>
            <w:tcW w:w="310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3"/>
              </w:rPr>
              <w:t>(Commission</w:t>
            </w:r>
          </w:p>
        </w:tc>
        <w:tc>
          <w:tcPr>
            <w:tcW w:w="2500" w:type="dxa"/>
            <w:vAlign w:val="bottom"/>
          </w:tcPr>
          <w:p>
            <w:pPr>
              <w:jc w:val="center"/>
              <w:ind w:left="1070"/>
              <w:spacing w:after="0" w:line="176" w:lineRule="exact"/>
              <w:rPr>
                <w:sz w:val="20"/>
                <w:szCs w:val="20"/>
                <w:color w:val="auto"/>
              </w:rPr>
            </w:pPr>
            <w:r>
              <w:rPr>
                <w:rFonts w:ascii="Arial" w:cs="Arial" w:eastAsia="Arial" w:hAnsi="Arial"/>
                <w:sz w:val="18"/>
                <w:szCs w:val="18"/>
                <w:color w:val="auto"/>
                <w:w w:val="92"/>
              </w:rPr>
              <w:t>(I.R.S. Employer</w:t>
            </w:r>
          </w:p>
        </w:tc>
      </w:tr>
      <w:tr>
        <w:trPr>
          <w:trHeight w:val="230"/>
        </w:trPr>
        <w:tc>
          <w:tcPr>
            <w:tcW w:w="3160" w:type="dxa"/>
            <w:vAlign w:val="bottom"/>
          </w:tcPr>
          <w:p>
            <w:pPr>
              <w:jc w:val="center"/>
              <w:ind w:right="870"/>
              <w:spacing w:after="0"/>
              <w:rPr>
                <w:sz w:val="20"/>
                <w:szCs w:val="20"/>
                <w:color w:val="auto"/>
              </w:rPr>
            </w:pPr>
            <w:r>
              <w:rPr>
                <w:rFonts w:ascii="Arial" w:cs="Arial" w:eastAsia="Arial" w:hAnsi="Arial"/>
                <w:sz w:val="18"/>
                <w:szCs w:val="18"/>
                <w:color w:val="auto"/>
                <w:w w:val="91"/>
              </w:rPr>
              <w:t>Incorporation or Organization)</w:t>
            </w:r>
          </w:p>
        </w:tc>
        <w:tc>
          <w:tcPr>
            <w:tcW w:w="3100" w:type="dxa"/>
            <w:vAlign w:val="bottom"/>
          </w:tcPr>
          <w:p>
            <w:pPr>
              <w:jc w:val="center"/>
              <w:ind w:right="150"/>
              <w:spacing w:after="0"/>
              <w:rPr>
                <w:sz w:val="20"/>
                <w:szCs w:val="20"/>
                <w:color w:val="auto"/>
              </w:rPr>
            </w:pPr>
            <w:r>
              <w:rPr>
                <w:rFonts w:ascii="Arial" w:cs="Arial" w:eastAsia="Arial" w:hAnsi="Arial"/>
                <w:sz w:val="18"/>
                <w:szCs w:val="18"/>
                <w:color w:val="auto"/>
                <w:w w:val="94"/>
              </w:rPr>
              <w:t>File Number)</w:t>
            </w:r>
          </w:p>
        </w:tc>
        <w:tc>
          <w:tcPr>
            <w:tcW w:w="2500" w:type="dxa"/>
            <w:vAlign w:val="bottom"/>
          </w:tcPr>
          <w:p>
            <w:pPr>
              <w:jc w:val="center"/>
              <w:ind w:left="1070"/>
              <w:spacing w:after="0"/>
              <w:rPr>
                <w:sz w:val="20"/>
                <w:szCs w:val="20"/>
                <w:color w:val="auto"/>
              </w:rPr>
            </w:pPr>
            <w:r>
              <w:rPr>
                <w:rFonts w:ascii="Arial" w:cs="Arial" w:eastAsia="Arial" w:hAnsi="Arial"/>
                <w:sz w:val="18"/>
                <w:szCs w:val="18"/>
                <w:color w:val="auto"/>
                <w:w w:val="95"/>
              </w:rPr>
              <w:t>Identification No.)</w:t>
            </w:r>
          </w:p>
        </w:tc>
      </w:tr>
    </w:tbl>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3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Title of each class</w:t>
            </w:r>
          </w:p>
        </w:tc>
        <w:tc>
          <w:tcPr>
            <w:tcW w:w="17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Trading Symbols</w:t>
            </w:r>
          </w:p>
        </w:tc>
        <w:tc>
          <w:tcPr>
            <w:tcW w:w="54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Name of each exchange on which registered</w:t>
            </w:r>
          </w:p>
        </w:tc>
        <w:tc>
          <w:tcPr>
            <w:tcW w:w="1400" w:type="dxa"/>
            <w:vAlign w:val="bottom"/>
          </w:tcPr>
          <w:p>
            <w:pPr>
              <w:spacing w:after="0"/>
              <w:rPr>
                <w:sz w:val="18"/>
                <w:szCs w:val="18"/>
                <w:color w:val="auto"/>
              </w:rPr>
            </w:pPr>
          </w:p>
        </w:tc>
      </w:tr>
      <w:tr>
        <w:trPr>
          <w:trHeight w:val="206"/>
        </w:trPr>
        <w:tc>
          <w:tcPr>
            <w:tcW w:w="2580" w:type="dxa"/>
            <w:vAlign w:val="bottom"/>
          </w:tcPr>
          <w:p>
            <w:pPr>
              <w:ind w:left="20"/>
              <w:spacing w:after="0"/>
              <w:rPr>
                <w:sz w:val="20"/>
                <w:szCs w:val="20"/>
                <w:color w:val="auto"/>
              </w:rPr>
            </w:pPr>
            <w:r>
              <w:rPr>
                <w:rFonts w:ascii="Arial" w:cs="Arial" w:eastAsia="Arial" w:hAnsi="Arial"/>
                <w:sz w:val="16"/>
                <w:szCs w:val="16"/>
                <w:color w:val="auto"/>
              </w:rPr>
              <w:t>Common Stock $5.00 Par Value</w:t>
            </w:r>
          </w:p>
        </w:tc>
        <w:tc>
          <w:tcPr>
            <w:tcW w:w="1780" w:type="dxa"/>
            <w:vAlign w:val="bottom"/>
          </w:tcPr>
          <w:p>
            <w:pPr>
              <w:ind w:left="480"/>
              <w:spacing w:after="0"/>
              <w:rPr>
                <w:sz w:val="20"/>
                <w:szCs w:val="20"/>
                <w:color w:val="auto"/>
              </w:rPr>
            </w:pPr>
            <w:r>
              <w:rPr>
                <w:rFonts w:ascii="Arial" w:cs="Arial" w:eastAsia="Arial" w:hAnsi="Arial"/>
                <w:sz w:val="16"/>
                <w:szCs w:val="16"/>
                <w:color w:val="auto"/>
              </w:rPr>
              <w:t>CCK</w:t>
            </w:r>
          </w:p>
        </w:tc>
        <w:tc>
          <w:tcPr>
            <w:tcW w:w="6880" w:type="dxa"/>
            <w:vAlign w:val="bottom"/>
            <w:gridSpan w:val="2"/>
          </w:tcPr>
          <w:p>
            <w:pPr>
              <w:ind w:left="200"/>
              <w:spacing w:after="0"/>
              <w:rPr>
                <w:sz w:val="20"/>
                <w:szCs w:val="20"/>
                <w:color w:val="auto"/>
              </w:rPr>
            </w:pPr>
            <w:r>
              <w:rPr>
                <w:rFonts w:ascii="Arial" w:cs="Arial" w:eastAsia="Arial" w:hAnsi="Arial"/>
                <w:sz w:val="16"/>
                <w:szCs w:val="16"/>
                <w:color w:val="auto"/>
              </w:rPr>
              <w:t>New York Stock Exchange</w:t>
            </w:r>
          </w:p>
        </w:tc>
      </w:tr>
      <w:tr>
        <w:trPr>
          <w:trHeight w:val="216"/>
        </w:trPr>
        <w:tc>
          <w:tcPr>
            <w:tcW w:w="2580" w:type="dxa"/>
            <w:vAlign w:val="bottom"/>
          </w:tcPr>
          <w:p>
            <w:pPr>
              <w:ind w:left="20"/>
              <w:spacing w:after="0"/>
              <w:rPr>
                <w:sz w:val="20"/>
                <w:szCs w:val="20"/>
                <w:color w:val="auto"/>
              </w:rPr>
            </w:pPr>
            <w:r>
              <w:rPr>
                <w:rFonts w:ascii="Arial" w:cs="Arial" w:eastAsia="Arial" w:hAnsi="Arial"/>
                <w:sz w:val="16"/>
                <w:szCs w:val="16"/>
                <w:color w:val="auto"/>
              </w:rPr>
              <w:t>7 3/8% Debentures Due 2026</w:t>
            </w:r>
          </w:p>
        </w:tc>
        <w:tc>
          <w:tcPr>
            <w:tcW w:w="1780" w:type="dxa"/>
            <w:vAlign w:val="bottom"/>
          </w:tcPr>
          <w:p>
            <w:pPr>
              <w:ind w:left="480"/>
              <w:spacing w:after="0"/>
              <w:rPr>
                <w:sz w:val="20"/>
                <w:szCs w:val="20"/>
                <w:color w:val="auto"/>
              </w:rPr>
            </w:pPr>
            <w:r>
              <w:rPr>
                <w:rFonts w:ascii="Arial" w:cs="Arial" w:eastAsia="Arial" w:hAnsi="Arial"/>
                <w:sz w:val="16"/>
                <w:szCs w:val="16"/>
                <w:color w:val="auto"/>
              </w:rPr>
              <w:t>CCK26</w:t>
            </w:r>
          </w:p>
        </w:tc>
        <w:tc>
          <w:tcPr>
            <w:tcW w:w="6880" w:type="dxa"/>
            <w:vAlign w:val="bottom"/>
            <w:gridSpan w:val="2"/>
          </w:tcPr>
          <w:p>
            <w:pPr>
              <w:ind w:left="200"/>
              <w:spacing w:after="0"/>
              <w:rPr>
                <w:sz w:val="20"/>
                <w:szCs w:val="20"/>
                <w:color w:val="auto"/>
              </w:rPr>
            </w:pPr>
            <w:r>
              <w:rPr>
                <w:rFonts w:ascii="Arial" w:cs="Arial" w:eastAsia="Arial" w:hAnsi="Arial"/>
                <w:sz w:val="16"/>
                <w:szCs w:val="16"/>
                <w:color w:val="auto"/>
              </w:rPr>
              <w:t>New York Stock Exchange</w:t>
            </w:r>
          </w:p>
        </w:tc>
      </w:tr>
      <w:tr>
        <w:trPr>
          <w:trHeight w:val="216"/>
        </w:trPr>
        <w:tc>
          <w:tcPr>
            <w:tcW w:w="2580" w:type="dxa"/>
            <w:vAlign w:val="bottom"/>
          </w:tcPr>
          <w:p>
            <w:pPr>
              <w:ind w:left="20"/>
              <w:spacing w:after="0"/>
              <w:rPr>
                <w:sz w:val="20"/>
                <w:szCs w:val="20"/>
                <w:color w:val="auto"/>
              </w:rPr>
            </w:pPr>
            <w:r>
              <w:rPr>
                <w:rFonts w:ascii="Arial" w:cs="Arial" w:eastAsia="Arial" w:hAnsi="Arial"/>
                <w:sz w:val="16"/>
                <w:szCs w:val="16"/>
                <w:color w:val="auto"/>
              </w:rPr>
              <w:t>7 1/2% Debentures Due 2096</w:t>
            </w:r>
          </w:p>
        </w:tc>
        <w:tc>
          <w:tcPr>
            <w:tcW w:w="1780" w:type="dxa"/>
            <w:vAlign w:val="bottom"/>
          </w:tcPr>
          <w:p>
            <w:pPr>
              <w:ind w:left="480"/>
              <w:spacing w:after="0"/>
              <w:rPr>
                <w:sz w:val="20"/>
                <w:szCs w:val="20"/>
                <w:color w:val="auto"/>
              </w:rPr>
            </w:pPr>
            <w:r>
              <w:rPr>
                <w:rFonts w:ascii="Arial" w:cs="Arial" w:eastAsia="Arial" w:hAnsi="Arial"/>
                <w:sz w:val="16"/>
                <w:szCs w:val="16"/>
                <w:color w:val="auto"/>
              </w:rPr>
              <w:t>CCK96</w:t>
            </w:r>
          </w:p>
        </w:tc>
        <w:tc>
          <w:tcPr>
            <w:tcW w:w="6880" w:type="dxa"/>
            <w:vAlign w:val="bottom"/>
            <w:gridSpan w:val="2"/>
          </w:tcPr>
          <w:p>
            <w:pPr>
              <w:ind w:left="200"/>
              <w:spacing w:after="0"/>
              <w:rPr>
                <w:sz w:val="20"/>
                <w:szCs w:val="20"/>
                <w:color w:val="auto"/>
              </w:rPr>
            </w:pPr>
            <w:r>
              <w:rPr>
                <w:rFonts w:ascii="Arial" w:cs="Arial" w:eastAsia="Arial" w:hAnsi="Arial"/>
                <w:sz w:val="16"/>
                <w:szCs w:val="16"/>
                <w:color w:val="auto"/>
              </w:rPr>
              <w:t>New York Stock Exchange</w:t>
            </w:r>
          </w:p>
        </w:tc>
      </w:tr>
      <w:tr>
        <w:trPr>
          <w:trHeight w:val="216"/>
        </w:trPr>
        <w:tc>
          <w:tcPr>
            <w:tcW w:w="2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54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979"/>
        </w:trPr>
        <w:tc>
          <w:tcPr>
            <w:tcW w:w="2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892" w:gutter="0" w:footer="0" w:header="0"/>
        </w:sectPr>
      </w:pPr>
    </w:p>
    <w:bookmarkStart w:id="1" w:name="page2"/>
    <w:bookmarkEnd w:id="1"/>
    <w:p>
      <w:pPr>
        <w:spacing w:after="0" w:line="42" w:lineRule="exact"/>
        <w:rPr>
          <w:sz w:val="20"/>
          <w:szCs w:val="20"/>
          <w:color w:val="auto"/>
        </w:rPr>
      </w:pPr>
    </w:p>
    <w:p>
      <w:pPr>
        <w:jc w:val="right"/>
        <w:ind w:right="3419"/>
        <w:spacing w:after="0"/>
        <w:rPr>
          <w:sz w:val="20"/>
          <w:szCs w:val="20"/>
          <w:color w:val="auto"/>
        </w:rPr>
      </w:pPr>
      <w:r>
        <w:rPr>
          <w:rFonts w:ascii="Arial" w:cs="Arial" w:eastAsia="Arial" w:hAnsi="Arial"/>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1"/>
          <w:szCs w:val="21"/>
          <w:color w:val="auto"/>
        </w:rPr>
        <w:t>Item 2.02. RESULTS OF OPERATIONS AND FINANCIAL CONDITION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Item 9.01. FINANCIAL STATEMENTS AND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INDEX TO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EX-99 PRESS RELEASE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On February 8, 2022 Crown Holdings, Inc. issued a press release announcing its earnings for the fourth quarter ended December 31, 2021. A copy of the press release is attached hereto as Exhibit 99 and incorporated herein by reference.</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w:t>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(c)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furnished as an exhibit to this report.</w:t>
      </w:r>
    </w:p>
    <w:p>
      <w:pPr>
        <w:spacing w:after="0" w:line="98" w:lineRule="exact"/>
        <w:rPr>
          <w:sz w:val="20"/>
          <w:szCs w:val="20"/>
          <w:color w:val="auto"/>
        </w:rPr>
      </w:pPr>
    </w:p>
    <w:p>
      <w:pPr>
        <w:ind w:left="500" w:hanging="492"/>
        <w:spacing w:after="0"/>
        <w:tabs>
          <w:tab w:leader="none" w:pos="500" w:val="left"/>
        </w:tabs>
        <w:numPr>
          <w:ilvl w:val="0"/>
          <w:numId w:val="2"/>
        </w:numPr>
        <w:rPr>
          <w:rFonts w:ascii="Arial" w:cs="Arial" w:eastAsia="Arial" w:hAnsi="Arial"/>
          <w:sz w:val="22"/>
          <w:szCs w:val="22"/>
          <w:u w:val="single" w:color="auto"/>
          <w:color w:val="0000FF"/>
        </w:rPr>
      </w:pPr>
      <w:hyperlink w:anchor="page5">
        <w:r>
          <w:rPr>
            <w:rFonts w:ascii="Arial" w:cs="Arial" w:eastAsia="Arial" w:hAnsi="Arial"/>
            <w:sz w:val="22"/>
            <w:szCs w:val="22"/>
            <w:u w:val="single" w:color="auto"/>
            <w:color w:val="0000FF"/>
          </w:rPr>
          <w:t>Press release, dated February 8, 2022, issued by Crown Holdings, Inc.</w:t>
        </w:r>
      </w:hyperlink>
    </w:p>
    <w:p>
      <w:pPr>
        <w:spacing w:after="0" w:line="2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80"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By: /s/ 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15875</wp:posOffset>
            </wp:positionV>
            <wp:extent cx="3257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Christy L. Kalaus</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320" w:right="339" w:bottom="1440" w:gutter="0" w:footer="0" w:header="0"/>
        </w:sectPr>
      </w:pPr>
    </w:p>
    <w:bookmarkStart w:id="4" w:name="page5"/>
    <w:bookmarkEnd w:id="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332105</wp:posOffset>
            </wp:positionV>
            <wp:extent cx="685800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CROWN HOLDINGS, INC. REPORTS FOURTH QUARTER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82550</wp:posOffset>
            </wp:positionV>
            <wp:extent cx="685800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 xml:space="preserve">Yardley, PA - February 8, 2022. </w:t>
      </w:r>
      <w:r>
        <w:rPr>
          <w:rFonts w:ascii="Arial" w:cs="Arial" w:eastAsia="Arial" w:hAnsi="Arial"/>
          <w:sz w:val="18"/>
          <w:szCs w:val="18"/>
          <w:color w:val="auto"/>
        </w:rPr>
        <w:t>Crown Holdings, Inc. (NYSE: CCK) today announced its financial results for the fourth quarter ended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4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Fourth quarter loss of $7.95 per share, including the impact of full UK pension settlement</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Adjusted earnings of $1.66 per share in the fourth quarter</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Global beverage can volumes grew 9% in the fourth quarter and for the full year</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Returned over $1 billion to shareholders in 2021</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Fully settled UK pension plan, significantly reducing future risk</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Net leverage ratio 3.2x at year-end 2021</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2022 adjusted earnings guidance expected to be in a range of $8.00 to $8.20 per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Results</w:t>
      </w:r>
    </w:p>
    <w:p>
      <w:pPr>
        <w:spacing w:after="0" w:line="2" w:lineRule="exact"/>
        <w:rPr>
          <w:sz w:val="20"/>
          <w:szCs w:val="20"/>
          <w:color w:val="auto"/>
        </w:rPr>
      </w:pPr>
    </w:p>
    <w:p>
      <w:pPr>
        <w:jc w:val="both"/>
        <w:ind w:right="20"/>
        <w:spacing w:after="0" w:line="233" w:lineRule="auto"/>
        <w:rPr>
          <w:sz w:val="20"/>
          <w:szCs w:val="20"/>
          <w:color w:val="auto"/>
        </w:rPr>
      </w:pPr>
      <w:r>
        <w:rPr>
          <w:rFonts w:ascii="Arial" w:cs="Arial" w:eastAsia="Arial" w:hAnsi="Arial"/>
          <w:sz w:val="18"/>
          <w:szCs w:val="18"/>
          <w:color w:val="auto"/>
        </w:rPr>
        <w:t>Net sales in the fourth quarter were $3,054 million compared to $2,460 million in the fourth quarter of 2020, reflecting the pass through of higher material costs and increased beverage can and transit packaging sales unit volumes.</w:t>
      </w:r>
    </w:p>
    <w:p>
      <w:pPr>
        <w:spacing w:after="0" w:line="24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Income from operations was $303 million in the fourth quarter compared to $307 million in the fourth quarter of 2020. Segment income was $357 million in the quarter compared to $358 million in the prior year fourth quarter as unfavorable currency translation and higher costs offset sales unit volume increases.</w:t>
      </w:r>
    </w:p>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Commenting on the quarter, Timothy J. Donahue, President and Chief Executive Officer, stated, “The Company had a solid fourth quarter performance to end an exceptional year in 2021. Global beverage can shipments for the year of more than 79 billion units grew 9% over 2020, with robust expansion in all regions, led by North America, Europe and Mexico. Full year adjusted earnings per share advanced 29%, more than offsetting the dilutive effects of the sale of the European Tinplate business. Segment income rose 21% for the year, with each of the Company’s businesses improving results compared to the prior year despite the effects of the ongoing pandemic and significant inflation and supply chain disruptions.</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Crown team performed well during 2021, successfully navigating numerous challenges and meeting the needs of our customers. In addition to delivering strong financial results, the team commercialized significant new capacity positioning the Company for continued long-term growth.</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Unfortunately, in early December our newest beverage can plant in Bowling Green, Kentucky sustained significant tornado damage. Fortunately, all our associates and their families are safe and we recognize their efforts, along with those in the community at large, in the rebuilding and restoration efforts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following the devastating effects of the storm. We expect the plant will resume operations late in the first quarter of this year.</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“During 2021 the Company commercialized significant beverage can capacity at new plants in Bowling Green, Kentucky, and Vung Tau, Vietnam, as well</w:t>
      </w:r>
    </w:p>
    <w:p>
      <w:pPr>
        <w:spacing w:after="0" w:line="4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as adding new production lines to existing facilities in Olympia, Washington, Rio Verde, Brazil and Hanoi, Vietnam. Additionally, and as previously announced, the Company completed the sale of its European Tinplate businesses and fully settled its UK pension obligations, resulting in pension obligations being reduced by approximately $3 billion and eliminating future risk.</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“As we look forward in 2022, the Company expects to have another outstanding year, with EBITDA estimated to grow more than 12% to approximately $2</w:t>
      </w:r>
    </w:p>
    <w:p>
      <w:pPr>
        <w:spacing w:after="0" w:line="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billion. Beverage can demand remains in excess of supply and in 2022 the Company expects to commercialize new production capacity at new plants in Martinsville, Virginia, and Uberaba, Brazil, as well as with can line additions to plants in Phnom Penh, Cambodia and Monterrey, Mexico.</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“Segment income in our global beverage can businesses is expected to improve as a result of 9% anticipated volume increase, contractual pass through of inflation and more efficient operating performance. Demand remains strong in all regions and, while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11</w:t>
      </w:r>
    </w:p>
    <w:p>
      <w:pPr>
        <w:sectPr>
          <w:pgSz w:w="11900" w:h="16838" w:orient="portrait"/>
          <w:cols w:equalWidth="0" w:num="1">
            <w:col w:w="11240"/>
          </w:cols>
          <w:pgMar w:left="320" w:top="487" w:right="339" w:bottom="1440" w:gutter="0" w:footer="0" w:header="0"/>
        </w:sectPr>
      </w:pPr>
    </w:p>
    <w:bookmarkStart w:id="5" w:name="page6"/>
    <w:bookmarkEnd w:id="5"/>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6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results in our European beverage business are expected to decline year over year, we are taking required actions to fully recover commodity and other cost increases.</w:t>
      </w:r>
    </w:p>
    <w:p>
      <w:pPr>
        <w:spacing w:after="0" w:line="19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“Following a strong performance in 2021, segment income in Transit Packaging is expected to improve as a result of continued volume growth, efficiency gains and cost improvements. Significant segment income growth is expected in the non-reportable segment as a result of increased food can volumes, increased beverage can equipment deliveries and contractual recovery of inflation. During 2021, the Company completed the construction of a two-piece food can plant in Dubuque, Iowa and the addition of a two-piece food can line to its Hanover, Pennsylvania plant. Additionally, the Company will add a</w:t>
      </w:r>
    </w:p>
    <w:p>
      <w:pPr>
        <w:spacing w:after="0" w:line="2"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third two-piece food can production line to its Owatonna, Minnesota plant. In addition to earnings growth, we expect to use the significant free cash flow generated by these businesses to again support beverage can capacity expansion and the return of more than $1 billion to shareholders in 2022.”</w:t>
      </w:r>
    </w:p>
    <w:p>
      <w:pPr>
        <w:spacing w:after="0" w:line="15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222222"/>
        </w:rPr>
        <w:t>In connection with the sale of its E</w:t>
      </w:r>
      <w:r>
        <w:rPr>
          <w:rFonts w:ascii="Arial" w:cs="Arial" w:eastAsia="Arial" w:hAnsi="Arial"/>
          <w:sz w:val="18"/>
          <w:szCs w:val="18"/>
          <w:color w:val="000000"/>
        </w:rPr>
        <w:t>uropean Tinplate business, the Company entered into a previously announced transaction to irrevocably transfer its UK</w:t>
      </w:r>
      <w:r>
        <w:rPr>
          <w:rFonts w:ascii="Arial" w:cs="Arial" w:eastAsia="Arial" w:hAnsi="Arial"/>
          <w:sz w:val="18"/>
          <w:szCs w:val="18"/>
          <w:color w:val="222222"/>
        </w:rPr>
        <w:t xml:space="preserve"> </w:t>
      </w:r>
      <w:r>
        <w:rPr>
          <w:rFonts w:ascii="Arial" w:cs="Arial" w:eastAsia="Arial" w:hAnsi="Arial"/>
          <w:sz w:val="18"/>
          <w:szCs w:val="18"/>
          <w:color w:val="000000"/>
        </w:rPr>
        <w:t>pension plan obligations to an insurer in November 2021, resulting in a pension settlement charge of $1.5 billion and elimination of the cash flow and earnings risk associated with the plan.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was $50 million in the fourth quarter of 2021 compared to $70 million in 2020 primarily due to lower outstanding debt balances.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Net loss attributable to Crown Holdings in the fourth quarter was $1,001 million compared to net income of $151 million in the fourth quarter of 2020.</w:t>
      </w:r>
    </w:p>
    <w:p>
      <w:pPr>
        <w:spacing w:after="0" w:line="3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Reported loss per share was $7.95 in the fourth quarter of 2021 compared to income of $1.12 in 2020. Adjusted diluted earnings per share increased to $1.66 over the $1.50 in 2020.</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from net income and diluted earnings per share to adjusted net income and adjusted diluted earnings per share is provided below.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Results</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Net sales for the full year of 2021 increased to $11,394 million from $9,392 million in the full year of 2020, primarily due to the pass through of higher material costs and increased sales unit volumes.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Income from operations was $1,363 million in 2021 compared to $1,048 million in 2020. Segment income in 2021 was $1,500 million versus $1,240 million in the prior year primarily due to increased sales unit volumes.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was $253 million in 2021 compared to $290 million in 2020 primarily due to lower outstanding debt balances.</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Net loss attributable to Crown Holdings in 2021 was $560 million compared to net income of $579 million in 2020. Reported loss per share was $4.30 compared to income of $4.30 in 2020. Adjusted diluted earnings per share were $7.66 compared to $5.92 in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 w:lineRule="exact"/>
        <w:rPr>
          <w:sz w:val="20"/>
          <w:szCs w:val="20"/>
          <w:color w:val="auto"/>
        </w:rPr>
      </w:pPr>
    </w:p>
    <w:p>
      <w:pPr>
        <w:jc w:val="both"/>
        <w:ind w:right="20"/>
        <w:spacing w:after="0" w:line="233" w:lineRule="auto"/>
        <w:rPr>
          <w:sz w:val="20"/>
          <w:szCs w:val="20"/>
          <w:color w:val="auto"/>
        </w:rPr>
      </w:pPr>
      <w:r>
        <w:rPr>
          <w:rFonts w:ascii="Arial" w:cs="Arial" w:eastAsia="Arial" w:hAnsi="Arial"/>
          <w:sz w:val="18"/>
          <w:szCs w:val="18"/>
          <w:color w:val="auto"/>
        </w:rPr>
        <w:t>The Company currently expects first quarter 2022 adjusted earnings in the range of $1.80 to $1.90 per share, and full year 2022 adjusted earnings in the range of $8.00 to $8.20 per share.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adjusted effective income tax rate for 2022 is expected to be between 24% and 25%.</w:t>
      </w:r>
    </w:p>
    <w:p>
      <w:pPr>
        <w:spacing w:after="0" w:line="22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Adjusted free cash flow, as defined below, is currently expected to be approximately $400 million for 2022 with approximately $1 billion in capital spending.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Segment income, adjusted free cash flow, adjusted net leverage ratio, adjusted net income, the adjusted effective tax rate, adjusted diluted earnings per</w:t>
      </w:r>
    </w:p>
    <w:p>
      <w:pPr>
        <w:spacing w:after="0" w:line="3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share and adjusted EBITDA are not defined terms under U.S. generally accepted accounting principles (non-GAAP measures). Non-GAAP measures should not be considered in isolation or as a substitute for income from operations, net income, diluted earnings per share, effective tax rates, cash flow or leverage ratio data prepared in accordance with U.S. GAAP and may not be comparable to calculations of similarly titled measures by other companies.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11</w:t>
      </w:r>
    </w:p>
    <w:p>
      <w:pPr>
        <w:sectPr>
          <w:pgSz w:w="11900" w:h="16838" w:orient="portrait"/>
          <w:cols w:equalWidth="0" w:num="1">
            <w:col w:w="11240"/>
          </w:cols>
          <w:pgMar w:left="320" w:top="595" w:right="339" w:bottom="1440" w:gutter="0" w:footer="0" w:header="0"/>
        </w:sectPr>
      </w:pPr>
    </w:p>
    <w:bookmarkStart w:id="6" w:name="page7"/>
    <w:bookmarkEnd w:id="6"/>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Company views segment income as the principal measure of the performance of its operations and adjusted free cash flow and adjusted net leverage</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ratio as the principal measure of its liquidity. The Company considers all of these measures in the allocation of resources. Adjusted free cash flow has certain limitations, however, including that it does not represent the residual cash flow available for discretionary expenditures since other non-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discretionary expenditures, such as mandatory debt service requirements, are not deducted from the measure. The amount of mandatory versus</w:t>
      </w:r>
    </w:p>
    <w:p>
      <w:pPr>
        <w:spacing w:after="0" w:line="3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discretionary expenditures can vary significantly between periods. Reconciliations of estimated adjusted diluted earnings per share for the first quarter and full year of 2022 to estimated diluted earnings per share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and could have a significant impact on earnings per share on a GAAP basis: gains or losses on the sale of businesses or other assets, restructuring and other costs, asset impairment charges, asbestos-related charges, losses from early extinguishment of debt, pension settlement and curtailment charges, the tax and noncontrolling interest impact of the items above, and the impact of tax law changes or other tax matters. The Company believes that adjusted net income, the adjusted effective tax rate and adjusted diluted earnings per share are useful in evaluating the Company’s</w:t>
      </w:r>
    </w:p>
    <w:p>
      <w:pPr>
        <w:jc w:val="both"/>
        <w:spacing w:after="0" w:line="272" w:lineRule="auto"/>
        <w:rPr>
          <w:sz w:val="20"/>
          <w:szCs w:val="20"/>
          <w:color w:val="auto"/>
        </w:rPr>
      </w:pPr>
      <w:r>
        <w:rPr>
          <w:rFonts w:ascii="Arial" w:cs="Arial" w:eastAsia="Arial" w:hAnsi="Arial"/>
          <w:sz w:val="16"/>
          <w:szCs w:val="16"/>
          <w:color w:val="auto"/>
        </w:rPr>
        <w:t>operations as these measures are adjusted for items that affect comparability between periods. The Company believes that adjusted free cash flow and adjusted net leverage ratio provide meaningful measures of liquidity and a useful basis for assessing the Company’s ability to fund its activities, including</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financing of acquisitions, debt repayments, share repurchases or dividends. Segment income, adjusted free cash flow, adjusted net leverage ratio, the adjusted effective tax rate, adjusted net income, adjusted diluted earnings per share and adjusted EBITDA are derived from the Company’s Consolidated Statements of Operations and Cash Flows and Consolidated Balance Sheets, as applicable, and reconciliations to segment income, adjusted free cash flow, net leverage ratio, the adjusted effective tax rate, adjusted net income, adjusted diluted earnings per share and adjusted EBITDA can be found within this release.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hold a conference call tomorrow, February 9, 2022 at 9:00 a.m. (EDT) to discuss this news release. Forward-looking and other material</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information may be discussed on the conference call. The dial-in numbers for the conference call are 630-395-0194 or toll-free 888-324-8108 and the access password is “packaging.” A live webcast of the call will be made available to the public on the internet at the Company’s website,</w:t>
      </w:r>
    </w:p>
    <w:p>
      <w:pPr>
        <w:spacing w:after="0" w:line="1"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0000FF"/>
        </w:rPr>
        <w:t>www.crowncork.com</w:t>
      </w:r>
      <w:r>
        <w:rPr>
          <w:rFonts w:ascii="Arial" w:cs="Arial" w:eastAsia="Arial" w:hAnsi="Arial"/>
          <w:sz w:val="18"/>
          <w:szCs w:val="18"/>
          <w:color w:val="000000"/>
        </w:rPr>
        <w:t>. A replay of the conference call will be available for a one-week period ending at midnight on February 16. The telephone numbers</w:t>
      </w:r>
      <w:r>
        <w:rPr>
          <w:rFonts w:ascii="Arial" w:cs="Arial" w:eastAsia="Arial" w:hAnsi="Arial"/>
          <w:sz w:val="18"/>
          <w:szCs w:val="18"/>
          <w:color w:val="0000FF"/>
        </w:rPr>
        <w:t xml:space="preserve"> </w:t>
      </w:r>
      <w:r>
        <w:rPr>
          <w:rFonts w:ascii="Arial" w:cs="Arial" w:eastAsia="Arial" w:hAnsi="Arial"/>
          <w:sz w:val="18"/>
          <w:szCs w:val="18"/>
          <w:color w:val="000000"/>
        </w:rPr>
        <w:t>for the replay are 203-369-3289 or toll free 800-568-3652.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Except for historical information, all other information in this press release consists of forward-looking statements. These forward-looking statements involve a number of risks, uncertainties and other factors, including the future impact of the coronavirus pandemic on the Company’s operations, including</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Company’s ability to continue to operate its plants, distribute its products, and maintain its supply chain; the impact of the coronavirus pandemic on demand for the Company’s products; the future impact of currency translation; the Company’s ability to successfully recover commodity and other cost increases and improve operating efficiencies; the continuation of performance and market trends in 2022, including consumer preference for beverage cans, increasing global beverage can demand, and volume growth in Transit Packaging and food cans; and the Company’s ability to successfully complete its previously announced capacity expansion projects and begin production within expected timelines, including any delays related to the pandemic, that may</w:t>
      </w:r>
    </w:p>
    <w:p>
      <w:pPr>
        <w:jc w:val="both"/>
        <w:spacing w:after="0" w:line="264" w:lineRule="auto"/>
        <w:rPr>
          <w:sz w:val="20"/>
          <w:szCs w:val="20"/>
          <w:color w:val="auto"/>
        </w:rPr>
      </w:pPr>
      <w:r>
        <w:rPr>
          <w:rFonts w:ascii="Arial" w:cs="Arial" w:eastAsia="Arial" w:hAnsi="Arial"/>
          <w:sz w:val="16"/>
          <w:szCs w:val="16"/>
          <w:color w:val="auto"/>
        </w:rPr>
        <w:t>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2020 and in subsequent filings made prior to</w:t>
      </w:r>
    </w:p>
    <w:p>
      <w:pPr>
        <w:spacing w:after="0"/>
        <w:rPr>
          <w:sz w:val="20"/>
          <w:szCs w:val="20"/>
          <w:color w:val="auto"/>
        </w:rPr>
      </w:pPr>
      <w:r>
        <w:rPr>
          <w:rFonts w:ascii="Arial" w:cs="Arial" w:eastAsia="Arial" w:hAnsi="Arial"/>
          <w:sz w:val="18"/>
          <w:szCs w:val="18"/>
          <w:color w:val="auto"/>
        </w:rPr>
        <w:t>or after the date hereof. The Company does not intend to review or revise any particular forward-looking statement in light of future events.</w:t>
      </w:r>
    </w:p>
    <w:p>
      <w:pPr>
        <w:spacing w:after="0" w:line="224" w:lineRule="exact"/>
        <w:rPr>
          <w:sz w:val="20"/>
          <w:szCs w:val="20"/>
          <w:color w:val="auto"/>
        </w:rPr>
      </w:pPr>
    </w:p>
    <w:p>
      <w:pPr>
        <w:jc w:val="both"/>
        <w:ind w:right="20"/>
        <w:spacing w:after="0" w:line="359" w:lineRule="auto"/>
        <w:rPr>
          <w:sz w:val="20"/>
          <w:szCs w:val="20"/>
          <w:color w:val="auto"/>
        </w:rPr>
      </w:pPr>
      <w:r>
        <w:rPr>
          <w:rFonts w:ascii="Arial" w:cs="Arial" w:eastAsia="Arial" w:hAnsi="Arial"/>
          <w:sz w:val="16"/>
          <w:szCs w:val="16"/>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contact:</w:t>
      </w:r>
    </w:p>
    <w:p>
      <w:pPr>
        <w:ind w:right="4520"/>
        <w:spacing w:after="0" w:line="286" w:lineRule="auto"/>
        <w:rPr>
          <w:sz w:val="20"/>
          <w:szCs w:val="20"/>
          <w:color w:val="auto"/>
        </w:rPr>
      </w:pPr>
      <w:r>
        <w:rPr>
          <w:rFonts w:ascii="Arial" w:cs="Arial" w:eastAsia="Arial" w:hAnsi="Arial"/>
          <w:sz w:val="16"/>
          <w:szCs w:val="16"/>
          <w:color w:val="auto"/>
        </w:rPr>
        <w:t>Kevin C. Clothier, Senior Vice President and Chief Financial Officer, (215) 698-5281 Thomas T. Fischer, Vice President, Investor Relations and Corporate Affairs, (215) 552-3720</w:t>
      </w:r>
    </w:p>
    <w:p>
      <w:pPr>
        <w:spacing w:after="0" w:line="200" w:lineRule="exact"/>
        <w:rPr>
          <w:sz w:val="20"/>
          <w:szCs w:val="20"/>
          <w:color w:val="auto"/>
        </w:rPr>
      </w:pPr>
    </w:p>
    <w:p>
      <w:pPr>
        <w:spacing w:after="0" w:line="206"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b w:val="1"/>
          <w:bCs w:val="1"/>
          <w:color w:val="auto"/>
        </w:rPr>
        <w:t>Unaudited Consolidated Statements of Operations, Balance Sheets, Statements of Cash Flows, Segment Information and Supplemental Data follow.</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11</w:t>
      </w:r>
    </w:p>
    <w:p>
      <w:pPr>
        <w:sectPr>
          <w:pgSz w:w="11900" w:h="16838" w:orient="portrait"/>
          <w:cols w:equalWidth="0" w:num="1">
            <w:col w:w="11240"/>
          </w:cols>
          <w:pgMar w:left="320" w:top="595" w:right="339" w:bottom="1440" w:gutter="0" w:footer="0" w:header="0"/>
        </w:sectPr>
      </w:pPr>
    </w:p>
    <w:bookmarkStart w:id="7" w:name="page8"/>
    <w:bookmarkEnd w:id="7"/>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Consolidated Statements of Operations (Unaudited)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and per share data)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3080" w:type="dxa"/>
            <w:vAlign w:val="bottom"/>
            <w:gridSpan w:val="6"/>
            <w:vMerge w:val="restart"/>
          </w:tcPr>
          <w:p>
            <w:pPr>
              <w:ind w:left="60"/>
              <w:spacing w:after="0"/>
              <w:rPr>
                <w:sz w:val="20"/>
                <w:szCs w:val="20"/>
                <w:color w:val="auto"/>
              </w:rPr>
            </w:pPr>
            <w:r>
              <w:rPr>
                <w:rFonts w:ascii="Arial" w:cs="Arial" w:eastAsia="Arial" w:hAnsi="Arial"/>
                <w:sz w:val="18"/>
                <w:szCs w:val="18"/>
                <w:b w:val="1"/>
                <w:bCs w:val="1"/>
                <w:color w:val="auto"/>
                <w:w w:val="99"/>
              </w:rPr>
              <w:t>Three Months Ended December 31,</w:t>
            </w:r>
          </w:p>
        </w:tc>
        <w:tc>
          <w:tcPr>
            <w:tcW w:w="280" w:type="dxa"/>
            <w:vAlign w:val="bottom"/>
          </w:tcPr>
          <w:p>
            <w:pPr>
              <w:spacing w:after="0"/>
              <w:rPr>
                <w:sz w:val="17"/>
                <w:szCs w:val="17"/>
                <w:color w:val="auto"/>
              </w:rPr>
            </w:pPr>
          </w:p>
        </w:tc>
        <w:tc>
          <w:tcPr>
            <w:tcW w:w="17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Year Ended</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20" w:type="dxa"/>
            <w:vAlign w:val="bottom"/>
          </w:tcPr>
          <w:p>
            <w:pPr>
              <w:spacing w:after="0"/>
              <w:rPr>
                <w:sz w:val="19"/>
                <w:szCs w:val="19"/>
                <w:color w:val="auto"/>
              </w:rPr>
            </w:pPr>
          </w:p>
        </w:tc>
        <w:tc>
          <w:tcPr>
            <w:tcW w:w="3080" w:type="dxa"/>
            <w:vAlign w:val="bottom"/>
            <w:gridSpan w:val="6"/>
            <w:vMerge w:val="continue"/>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3,054</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2,460</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11,394</w:t>
            </w: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9,392</w:t>
            </w:r>
          </w:p>
        </w:tc>
        <w:tc>
          <w:tcPr>
            <w:tcW w:w="0" w:type="dxa"/>
            <w:vAlign w:val="bottom"/>
          </w:tcPr>
          <w:p>
            <w:pPr>
              <w:spacing w:after="0"/>
              <w:rPr>
                <w:sz w:val="1"/>
                <w:szCs w:val="1"/>
                <w:color w:val="auto"/>
              </w:rPr>
            </w:pPr>
          </w:p>
        </w:tc>
      </w:tr>
      <w:tr>
        <w:trPr>
          <w:trHeight w:val="223"/>
        </w:trPr>
        <w:tc>
          <w:tcPr>
            <w:tcW w:w="5320" w:type="dxa"/>
            <w:vAlign w:val="bottom"/>
          </w:tcPr>
          <w:p>
            <w:pPr>
              <w:ind w:left="180"/>
              <w:spacing w:after="0"/>
              <w:rPr>
                <w:sz w:val="20"/>
                <w:szCs w:val="20"/>
                <w:color w:val="auto"/>
              </w:rPr>
            </w:pPr>
            <w:r>
              <w:rPr>
                <w:rFonts w:ascii="Arial" w:cs="Arial" w:eastAsia="Arial" w:hAnsi="Arial"/>
                <w:sz w:val="18"/>
                <w:szCs w:val="18"/>
                <w:color w:val="auto"/>
              </w:rPr>
              <w:t>Cost of products sold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9,029</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7,359</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Selling and administrative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583</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and other</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Income from operations </w:t>
            </w:r>
            <w:r>
              <w:rPr>
                <w:rFonts w:ascii="Arial" w:cs="Arial" w:eastAsia="Arial" w:hAnsi="Arial"/>
                <w:sz w:val="23"/>
                <w:szCs w:val="23"/>
                <w:b w:val="1"/>
                <w:bCs w:val="1"/>
                <w:color w:val="auto"/>
                <w:vertAlign w:val="superscript"/>
              </w:rPr>
              <w:t>(1)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1,363</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1,048</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settlements and curtailments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5320" w:type="dxa"/>
            <w:vAlign w:val="bottom"/>
          </w:tcPr>
          <w:p>
            <w:pPr>
              <w:ind w:left="180"/>
              <w:spacing w:after="0"/>
              <w:rPr>
                <w:sz w:val="20"/>
                <w:szCs w:val="20"/>
                <w:color w:val="auto"/>
              </w:rPr>
            </w:pPr>
            <w:r>
              <w:rPr>
                <w:rFonts w:ascii="Arial" w:cs="Arial" w:eastAsia="Arial" w:hAnsi="Arial"/>
                <w:sz w:val="18"/>
                <w:szCs w:val="18"/>
                <w:color w:val="auto"/>
              </w:rPr>
              <w:t>Other pension and postretirement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Earnings (loss) before interest and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(1,172)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(107)</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1,007</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9"/>
        </w:trPr>
        <w:tc>
          <w:tcPr>
            <w:tcW w:w="53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early extinguishment of debt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w w:val="98"/>
              </w:rPr>
              <w:t>Income (loss) from continuing operations before income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(1,286)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(419)</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725</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Equity earnings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continuing operations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(951)</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(359)</w:t>
            </w: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532</w:t>
            </w:r>
          </w:p>
        </w:tc>
        <w:tc>
          <w:tcPr>
            <w:tcW w:w="0" w:type="dxa"/>
            <w:vAlign w:val="bottom"/>
          </w:tcPr>
          <w:p>
            <w:pPr>
              <w:spacing w:after="0"/>
              <w:rPr>
                <w:sz w:val="1"/>
                <w:szCs w:val="1"/>
                <w:color w:val="auto"/>
              </w:rPr>
            </w:pPr>
          </w:p>
        </w:tc>
      </w:tr>
      <w:tr>
        <w:trPr>
          <w:trHeight w:val="223"/>
        </w:trPr>
        <w:tc>
          <w:tcPr>
            <w:tcW w:w="5320" w:type="dxa"/>
            <w:vAlign w:val="bottom"/>
          </w:tcPr>
          <w:p>
            <w:pPr>
              <w:ind w:left="180"/>
              <w:spacing w:after="0"/>
              <w:rPr>
                <w:sz w:val="20"/>
                <w:szCs w:val="20"/>
                <w:color w:val="auto"/>
              </w:rPr>
            </w:pPr>
            <w:r>
              <w:rPr>
                <w:rFonts w:ascii="Arial" w:cs="Arial" w:eastAsia="Arial" w:hAnsi="Arial"/>
                <w:sz w:val="18"/>
                <w:szCs w:val="18"/>
                <w:color w:val="auto"/>
              </w:rPr>
              <w:t>Income from discontinued operations, net of tax</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disposal</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(loss) from discontinued operations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688</w:t>
            </w:r>
          </w:p>
        </w:tc>
        <w:tc>
          <w:tcPr>
            <w:tcW w:w="0" w:type="dxa"/>
            <w:vAlign w:val="bottom"/>
          </w:tcPr>
          <w:p>
            <w:pPr>
              <w:spacing w:after="0"/>
              <w:rPr>
                <w:sz w:val="1"/>
                <w:szCs w:val="1"/>
                <w:color w:val="auto"/>
              </w:rPr>
            </w:pPr>
          </w:p>
        </w:tc>
      </w:tr>
      <w:tr>
        <w:trPr>
          <w:trHeight w:val="175"/>
        </w:trPr>
        <w:tc>
          <w:tcPr>
            <w:tcW w:w="5320" w:type="dxa"/>
            <w:vAlign w:val="bottom"/>
          </w:tcPr>
          <w:p>
            <w:pPr>
              <w:ind w:left="180"/>
              <w:spacing w:after="0" w:line="176" w:lineRule="exact"/>
              <w:rPr>
                <w:sz w:val="20"/>
                <w:szCs w:val="20"/>
                <w:color w:val="auto"/>
              </w:rPr>
            </w:pPr>
            <w:r>
              <w:rPr>
                <w:rFonts w:ascii="Arial" w:cs="Arial" w:eastAsia="Arial" w:hAnsi="Arial"/>
                <w:sz w:val="18"/>
                <w:szCs w:val="18"/>
                <w:color w:val="auto"/>
                <w:w w:val="94"/>
              </w:rPr>
              <w:t>Net income from continuing operations attributable to noncontrolling</w:t>
            </w: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interests</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3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income from discontinued operations attributable to</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Crown Holdings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(1,001)</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w:t>
            </w:r>
          </w:p>
        </w:tc>
        <w:tc>
          <w:tcPr>
            <w:tcW w:w="2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180" w:right="4680" w:hanging="4038"/>
        <w:spacing w:after="0" w:line="1042" w:lineRule="auto"/>
        <w:tabs>
          <w:tab w:leader="none" w:pos="132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Reconciliation from income from operations to segment income follows. Page 4 of 11</w:t>
      </w:r>
    </w:p>
    <w:p>
      <w:pPr>
        <w:sectPr>
          <w:pgSz w:w="11900" w:h="16838" w:orient="portrait"/>
          <w:cols w:equalWidth="0" w:num="1">
            <w:col w:w="11240"/>
          </w:cols>
          <w:pgMar w:left="320" w:top="595" w:right="339" w:bottom="1440" w:gutter="0" w:footer="0" w:header="0"/>
        </w:sectPr>
      </w:pPr>
    </w:p>
    <w:bookmarkStart w:id="8" w:name="page9"/>
    <w:bookmarkEnd w:id="8"/>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Earnings Per Share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2780" w:type="dxa"/>
            <w:vAlign w:val="bottom"/>
            <w:gridSpan w:val="6"/>
          </w:tcPr>
          <w:p>
            <w:pPr>
              <w:ind w:left="80"/>
              <w:spacing w:after="0"/>
              <w:rPr>
                <w:sz w:val="20"/>
                <w:szCs w:val="20"/>
                <w:color w:val="auto"/>
              </w:rPr>
            </w:pPr>
            <w:r>
              <w:rPr>
                <w:rFonts w:ascii="Arial" w:cs="Arial" w:eastAsia="Arial" w:hAnsi="Arial"/>
                <w:sz w:val="18"/>
                <w:szCs w:val="18"/>
                <w:b w:val="1"/>
                <w:bCs w:val="1"/>
                <w:color w:val="auto"/>
                <w:w w:val="99"/>
              </w:rPr>
              <w:t>Three Months Ended December</w:t>
            </w:r>
          </w:p>
        </w:tc>
        <w:tc>
          <w:tcPr>
            <w:tcW w:w="28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60" w:type="dxa"/>
            <w:vAlign w:val="bottom"/>
          </w:tcPr>
          <w:p>
            <w:pPr>
              <w:spacing w:after="0"/>
              <w:rPr>
                <w:sz w:val="17"/>
                <w:szCs w:val="17"/>
                <w:color w:val="auto"/>
              </w:rPr>
            </w:pPr>
          </w:p>
        </w:tc>
      </w:tr>
      <w:tr>
        <w:trPr>
          <w:trHeight w:val="230"/>
        </w:trPr>
        <w:tc>
          <w:tcPr>
            <w:tcW w:w="58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9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5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2020</w:t>
            </w: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Crown Holdings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(992)</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(507)</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29"/>
        </w:trPr>
        <w:tc>
          <w:tcPr>
            <w:tcW w:w="5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From discontinued operations </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23"/>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(1,001)</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7"/>
        </w:trPr>
        <w:tc>
          <w:tcPr>
            <w:tcW w:w="5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Earnings (loss) per share attributable to Crown Holdings: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Basic earnings (loss) per share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(7.87)</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(3.89)</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earnings (loss) per share from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Basic earnings (loss) per common share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4.34</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5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Diluted earnings (loss) per common share from 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(7.87)</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0.99</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(3.89)</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29"/>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Diluted earnings (loss) per common share from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3"/>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Diluted earnings (loss) per common share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58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2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2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125,990,933</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133,462,348</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130,376,215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133,525,186</w:t>
            </w: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Diluted</w:t>
            </w:r>
          </w:p>
        </w:tc>
        <w:tc>
          <w:tcPr>
            <w:tcW w:w="2380" w:type="dxa"/>
            <w:vAlign w:val="bottom"/>
          </w:tcPr>
          <w:p>
            <w:pPr>
              <w:jc w:val="right"/>
              <w:ind w:right="170"/>
              <w:spacing w:after="0"/>
              <w:rPr>
                <w:sz w:val="20"/>
                <w:szCs w:val="20"/>
                <w:color w:val="auto"/>
              </w:rPr>
            </w:pPr>
            <w:r>
              <w:rPr>
                <w:rFonts w:ascii="Arial" w:cs="Arial" w:eastAsia="Arial" w:hAnsi="Arial"/>
                <w:sz w:val="18"/>
                <w:szCs w:val="18"/>
                <w:color w:val="auto"/>
              </w:rPr>
              <w:t>126,762,186</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134,713,968</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131,348,050</w:t>
            </w:r>
          </w:p>
        </w:tc>
        <w:tc>
          <w:tcPr>
            <w:tcW w:w="1160" w:type="dxa"/>
            <w:vAlign w:val="bottom"/>
          </w:tcPr>
          <w:p>
            <w:pPr>
              <w:jc w:val="right"/>
              <w:spacing w:after="0"/>
              <w:rPr>
                <w:sz w:val="20"/>
                <w:szCs w:val="20"/>
                <w:color w:val="auto"/>
              </w:rPr>
            </w:pPr>
            <w:r>
              <w:rPr>
                <w:rFonts w:ascii="Arial" w:cs="Arial" w:eastAsia="Arial" w:hAnsi="Arial"/>
                <w:sz w:val="18"/>
                <w:szCs w:val="18"/>
                <w:color w:val="auto"/>
              </w:rPr>
              <w:t>134,560,915</w:t>
            </w:r>
          </w:p>
        </w:tc>
      </w:tr>
      <w:tr>
        <w:trPr>
          <w:trHeight w:val="229"/>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Actual common shares outstanding at quarter end</w:t>
            </w:r>
          </w:p>
        </w:tc>
        <w:tc>
          <w:tcPr>
            <w:tcW w:w="2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126,131,799</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134,801,030</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126,131,799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134,801,030</w:t>
            </w:r>
          </w:p>
        </w:tc>
      </w:tr>
    </w:tbl>
    <w:p>
      <w:pPr>
        <w:spacing w:after="0" w:line="299" w:lineRule="exact"/>
        <w:rPr>
          <w:sz w:val="20"/>
          <w:szCs w:val="20"/>
          <w:color w:val="auto"/>
        </w:rPr>
      </w:pPr>
    </w:p>
    <w:p>
      <w:pPr>
        <w:ind w:left="1320" w:hanging="178"/>
        <w:spacing w:after="0"/>
        <w:tabs>
          <w:tab w:leader="none" w:pos="132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Discontinued operations does not include any allocation of interest expense or indirect costs.</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52" w:lineRule="exact"/>
        <w:rPr>
          <w:rFonts w:ascii="Arial" w:cs="Arial" w:eastAsia="Arial" w:hAnsi="Arial"/>
          <w:sz w:val="21"/>
          <w:szCs w:val="21"/>
          <w:color w:val="auto"/>
          <w:vertAlign w:val="superscript"/>
        </w:rPr>
      </w:pPr>
    </w:p>
    <w:p>
      <w:pPr>
        <w:ind w:left="5180"/>
        <w:spacing w:after="0"/>
        <w:rPr>
          <w:rFonts w:ascii="Arial" w:cs="Arial" w:eastAsia="Arial" w:hAnsi="Arial"/>
          <w:sz w:val="21"/>
          <w:szCs w:val="21"/>
          <w:color w:val="auto"/>
          <w:vertAlign w:val="superscript"/>
        </w:rPr>
      </w:pPr>
      <w:r>
        <w:rPr>
          <w:rFonts w:ascii="Arial" w:cs="Arial" w:eastAsia="Arial" w:hAnsi="Arial"/>
          <w:sz w:val="18"/>
          <w:szCs w:val="18"/>
          <w:color w:val="auto"/>
        </w:rPr>
        <w:t>Page 5 of 11</w:t>
      </w:r>
    </w:p>
    <w:p>
      <w:pPr>
        <w:sectPr>
          <w:pgSz w:w="11900" w:h="16838" w:orient="portrait"/>
          <w:cols w:equalWidth="0" w:num="1">
            <w:col w:w="11240"/>
          </w:cols>
          <w:pgMar w:left="320" w:top="595" w:right="339" w:bottom="1440" w:gutter="0" w:footer="0" w:header="0"/>
        </w:sectPr>
      </w:pPr>
    </w:p>
    <w:bookmarkStart w:id="9" w:name="page10"/>
    <w:bookmarkEnd w:id="9"/>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315" w:lineRule="exact"/>
        <w:rPr>
          <w:sz w:val="20"/>
          <w:szCs w:val="20"/>
          <w:color w:val="auto"/>
        </w:rPr>
      </w:pPr>
    </w:p>
    <w:p>
      <w:pPr>
        <w:ind w:left="3820"/>
        <w:spacing w:after="0"/>
        <w:rPr>
          <w:sz w:val="20"/>
          <w:szCs w:val="20"/>
          <w:color w:val="auto"/>
        </w:rPr>
      </w:pPr>
      <w:r>
        <w:rPr>
          <w:rFonts w:ascii="Arial" w:cs="Arial" w:eastAsia="Arial" w:hAnsi="Arial"/>
          <w:sz w:val="18"/>
          <w:szCs w:val="18"/>
          <w:b w:val="1"/>
          <w:bCs w:val="1"/>
          <w:u w:val="single" w:color="auto"/>
          <w:color w:val="auto"/>
        </w:rPr>
        <w:t>Consolidated Supplemental Financial Data (Unaudited)</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Income from Operations to Segment Income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restructuring and other.</w:t>
      </w:r>
    </w:p>
    <w:p>
      <w:pPr>
        <w:spacing w:after="0" w:line="92"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780" w:type="dxa"/>
            <w:vAlign w:val="bottom"/>
          </w:tcPr>
          <w:p>
            <w:pPr>
              <w:spacing w:after="0"/>
              <w:rPr>
                <w:sz w:val="17"/>
                <w:szCs w:val="17"/>
                <w:color w:val="auto"/>
              </w:rPr>
            </w:pPr>
          </w:p>
        </w:tc>
        <w:tc>
          <w:tcPr>
            <w:tcW w:w="312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 December</w:t>
            </w:r>
          </w:p>
        </w:tc>
        <w:tc>
          <w:tcPr>
            <w:tcW w:w="240" w:type="dxa"/>
            <w:vAlign w:val="bottom"/>
          </w:tcPr>
          <w:p>
            <w:pPr>
              <w:spacing w:after="0"/>
              <w:rPr>
                <w:sz w:val="17"/>
                <w:szCs w:val="17"/>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780" w:type="dxa"/>
            <w:vAlign w:val="bottom"/>
          </w:tcPr>
          <w:p>
            <w:pPr>
              <w:spacing w:after="0"/>
              <w:rPr>
                <w:sz w:val="17"/>
                <w:szCs w:val="17"/>
                <w:color w:val="auto"/>
              </w:rPr>
            </w:pPr>
          </w:p>
        </w:tc>
      </w:tr>
      <w:tr>
        <w:trPr>
          <w:trHeight w:val="229"/>
        </w:trPr>
        <w:tc>
          <w:tcPr>
            <w:tcW w:w="27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31,</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780" w:type="dxa"/>
            <w:vAlign w:val="bottom"/>
            <w:tcBorders>
              <w:bottom w:val="single" w:sz="8" w:color="auto"/>
            </w:tcBorders>
          </w:tcPr>
          <w:p>
            <w:pPr>
              <w:spacing w:after="0"/>
              <w:rPr>
                <w:sz w:val="19"/>
                <w:szCs w:val="19"/>
                <w:color w:val="auto"/>
              </w:rPr>
            </w:pPr>
          </w:p>
        </w:tc>
      </w:tr>
      <w:tr>
        <w:trPr>
          <w:trHeight w:val="237"/>
        </w:trPr>
        <w:tc>
          <w:tcPr>
            <w:tcW w:w="27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2020</w:t>
            </w:r>
          </w:p>
        </w:tc>
      </w:tr>
      <w:tr>
        <w:trPr>
          <w:trHeight w:val="237"/>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303</w:t>
            </w:r>
          </w:p>
        </w:tc>
        <w:tc>
          <w:tcPr>
            <w:tcW w:w="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1,363</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1,048</w:t>
            </w:r>
          </w:p>
        </w:tc>
      </w:tr>
      <w:tr>
        <w:trPr>
          <w:trHeight w:val="256"/>
        </w:trPr>
        <w:tc>
          <w:tcPr>
            <w:tcW w:w="2780" w:type="dxa"/>
            <w:vAlign w:val="bottom"/>
          </w:tcPr>
          <w:p>
            <w:pPr>
              <w:ind w:left="20"/>
              <w:spacing w:after="0"/>
              <w:rPr>
                <w:sz w:val="20"/>
                <w:szCs w:val="20"/>
                <w:color w:val="auto"/>
              </w:rPr>
            </w:pPr>
            <w:r>
              <w:rPr>
                <w:rFonts w:ascii="Arial" w:cs="Arial" w:eastAsia="Arial" w:hAnsi="Arial"/>
                <w:sz w:val="18"/>
                <w:szCs w:val="18"/>
                <w:color w:val="auto"/>
              </w:rPr>
              <w:t>Intangibles amortization</w:t>
            </w:r>
          </w:p>
        </w:tc>
        <w:tc>
          <w:tcPr>
            <w:tcW w:w="760" w:type="dxa"/>
            <w:vAlign w:val="bottom"/>
          </w:tcPr>
          <w:p>
            <w:pPr>
              <w:spacing w:after="0"/>
              <w:rPr>
                <w:sz w:val="22"/>
                <w:szCs w:val="22"/>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162</w:t>
            </w:r>
          </w:p>
        </w:tc>
      </w:tr>
      <w:tr>
        <w:trPr>
          <w:trHeight w:val="257"/>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7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5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23"/>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Segment income</w:t>
            </w: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6"/>
              </w:rPr>
              <w:t>357</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358</w:t>
            </w:r>
          </w:p>
        </w:tc>
        <w:tc>
          <w:tcPr>
            <w:tcW w:w="5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1,500</w:t>
            </w:r>
          </w:p>
        </w:tc>
        <w:tc>
          <w:tcPr>
            <w:tcW w:w="2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1,240</w:t>
            </w:r>
          </w:p>
        </w:tc>
      </w:tr>
      <w:tr>
        <w:trPr>
          <w:trHeight w:val="20"/>
        </w:trPr>
        <w:tc>
          <w:tcPr>
            <w:tcW w:w="2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Segment Information</w:t>
      </w:r>
    </w:p>
    <w:p>
      <w:pPr>
        <w:spacing w:after="0" w:line="112"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Sales</w:t>
            </w:r>
          </w:p>
        </w:tc>
        <w:tc>
          <w:tcPr>
            <w:tcW w:w="20" w:type="dxa"/>
            <w:vAlign w:val="bottom"/>
          </w:tcPr>
          <w:p>
            <w:pPr>
              <w:spacing w:after="0"/>
              <w:rPr>
                <w:sz w:val="17"/>
                <w:szCs w:val="17"/>
                <w:color w:val="auto"/>
              </w:rPr>
            </w:pPr>
          </w:p>
        </w:tc>
        <w:tc>
          <w:tcPr>
            <w:tcW w:w="3140" w:type="dxa"/>
            <w:vAlign w:val="bottom"/>
            <w:gridSpan w:val="9"/>
          </w:tcPr>
          <w:p>
            <w:pPr>
              <w:ind w:left="20"/>
              <w:spacing w:after="0"/>
              <w:rPr>
                <w:sz w:val="20"/>
                <w:szCs w:val="20"/>
                <w:color w:val="auto"/>
              </w:rPr>
            </w:pPr>
            <w:r>
              <w:rPr>
                <w:rFonts w:ascii="Arial" w:cs="Arial" w:eastAsia="Arial" w:hAnsi="Arial"/>
                <w:sz w:val="18"/>
                <w:szCs w:val="18"/>
                <w:b w:val="1"/>
                <w:bCs w:val="1"/>
                <w:color w:val="auto"/>
              </w:rPr>
              <w:t>Three Months Ended December</w:t>
            </w:r>
          </w:p>
        </w:tc>
        <w:tc>
          <w:tcPr>
            <w:tcW w:w="240" w:type="dxa"/>
            <w:vAlign w:val="bottom"/>
          </w:tcPr>
          <w:p>
            <w:pPr>
              <w:spacing w:after="0"/>
              <w:rPr>
                <w:sz w:val="17"/>
                <w:szCs w:val="17"/>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gridSpan w:val="3"/>
          </w:tcPr>
          <w:p>
            <w:pPr>
              <w:jc w:val="right"/>
              <w:ind w:right="20"/>
              <w:spacing w:after="0" w:line="189" w:lineRule="exact"/>
              <w:rPr>
                <w:sz w:val="20"/>
                <w:szCs w:val="20"/>
                <w:color w:val="auto"/>
              </w:rPr>
            </w:pPr>
            <w:r>
              <w:rPr>
                <w:rFonts w:ascii="Arial" w:cs="Arial" w:eastAsia="Arial" w:hAnsi="Arial"/>
                <w:sz w:val="18"/>
                <w:szCs w:val="18"/>
                <w:b w:val="1"/>
                <w:bCs w:val="1"/>
                <w:color w:val="auto"/>
                <w:w w:val="87"/>
              </w:rPr>
              <w:t>31,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tcPr>
          <w:p>
            <w:pPr>
              <w:jc w:val="right"/>
              <w:spacing w:after="0" w:line="189" w:lineRule="exact"/>
              <w:rPr>
                <w:sz w:val="20"/>
                <w:szCs w:val="20"/>
                <w:color w:val="auto"/>
              </w:rPr>
            </w:pPr>
            <w:r>
              <w:rPr>
                <w:rFonts w:ascii="Arial" w:cs="Arial" w:eastAsia="Arial" w:hAnsi="Arial"/>
                <w:sz w:val="18"/>
                <w:szCs w:val="18"/>
                <w:b w:val="1"/>
                <w:bCs w:val="1"/>
                <w:color w:val="auto"/>
              </w:rPr>
              <w:t>December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2020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Americas Beverage</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957</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4,441</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European Beverage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379</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1,843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1,322</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Transit Packaging</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523</w:t>
            </w:r>
          </w:p>
        </w:tc>
        <w:tc>
          <w:tcPr>
            <w:tcW w:w="5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2,530</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reportable segments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2,175</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10,136</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8,224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gridSpan w:val="3"/>
          </w:tcPr>
          <w:p>
            <w:pPr>
              <w:spacing w:after="0" w:line="230" w:lineRule="exact"/>
              <w:rPr>
                <w:sz w:val="20"/>
                <w:szCs w:val="20"/>
                <w:color w:val="auto"/>
              </w:rPr>
            </w:pPr>
            <w:r>
              <w:rPr>
                <w:rFonts w:ascii="Arial" w:cs="Arial" w:eastAsia="Arial" w:hAnsi="Arial"/>
                <w:sz w:val="18"/>
                <w:szCs w:val="18"/>
                <w:color w:val="auto"/>
              </w:rPr>
              <w:t xml:space="preserve">Other segments </w:t>
            </w:r>
            <w:r>
              <w:rPr>
                <w:rFonts w:ascii="Arial" w:cs="Arial" w:eastAsia="Arial" w:hAnsi="Arial"/>
                <w:sz w:val="23"/>
                <w:szCs w:val="23"/>
                <w:color w:val="auto"/>
                <w:vertAlign w:val="superscript"/>
              </w:rPr>
              <w:t>(1)</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w:t>
            </w:r>
          </w:p>
        </w:tc>
        <w:tc>
          <w:tcPr>
            <w:tcW w:w="5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1,258</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Total net sales</w:t>
            </w: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3,054</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2,460</w:t>
            </w: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11,394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Segment Income</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27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Americas Beverage</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52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European Beverage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Transit Packaging</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c>
          <w:tcPr>
            <w:tcW w:w="5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318</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reportable segments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1,515</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Other segments </w:t>
            </w:r>
            <w:r>
              <w:rPr>
                <w:rFonts w:ascii="Arial" w:cs="Arial" w:eastAsia="Arial" w:hAnsi="Arial"/>
                <w:sz w:val="23"/>
                <w:szCs w:val="23"/>
                <w:color w:val="auto"/>
                <w:vertAlign w:val="superscript"/>
              </w:rPr>
              <w:t>(1)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Corporate and other unallocated</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items</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gridSpan w:val="3"/>
          </w:tcPr>
          <w:p>
            <w:pPr>
              <w:ind w:left="220"/>
              <w:spacing w:after="0"/>
              <w:rPr>
                <w:sz w:val="20"/>
                <w:szCs w:val="20"/>
                <w:color w:val="auto"/>
              </w:rPr>
            </w:pPr>
            <w:r>
              <w:rPr>
                <w:rFonts w:ascii="Arial" w:cs="Arial" w:eastAsia="Arial" w:hAnsi="Arial"/>
                <w:sz w:val="18"/>
                <w:szCs w:val="18"/>
                <w:b w:val="1"/>
                <w:bCs w:val="1"/>
                <w:color w:val="auto"/>
              </w:rPr>
              <w:t>Total segment income</w:t>
            </w:r>
          </w:p>
        </w:tc>
        <w:tc>
          <w:tcPr>
            <w:tcW w:w="2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w:t>
            </w:r>
          </w:p>
        </w:tc>
        <w:tc>
          <w:tcPr>
            <w:tcW w:w="40" w:type="dxa"/>
            <w:vAlign w:val="bottom"/>
            <w:tcBorders>
              <w:bottom w:val="single" w:sz="8" w:color="auto"/>
            </w:tcBorders>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358</w:t>
            </w:r>
          </w:p>
        </w:tc>
        <w:tc>
          <w:tcPr>
            <w:tcW w:w="5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1,500</w:t>
            </w:r>
          </w:p>
        </w:tc>
        <w:tc>
          <w:tcPr>
            <w:tcW w:w="2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right="80" w:hanging="252"/>
        <w:spacing w:after="0" w:line="224"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8"/>
          <w:szCs w:val="18"/>
          <w:color w:val="auto"/>
        </w:rPr>
        <w:t>Includes the Company’s food can, aerosol can and closures businesses in North America, and beverage tooling and equipment operations in the U.S. and UK.</w:t>
      </w:r>
    </w:p>
    <w:p>
      <w:pPr>
        <w:sectPr>
          <w:pgSz w:w="11900" w:h="16838" w:orient="portrait"/>
          <w:cols w:equalWidth="0" w:num="1">
            <w:col w:w="11240"/>
          </w:cols>
          <w:pgMar w:left="320" w:top="595" w:right="339" w:bottom="5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6 of 11</w:t>
      </w:r>
    </w:p>
    <w:p>
      <w:pPr>
        <w:sectPr>
          <w:pgSz w:w="11900" w:h="16838" w:orient="portrait"/>
          <w:cols w:equalWidth="0" w:num="1">
            <w:col w:w="11240"/>
          </w:cols>
          <w:pgMar w:left="320" w:top="595" w:right="339" w:bottom="505" w:gutter="0" w:footer="0" w:header="0"/>
          <w:type w:val="continuous"/>
        </w:sectPr>
      </w:pPr>
    </w:p>
    <w:bookmarkStart w:id="10" w:name="page11"/>
    <w:bookmarkEnd w:id="10"/>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358"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Consolidated Supplemental Data (Unaudited)</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Net Income and Diluted Earnings Per Share to Adjusted Net Income and Adjusted Diluted Earnings Per Share</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reported net income and diluted earnings per share attributable to the Company to adjusted net income and adjusted diluted</w:t>
      </w:r>
    </w:p>
    <w:p>
      <w:pPr>
        <w:spacing w:after="0" w:line="4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earnings per share, as used elsewhere in this release. Some or all of each reconciling item is reported within discontinued operations in the Consolidated Statement of Operations.</w:t>
      </w:r>
    </w:p>
    <w:p>
      <w:pPr>
        <w:spacing w:after="0" w:line="259" w:lineRule="exact"/>
        <w:rPr>
          <w:sz w:val="20"/>
          <w:szCs w:val="20"/>
          <w:color w:val="auto"/>
        </w:rPr>
      </w:pPr>
    </w:p>
    <w:tbl>
      <w:tblPr>
        <w:tblLayout w:type="fixed"/>
        <w:tblInd w:w="920" w:type="dxa"/>
        <w:tblCellMar>
          <w:top w:w="0" w:type="dxa"/>
          <w:left w:w="0" w:type="dxa"/>
          <w:bottom w:w="0" w:type="dxa"/>
          <w:right w:w="0" w:type="dxa"/>
        </w:tblCellMar>
      </w:tblPr>
      <w:tr>
        <w:trPr>
          <w:trHeight w:val="195"/>
        </w:trPr>
        <w:tc>
          <w:tcPr>
            <w:tcW w:w="2820" w:type="dxa"/>
            <w:vAlign w:val="bottom"/>
          </w:tcPr>
          <w:p>
            <w:pPr>
              <w:spacing w:after="0"/>
              <w:rPr>
                <w:sz w:val="16"/>
                <w:szCs w:val="16"/>
                <w:color w:val="auto"/>
              </w:rPr>
            </w:pPr>
          </w:p>
        </w:tc>
        <w:tc>
          <w:tcPr>
            <w:tcW w:w="3400" w:type="dxa"/>
            <w:vAlign w:val="bottom"/>
            <w:gridSpan w:val="10"/>
            <w:vMerge w:val="restart"/>
          </w:tcPr>
          <w:p>
            <w:pPr>
              <w:ind w:left="260"/>
              <w:spacing w:after="0"/>
              <w:rPr>
                <w:sz w:val="20"/>
                <w:szCs w:val="20"/>
                <w:color w:val="auto"/>
              </w:rPr>
            </w:pPr>
            <w:r>
              <w:rPr>
                <w:rFonts w:ascii="Arial" w:cs="Arial" w:eastAsia="Arial" w:hAnsi="Arial"/>
                <w:sz w:val="18"/>
                <w:szCs w:val="18"/>
                <w:b w:val="1"/>
                <w:bCs w:val="1"/>
                <w:color w:val="auto"/>
              </w:rPr>
              <w:t>Three Months Ended December 31,</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gridSpan w:val="5"/>
          </w:tcPr>
          <w:p>
            <w:pPr>
              <w:jc w:val="center"/>
              <w:ind w:right="460"/>
              <w:spacing w:after="0"/>
              <w:rPr>
                <w:sz w:val="20"/>
                <w:szCs w:val="20"/>
                <w:color w:val="auto"/>
              </w:rPr>
            </w:pPr>
            <w:r>
              <w:rPr>
                <w:rFonts w:ascii="Arial" w:cs="Arial" w:eastAsia="Arial" w:hAnsi="Arial"/>
                <w:sz w:val="17"/>
                <w:szCs w:val="17"/>
                <w:b w:val="1"/>
                <w:bCs w:val="1"/>
                <w:color w:val="auto"/>
                <w:w w:val="91"/>
              </w:rPr>
              <w:t>Year Ended</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3400" w:type="dxa"/>
            <w:vAlign w:val="bottom"/>
            <w:gridSpan w:val="10"/>
            <w:vMerge w:val="continue"/>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gridSpan w:val="5"/>
          </w:tcPr>
          <w:p>
            <w:pPr>
              <w:jc w:val="center"/>
              <w:ind w:right="400"/>
              <w:spacing w:after="0"/>
              <w:rPr>
                <w:sz w:val="20"/>
                <w:szCs w:val="20"/>
                <w:color w:val="auto"/>
              </w:rPr>
            </w:pPr>
            <w:r>
              <w:rPr>
                <w:rFonts w:ascii="Arial" w:cs="Arial" w:eastAsia="Arial" w:hAnsi="Arial"/>
                <w:sz w:val="17"/>
                <w:szCs w:val="17"/>
                <w:b w:val="1"/>
                <w:bCs w:val="1"/>
                <w:color w:val="auto"/>
                <w:w w:val="90"/>
              </w:rPr>
              <w:t>December 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rPr>
              <w:t>2020</w:t>
            </w:r>
          </w:p>
        </w:tc>
        <w:tc>
          <w:tcPr>
            <w:tcW w:w="5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4"/>
              </w:rPr>
              <w:t>Net income (loss)/diluted earnings</w:t>
            </w: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per share</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b w:val="1"/>
                <w:bCs w:val="1"/>
                <w:color w:val="auto"/>
                <w:w w:val="98"/>
              </w:rPr>
              <w:t>attributable to Crown Holdings,</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$(1,001)</w:t>
            </w: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$(7.95)</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$151</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$1.12</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7"/>
                <w:szCs w:val="17"/>
                <w:b w:val="1"/>
                <w:bCs w:val="1"/>
                <w:color w:val="auto"/>
                <w:w w:val="93"/>
              </w:rPr>
              <w:t>$(560)</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7"/>
                <w:szCs w:val="17"/>
                <w:b w:val="1"/>
                <w:bCs w:val="1"/>
                <w:color w:val="auto"/>
                <w:w w:val="92"/>
              </w:rPr>
              <w:t>$(4.30)</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$579</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center"/>
              <w:spacing w:after="0"/>
              <w:rPr>
                <w:sz w:val="20"/>
                <w:szCs w:val="20"/>
                <w:color w:val="auto"/>
              </w:rPr>
            </w:pPr>
            <w:r>
              <w:rPr>
                <w:rFonts w:ascii="Arial" w:cs="Arial" w:eastAsia="Arial" w:hAnsi="Arial"/>
                <w:sz w:val="17"/>
                <w:szCs w:val="17"/>
                <w:b w:val="1"/>
                <w:bCs w:val="1"/>
                <w:color w:val="auto"/>
                <w:w w:val="93"/>
              </w:rPr>
              <w:t>$4.30</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reported</w:t>
            </w:r>
          </w:p>
        </w:tc>
        <w:tc>
          <w:tcPr>
            <w:tcW w:w="8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820" w:type="dxa"/>
            <w:vAlign w:val="bottom"/>
          </w:tcPr>
          <w:p>
            <w:pPr>
              <w:ind w:left="240"/>
              <w:spacing w:after="0"/>
              <w:rPr>
                <w:sz w:val="20"/>
                <w:szCs w:val="20"/>
                <w:color w:val="auto"/>
              </w:rPr>
            </w:pPr>
            <w:r>
              <w:rPr>
                <w:rFonts w:ascii="Arial" w:cs="Arial" w:eastAsia="Arial" w:hAnsi="Arial"/>
                <w:sz w:val="18"/>
                <w:szCs w:val="18"/>
                <w:color w:val="auto"/>
              </w:rPr>
              <w:t xml:space="preserve">Intangibles amortization </w:t>
            </w:r>
            <w:r>
              <w:rPr>
                <w:rFonts w:ascii="Arial" w:cs="Arial" w:eastAsia="Arial" w:hAnsi="Arial"/>
                <w:sz w:val="23"/>
                <w:szCs w:val="23"/>
                <w:color w:val="auto"/>
                <w:vertAlign w:val="superscript"/>
              </w:rPr>
              <w:t>(1)</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0.32</w:t>
            </w:r>
          </w:p>
        </w:tc>
        <w:tc>
          <w:tcPr>
            <w:tcW w:w="1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0.34</w:t>
            </w:r>
          </w:p>
        </w:tc>
        <w:tc>
          <w:tcPr>
            <w:tcW w:w="14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91"/>
              </w:rPr>
              <w:t>170</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1.29</w:t>
            </w:r>
          </w:p>
        </w:tc>
        <w:tc>
          <w:tcPr>
            <w:tcW w:w="16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auto"/>
                <w:w w:val="91"/>
              </w:rPr>
              <w:t>180</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jc w:val="center"/>
              <w:ind w:right="15"/>
              <w:spacing w:after="0"/>
              <w:rPr>
                <w:sz w:val="20"/>
                <w:szCs w:val="20"/>
                <w:color w:val="auto"/>
              </w:rPr>
            </w:pPr>
            <w:r>
              <w:rPr>
                <w:rFonts w:ascii="Arial" w:cs="Arial" w:eastAsia="Arial" w:hAnsi="Arial"/>
                <w:sz w:val="17"/>
                <w:szCs w:val="17"/>
                <w:color w:val="auto"/>
                <w:w w:val="90"/>
              </w:rPr>
              <w:t>1.34</w:t>
            </w:r>
          </w:p>
        </w:tc>
        <w:tc>
          <w:tcPr>
            <w:tcW w:w="0" w:type="dxa"/>
            <w:vAlign w:val="bottom"/>
          </w:tcPr>
          <w:p>
            <w:pPr>
              <w:spacing w:after="0"/>
              <w:rPr>
                <w:sz w:val="1"/>
                <w:szCs w:val="1"/>
                <w:color w:val="auto"/>
              </w:rPr>
            </w:pPr>
          </w:p>
        </w:tc>
      </w:tr>
      <w:tr>
        <w:trPr>
          <w:trHeight w:val="270"/>
        </w:trPr>
        <w:tc>
          <w:tcPr>
            <w:tcW w:w="2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Restructuring and other </w:t>
            </w:r>
            <w:r>
              <w:rPr>
                <w:rFonts w:ascii="Arial" w:cs="Arial" w:eastAsia="Arial" w:hAnsi="Arial"/>
                <w:sz w:val="23"/>
                <w:szCs w:val="23"/>
                <w:color w:val="auto"/>
                <w:vertAlign w:val="superscript"/>
              </w:rPr>
              <w:t>(2)</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0.11</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0.10</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(26)</w:t>
            </w: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(0.20)</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34</w:t>
            </w: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60" w:type="dxa"/>
            <w:vAlign w:val="bottom"/>
            <w:shd w:val="clear" w:color="auto" w:fill="CCEEFF"/>
          </w:tcPr>
          <w:p>
            <w:pPr>
              <w:jc w:val="center"/>
              <w:ind w:right="15"/>
              <w:spacing w:after="0"/>
              <w:rPr>
                <w:sz w:val="20"/>
                <w:szCs w:val="20"/>
                <w:color w:val="auto"/>
              </w:rPr>
            </w:pPr>
            <w:r>
              <w:rPr>
                <w:rFonts w:ascii="Arial" w:cs="Arial" w:eastAsia="Arial" w:hAnsi="Arial"/>
                <w:sz w:val="17"/>
                <w:szCs w:val="17"/>
                <w:color w:val="auto"/>
                <w:w w:val="90"/>
              </w:rPr>
              <w:t>0.25</w:t>
            </w:r>
          </w:p>
        </w:tc>
        <w:tc>
          <w:tcPr>
            <w:tcW w:w="0" w:type="dxa"/>
            <w:vAlign w:val="bottom"/>
          </w:tcPr>
          <w:p>
            <w:pPr>
              <w:spacing w:after="0"/>
              <w:rPr>
                <w:sz w:val="1"/>
                <w:szCs w:val="1"/>
                <w:color w:val="auto"/>
              </w:rPr>
            </w:pPr>
          </w:p>
        </w:tc>
      </w:tr>
      <w:tr>
        <w:trPr>
          <w:trHeight w:val="270"/>
        </w:trPr>
        <w:tc>
          <w:tcPr>
            <w:tcW w:w="2820" w:type="dxa"/>
            <w:vAlign w:val="bottom"/>
          </w:tcPr>
          <w:p>
            <w:pPr>
              <w:ind w:left="240"/>
              <w:spacing w:after="0"/>
              <w:rPr>
                <w:sz w:val="20"/>
                <w:szCs w:val="20"/>
                <w:color w:val="auto"/>
              </w:rPr>
            </w:pPr>
            <w:r>
              <w:rPr>
                <w:rFonts w:ascii="Arial" w:cs="Arial" w:eastAsia="Arial" w:hAnsi="Arial"/>
                <w:sz w:val="18"/>
                <w:szCs w:val="18"/>
                <w:color w:val="auto"/>
                <w:w w:val="95"/>
              </w:rPr>
              <w:t xml:space="preserve">Loss from debt extinguishment </w:t>
            </w:r>
            <w:r>
              <w:rPr>
                <w:rFonts w:ascii="Arial" w:cs="Arial" w:eastAsia="Arial" w:hAnsi="Arial"/>
                <w:sz w:val="23"/>
                <w:szCs w:val="23"/>
                <w:color w:val="auto"/>
                <w:w w:val="95"/>
                <w:vertAlign w:val="superscript"/>
              </w:rPr>
              <w:t>(3)</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0.54</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94"/>
              </w:rPr>
              <w:t>68</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0.52</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Foreign exchange gain </w:t>
            </w:r>
            <w:r>
              <w:rPr>
                <w:rFonts w:ascii="Arial" w:cs="Arial" w:eastAsia="Arial" w:hAnsi="Arial"/>
                <w:sz w:val="23"/>
                <w:szCs w:val="23"/>
                <w:color w:val="auto"/>
                <w:vertAlign w:val="superscript"/>
              </w:rPr>
              <w:t>(4)</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(47)</w:t>
            </w: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(0.37)</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(47)</w:t>
            </w: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(0.36)</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240"/>
              <w:spacing w:after="0" w:line="176" w:lineRule="exact"/>
              <w:rPr>
                <w:sz w:val="20"/>
                <w:szCs w:val="20"/>
                <w:color w:val="auto"/>
              </w:rPr>
            </w:pPr>
            <w:r>
              <w:rPr>
                <w:rFonts w:ascii="Arial" w:cs="Arial" w:eastAsia="Arial" w:hAnsi="Arial"/>
                <w:sz w:val="18"/>
                <w:szCs w:val="18"/>
                <w:color w:val="auto"/>
              </w:rPr>
              <w:t>Pension settlements and</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88"/>
              </w:rPr>
              <w:t>1,520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88"/>
              </w:rPr>
              <w:t>12.04</w:t>
            </w:r>
          </w:p>
        </w:tc>
        <w:tc>
          <w:tcPr>
            <w:tcW w:w="14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5</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1"/>
              </w:rPr>
              <w:t>0.04</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curtailments </w:t>
            </w:r>
            <w:r>
              <w:rPr>
                <w:rFonts w:ascii="Arial" w:cs="Arial" w:eastAsia="Arial" w:hAnsi="Arial"/>
                <w:sz w:val="23"/>
                <w:szCs w:val="23"/>
                <w:color w:val="auto"/>
                <w:vertAlign w:val="superscript"/>
              </w:rPr>
              <w:t>(5)</w:t>
            </w:r>
          </w:p>
        </w:tc>
        <w:tc>
          <w:tcPr>
            <w:tcW w:w="8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89"/>
              </w:rPr>
              <w:t>1,520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89"/>
              </w:rPr>
              <w:t>11.61</w:t>
            </w:r>
          </w:p>
        </w:tc>
        <w:tc>
          <w:tcPr>
            <w:tcW w:w="1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auto"/>
                <w:w w:val="94"/>
              </w:rPr>
              <w:t>66</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jc w:val="center"/>
              <w:ind w:right="15"/>
              <w:spacing w:after="0"/>
              <w:rPr>
                <w:sz w:val="20"/>
                <w:szCs w:val="20"/>
                <w:color w:val="auto"/>
              </w:rPr>
            </w:pPr>
            <w:r>
              <w:rPr>
                <w:rFonts w:ascii="Arial" w:cs="Arial" w:eastAsia="Arial" w:hAnsi="Arial"/>
                <w:sz w:val="17"/>
                <w:szCs w:val="17"/>
                <w:color w:val="auto"/>
                <w:w w:val="90"/>
              </w:rPr>
              <w:t>0.49</w:t>
            </w:r>
          </w:p>
        </w:tc>
        <w:tc>
          <w:tcPr>
            <w:tcW w:w="0" w:type="dxa"/>
            <w:vAlign w:val="bottom"/>
          </w:tcPr>
          <w:p>
            <w:pPr>
              <w:spacing w:after="0"/>
              <w:rPr>
                <w:sz w:val="1"/>
                <w:szCs w:val="1"/>
                <w:color w:val="auto"/>
              </w:rPr>
            </w:pPr>
          </w:p>
        </w:tc>
      </w:tr>
      <w:tr>
        <w:trPr>
          <w:trHeight w:val="257"/>
        </w:trPr>
        <w:tc>
          <w:tcPr>
            <w:tcW w:w="2820" w:type="dxa"/>
            <w:vAlign w:val="bottom"/>
            <w:shd w:val="clear" w:color="auto" w:fill="CCEEFF"/>
          </w:tcPr>
          <w:p>
            <w:pPr>
              <w:ind w:left="240"/>
              <w:spacing w:after="0" w:line="256" w:lineRule="exact"/>
              <w:rPr>
                <w:sz w:val="20"/>
                <w:szCs w:val="20"/>
                <w:color w:val="auto"/>
              </w:rPr>
            </w:pPr>
            <w:r>
              <w:rPr>
                <w:rFonts w:ascii="Arial" w:cs="Arial" w:eastAsia="Arial" w:hAnsi="Arial"/>
                <w:sz w:val="18"/>
                <w:szCs w:val="18"/>
                <w:color w:val="auto"/>
              </w:rPr>
              <w:t xml:space="preserve">Income taxes </w:t>
            </w:r>
            <w:r>
              <w:rPr>
                <w:rFonts w:ascii="Arial" w:cs="Arial" w:eastAsia="Arial" w:hAnsi="Arial"/>
                <w:sz w:val="23"/>
                <w:szCs w:val="23"/>
                <w:color w:val="auto"/>
                <w:vertAlign w:val="superscript"/>
              </w:rPr>
              <w:t>(6)</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(399)</w:t>
            </w: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(3.15)</w:t>
            </w: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(14)</w:t>
            </w: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(0.10)</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(343)</w:t>
            </w: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(2.61)</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(62)</w:t>
            </w: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(0.46)</w:t>
            </w:r>
          </w:p>
        </w:tc>
        <w:tc>
          <w:tcPr>
            <w:tcW w:w="0" w:type="dxa"/>
            <w:vAlign w:val="bottom"/>
          </w:tcPr>
          <w:p>
            <w:pPr>
              <w:spacing w:after="0"/>
              <w:rPr>
                <w:sz w:val="1"/>
                <w:szCs w:val="1"/>
                <w:color w:val="auto"/>
              </w:rPr>
            </w:pPr>
          </w:p>
        </w:tc>
      </w:tr>
      <w:tr>
        <w:trPr>
          <w:trHeight w:val="338"/>
        </w:trPr>
        <w:tc>
          <w:tcPr>
            <w:tcW w:w="2820" w:type="dxa"/>
            <w:vAlign w:val="bottom"/>
          </w:tcPr>
          <w:p>
            <w:pPr>
              <w:ind w:left="20"/>
              <w:spacing w:after="0"/>
              <w:rPr>
                <w:sz w:val="20"/>
                <w:szCs w:val="20"/>
                <w:color w:val="auto"/>
              </w:rPr>
            </w:pPr>
            <w:r>
              <w:rPr>
                <w:rFonts w:ascii="Arial" w:cs="Arial" w:eastAsia="Arial" w:hAnsi="Arial"/>
                <w:sz w:val="23"/>
                <w:szCs w:val="23"/>
                <w:color w:val="auto"/>
                <w:w w:val="91"/>
                <w:vertAlign w:val="subscript"/>
              </w:rPr>
              <w:t>(7)</w:t>
            </w:r>
            <w:r>
              <w:rPr>
                <w:rFonts w:ascii="Arial" w:cs="Arial" w:eastAsia="Arial" w:hAnsi="Arial"/>
                <w:sz w:val="18"/>
                <w:szCs w:val="18"/>
                <w:color w:val="auto"/>
                <w:w w:val="91"/>
              </w:rPr>
              <w:t xml:space="preserve">  Loss from discontinued operations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0.07</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91"/>
              </w:rPr>
              <w:t>208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1.58</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820" w:type="dxa"/>
            <w:vAlign w:val="bottom"/>
            <w:shd w:val="clear" w:color="auto" w:fill="CCEEFF"/>
          </w:tcPr>
          <w:p>
            <w:pPr>
              <w:ind w:left="240"/>
              <w:spacing w:after="0" w:line="256" w:lineRule="exact"/>
              <w:rPr>
                <w:sz w:val="20"/>
                <w:szCs w:val="20"/>
                <w:color w:val="auto"/>
              </w:rPr>
            </w:pPr>
            <w:r>
              <w:rPr>
                <w:rFonts w:ascii="Arial" w:cs="Arial" w:eastAsia="Arial" w:hAnsi="Arial"/>
                <w:sz w:val="18"/>
                <w:szCs w:val="18"/>
                <w:color w:val="auto"/>
              </w:rPr>
              <w:t xml:space="preserve">Equity earnings </w:t>
            </w:r>
            <w:r>
              <w:rPr>
                <w:rFonts w:ascii="Arial" w:cs="Arial" w:eastAsia="Arial" w:hAnsi="Arial"/>
                <w:sz w:val="23"/>
                <w:szCs w:val="23"/>
                <w:color w:val="auto"/>
                <w:vertAlign w:val="superscript"/>
              </w:rPr>
              <w:t>(8)</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0.05</w:t>
            </w: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w:t>
            </w: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0.05</w:t>
            </w: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20" w:type="dxa"/>
            <w:vAlign w:val="bottom"/>
            <w:tcBorders>
              <w:bottom w:val="single" w:sz="8" w:color="CCEEFF"/>
            </w:tcBorders>
          </w:tcPr>
          <w:p>
            <w:pPr>
              <w:ind w:left="240"/>
              <w:spacing w:after="0" w:line="256" w:lineRule="exact"/>
              <w:rPr>
                <w:sz w:val="20"/>
                <w:szCs w:val="20"/>
                <w:color w:val="auto"/>
              </w:rPr>
            </w:pPr>
            <w:r>
              <w:rPr>
                <w:rFonts w:ascii="Arial" w:cs="Arial" w:eastAsia="Arial" w:hAnsi="Arial"/>
                <w:sz w:val="18"/>
                <w:szCs w:val="18"/>
                <w:color w:val="auto"/>
              </w:rPr>
              <w:t xml:space="preserve">Noncontrolling interests </w:t>
            </w:r>
            <w:r>
              <w:rPr>
                <w:rFonts w:ascii="Arial" w:cs="Arial" w:eastAsia="Arial" w:hAnsi="Arial"/>
                <w:sz w:val="23"/>
                <w:szCs w:val="23"/>
                <w:color w:val="auto"/>
                <w:vertAlign w:val="superscript"/>
              </w:rPr>
              <w:t>(9)</w:t>
            </w:r>
          </w:p>
        </w:tc>
        <w:tc>
          <w:tcPr>
            <w:tcW w:w="82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10</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0.08</w:t>
            </w:r>
          </w:p>
        </w:tc>
        <w:tc>
          <w:tcPr>
            <w:tcW w:w="16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8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Adjusted net income/diluted</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$210</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$1.66</w:t>
            </w: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$202</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$1.50</w:t>
            </w: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7"/>
                <w:szCs w:val="17"/>
                <w:b w:val="1"/>
                <w:bCs w:val="1"/>
                <w:color w:val="auto"/>
                <w:w w:val="88"/>
              </w:rPr>
              <w:t>$1,006</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7"/>
                <w:szCs w:val="17"/>
                <w:b w:val="1"/>
                <w:bCs w:val="1"/>
                <w:color w:val="auto"/>
                <w:w w:val="93"/>
              </w:rPr>
              <w:t>$7.66</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$797</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center"/>
              <w:spacing w:after="0"/>
              <w:rPr>
                <w:sz w:val="20"/>
                <w:szCs w:val="20"/>
                <w:color w:val="auto"/>
              </w:rPr>
            </w:pPr>
            <w:r>
              <w:rPr>
                <w:rFonts w:ascii="Arial" w:cs="Arial" w:eastAsia="Arial" w:hAnsi="Arial"/>
                <w:sz w:val="17"/>
                <w:szCs w:val="17"/>
                <w:b w:val="1"/>
                <w:bCs w:val="1"/>
                <w:color w:val="auto"/>
                <w:w w:val="93"/>
              </w:rPr>
              <w:t>$5.92</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earnings per share</w:t>
            </w: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Effective tax rate as reported </w:t>
            </w:r>
            <w:r>
              <w:rPr>
                <w:rFonts w:ascii="Arial" w:cs="Arial" w:eastAsia="Arial" w:hAnsi="Arial"/>
                <w:sz w:val="23"/>
                <w:szCs w:val="23"/>
                <w:color w:val="auto"/>
                <w:vertAlign w:val="superscript"/>
              </w:rPr>
              <w:t>(10)</w:t>
            </w:r>
          </w:p>
        </w:tc>
        <w:tc>
          <w:tcPr>
            <w:tcW w:w="8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26.6 %</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26.3 %</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82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Adjusted effective tax rate </w:t>
            </w:r>
            <w:r>
              <w:rPr>
                <w:rFonts w:ascii="Arial" w:cs="Arial" w:eastAsia="Arial" w:hAnsi="Arial"/>
                <w:sz w:val="23"/>
                <w:szCs w:val="23"/>
                <w:color w:val="auto"/>
                <w:vertAlign w:val="superscript"/>
              </w:rPr>
              <w:t>(10)</w:t>
            </w:r>
          </w:p>
        </w:tc>
        <w:tc>
          <w:tcPr>
            <w:tcW w:w="8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18.5 %</w:t>
            </w: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22.5 %</w:t>
            </w: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25.4 %</w:t>
            </w: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spacing w:after="0" w:line="202" w:lineRule="exact"/>
        <w:rPr>
          <w:sz w:val="20"/>
          <w:szCs w:val="20"/>
          <w:color w:val="auto"/>
        </w:rPr>
      </w:pPr>
    </w:p>
    <w:p>
      <w:pPr>
        <w:ind w:left="340" w:right="20" w:hanging="332"/>
        <w:spacing w:after="0" w:line="256"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fourth quarter and full year of 2021, the Company recorded charges of $40 million ($31 million net of tax) and $170 million ($130 million net of tax) for intangibles amortization arising from prior acquisitions. In the fourth quarter and full year of 2020, the Company recorded charges of $46 million ($38 million net of tax) and $180 million ($139 million net of tax) for intangibles amortization.</w:t>
      </w:r>
    </w:p>
    <w:p>
      <w:pPr>
        <w:spacing w:after="0" w:line="228" w:lineRule="exact"/>
        <w:rPr>
          <w:rFonts w:ascii="Arial" w:cs="Arial" w:eastAsia="Arial" w:hAnsi="Arial"/>
          <w:sz w:val="18"/>
          <w:szCs w:val="18"/>
          <w:color w:val="auto"/>
        </w:rPr>
      </w:pPr>
    </w:p>
    <w:p>
      <w:pPr>
        <w:ind w:left="340" w:right="100" w:hanging="332"/>
        <w:spacing w:after="0" w:line="264" w:lineRule="auto"/>
        <w:tabs>
          <w:tab w:leader="none" w:pos="334"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fourth quarter and full year of 2021, the Company recorded net restructuring charges and other of $14 million ($11 million net of tax) and gains of $26 million ($16 million net of tax), respectively, including a second quarter gain of $30 million arising from a favorable court ruling in Brazil related to overcharges of indirect taxes paid in prior years. In the fourth quarter and full year of 2020, the Company recorded net restructuring and other charges of $14 million ($9 million net of tax) and $34 million ($25 million net of tax) primarily related to business reorganization activities.</w:t>
      </w:r>
    </w:p>
    <w:p>
      <w:pPr>
        <w:spacing w:after="0" w:line="2" w:lineRule="exact"/>
        <w:rPr>
          <w:rFonts w:ascii="Arial" w:cs="Arial" w:eastAsia="Arial" w:hAnsi="Arial"/>
          <w:sz w:val="16"/>
          <w:szCs w:val="16"/>
          <w:color w:val="auto"/>
        </w:rPr>
      </w:pPr>
    </w:p>
    <w:p>
      <w:pPr>
        <w:ind w:left="340" w:right="700" w:hanging="332"/>
        <w:spacing w:after="0" w:line="233"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fourth quarter of 2021, the Company recorded a charge of $68 million ($56 million net of tax) primarily for premiums paid on the early extinguishment of bonds originally due in 2022 and 2023.</w:t>
      </w:r>
    </w:p>
    <w:p>
      <w:pPr>
        <w:sectPr>
          <w:pgSz w:w="11900" w:h="16838" w:orient="portrait"/>
          <w:cols w:equalWidth="0" w:num="1">
            <w:col w:w="11240"/>
          </w:cols>
          <w:pgMar w:left="320" w:top="5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7 of 11</w:t>
      </w:r>
    </w:p>
    <w:p>
      <w:pPr>
        <w:sectPr>
          <w:pgSz w:w="11900" w:h="16838" w:orient="portrait"/>
          <w:cols w:equalWidth="0" w:num="1">
            <w:col w:w="11240"/>
          </w:cols>
          <w:pgMar w:left="320" w:top="595" w:right="339" w:bottom="1440" w:gutter="0" w:footer="0" w:header="0"/>
          <w:type w:val="continuous"/>
        </w:sectPr>
      </w:pPr>
    </w:p>
    <w:bookmarkStart w:id="11" w:name="page12"/>
    <w:bookmarkEnd w:id="11"/>
    <w:p>
      <w:pPr>
        <w:ind w:left="72"/>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5537835</wp:posOffset>
            </wp:positionH>
            <wp:positionV relativeFrom="paragraph">
              <wp:posOffset>-145415</wp:posOffset>
            </wp:positionV>
            <wp:extent cx="1551305"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72"/>
        <w:spacing w:after="0"/>
        <w:rPr>
          <w:sz w:val="20"/>
          <w:szCs w:val="20"/>
          <w:color w:val="auto"/>
        </w:rPr>
      </w:pPr>
      <w:r>
        <w:rPr>
          <w:rFonts w:ascii="Arial" w:cs="Arial" w:eastAsia="Arial" w:hAnsi="Arial"/>
          <w:sz w:val="14"/>
          <w:szCs w:val="14"/>
          <w:color w:val="auto"/>
        </w:rPr>
        <w:t>Corporate Headquarters</w:t>
      </w:r>
    </w:p>
    <w:p>
      <w:pPr>
        <w:ind w:left="72"/>
        <w:spacing w:after="0" w:line="201" w:lineRule="auto"/>
        <w:rPr>
          <w:sz w:val="20"/>
          <w:szCs w:val="20"/>
          <w:color w:val="auto"/>
        </w:rPr>
      </w:pPr>
      <w:r>
        <w:rPr>
          <w:rFonts w:ascii="Arial" w:cs="Arial" w:eastAsia="Arial" w:hAnsi="Arial"/>
          <w:sz w:val="14"/>
          <w:szCs w:val="14"/>
          <w:color w:val="auto"/>
        </w:rPr>
        <w:t>770 Township Line Road</w:t>
      </w:r>
    </w:p>
    <w:p>
      <w:pPr>
        <w:ind w:left="72"/>
        <w:spacing w:after="0"/>
        <w:rPr>
          <w:sz w:val="20"/>
          <w:szCs w:val="20"/>
          <w:color w:val="auto"/>
        </w:rPr>
      </w:pPr>
      <w:r>
        <w:rPr>
          <w:rFonts w:ascii="Arial" w:cs="Arial" w:eastAsia="Arial" w:hAnsi="Arial"/>
          <w:sz w:val="14"/>
          <w:szCs w:val="14"/>
          <w:color w:val="auto"/>
        </w:rPr>
        <w:t>Yardley, PA 19067</w:t>
      </w:r>
    </w:p>
    <w:p>
      <w:pPr>
        <w:spacing w:after="0" w:line="306" w:lineRule="exact"/>
        <w:rPr>
          <w:sz w:val="20"/>
          <w:szCs w:val="20"/>
          <w:color w:val="auto"/>
        </w:rPr>
      </w:pPr>
    </w:p>
    <w:p>
      <w:pPr>
        <w:ind w:left="332" w:right="100" w:hanging="332"/>
        <w:spacing w:after="0" w:line="246" w:lineRule="auto"/>
        <w:tabs>
          <w:tab w:leader="none" w:pos="32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fourth quarter of 2021, the Company recorded foreign exchange gains of $47 million ($35 million net of tax) arising from the remeasurement in local currency of U.S. dollar monetary asset balances in its operations in Turkey.</w:t>
      </w:r>
    </w:p>
    <w:p>
      <w:pPr>
        <w:spacing w:after="0" w:line="196" w:lineRule="exact"/>
        <w:rPr>
          <w:rFonts w:ascii="Arial" w:cs="Arial" w:eastAsia="Arial" w:hAnsi="Arial"/>
          <w:sz w:val="18"/>
          <w:szCs w:val="18"/>
          <w:color w:val="auto"/>
        </w:rPr>
      </w:pPr>
    </w:p>
    <w:p>
      <w:pPr>
        <w:ind w:left="332" w:right="100" w:hanging="332"/>
        <w:spacing w:after="0" w:line="256" w:lineRule="auto"/>
        <w:tabs>
          <w:tab w:leader="none" w:pos="32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fourth quarter of 2021, the Company recorded charges of $1,520 million ($1,152 million net of tax) primarily related to the settlement of its UK pension plan obligations. In the fourth quarter and full year of 2020, the Company recorded charges of $5 million ($4 million net of tax) and $66 million ($53 million net of tax) arising from pension plan settlements.</w:t>
      </w:r>
    </w:p>
    <w:p>
      <w:pPr>
        <w:spacing w:after="0" w:line="188" w:lineRule="exact"/>
        <w:rPr>
          <w:rFonts w:ascii="Arial" w:cs="Arial" w:eastAsia="Arial" w:hAnsi="Arial"/>
          <w:sz w:val="18"/>
          <w:szCs w:val="18"/>
          <w:color w:val="auto"/>
        </w:rPr>
      </w:pPr>
    </w:p>
    <w:p>
      <w:pPr>
        <w:ind w:left="332" w:hanging="332"/>
        <w:spacing w:after="0" w:line="249" w:lineRule="auto"/>
        <w:tabs>
          <w:tab w:leader="none" w:pos="32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fourth quarter and full year of 2021, the Company recorded income tax benefits of $380 million and $398 million related to the items described above. Also in 2021, the Company recorded benefits of $8 million in the first six months related to tax law changes in the UK and India; a charge of $40 million in the second quarter for deferred tax valuation adjustments in France; charges of $31 million and $11 million, respectively, in the second and third quarters for tax costs arising from reorganizations and other transactions required to prepare its European Tinplate business for sale and benefits of $19 million in the fourth quarter primarily related to a valuation allowance release in a corporate entity. In the fourth quarter and full year of 2020, the Company recorded benefits of $14 million and $63 million related to the items described above. In the third quarter of 2020, the Company recorded tax charges of $5 million primarily related to tax law changes in the UK. In the first quarter of 2020, the Company recorded benefits of $4 million arising from tax law changes in India.</w:t>
      </w:r>
    </w:p>
    <w:p>
      <w:pPr>
        <w:spacing w:after="0" w:line="199" w:lineRule="exact"/>
        <w:rPr>
          <w:rFonts w:ascii="Arial" w:cs="Arial" w:eastAsia="Arial" w:hAnsi="Arial"/>
          <w:sz w:val="18"/>
          <w:szCs w:val="18"/>
          <w:color w:val="auto"/>
        </w:rPr>
      </w:pPr>
    </w:p>
    <w:p>
      <w:pPr>
        <w:ind w:left="332" w:right="560" w:hanging="332"/>
        <w:spacing w:after="0" w:line="246" w:lineRule="auto"/>
        <w:tabs>
          <w:tab w:leader="none" w:pos="32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fourth quarter and full year of 2021, the Company recorded after-tax charges of $9 million and $208 million (primarily due to cumulative translation adjustments and tax charges) in connection with the sale of its European Tinplate operations.</w:t>
      </w:r>
    </w:p>
    <w:p>
      <w:pPr>
        <w:spacing w:after="0" w:line="196" w:lineRule="exact"/>
        <w:rPr>
          <w:rFonts w:ascii="Arial" w:cs="Arial" w:eastAsia="Arial" w:hAnsi="Arial"/>
          <w:sz w:val="18"/>
          <w:szCs w:val="18"/>
          <w:color w:val="auto"/>
        </w:rPr>
      </w:pPr>
    </w:p>
    <w:p>
      <w:pPr>
        <w:ind w:left="332" w:right="320" w:hanging="332"/>
        <w:spacing w:after="0" w:line="293" w:lineRule="auto"/>
        <w:tabs>
          <w:tab w:leader="none" w:pos="32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fourth quarter of 2021, the Company recorded its proportional share of intangible amortization and inventory step-up charges recorded by its equity method affiliate, Eviosys. These charges were recorded net of tax by the Company in the line Equity earnings.</w:t>
      </w:r>
    </w:p>
    <w:p>
      <w:pPr>
        <w:spacing w:after="0" w:line="154" w:lineRule="exact"/>
        <w:rPr>
          <w:rFonts w:ascii="Arial" w:cs="Arial" w:eastAsia="Arial" w:hAnsi="Arial"/>
          <w:sz w:val="18"/>
          <w:szCs w:val="18"/>
          <w:color w:val="auto"/>
        </w:rPr>
      </w:pPr>
    </w:p>
    <w:p>
      <w:pPr>
        <w:ind w:left="312" w:hanging="312"/>
        <w:spacing w:after="0"/>
        <w:tabs>
          <w:tab w:leader="none" w:pos="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second quarter of 2021, the Company recorded noncontrolling interest charges of $10 million related to the items described above.</w:t>
      </w:r>
    </w:p>
    <w:p>
      <w:pPr>
        <w:ind w:left="332" w:right="100" w:hanging="332"/>
        <w:spacing w:after="0" w:line="233" w:lineRule="auto"/>
        <w:tabs>
          <w:tab w:leader="none" w:pos="36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reported and adjusted effective tax rates include income from discontinued operations, which is reported net of tax in the statement of operations. Income tax effects on adjusted net income were calculated using the applicable tax rates of the underlying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8 of 11</w:t>
      </w:r>
    </w:p>
    <w:p>
      <w:pPr>
        <w:sectPr>
          <w:pgSz w:w="11900" w:h="16838" w:orient="portrait"/>
          <w:cols w:equalWidth="0" w:num="1">
            <w:col w:w="11232"/>
          </w:cols>
          <w:pgMar w:left="328" w:top="595" w:right="339" w:bottom="1440" w:gutter="0" w:footer="0" w:header="0"/>
        </w:sectPr>
      </w:pPr>
    </w:p>
    <w:bookmarkStart w:id="12" w:name="page13"/>
    <w:bookmarkEnd w:id="12"/>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(Condensed &amp; Unaudited)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80" w:type="dxa"/>
            <w:vAlign w:val="bottom"/>
          </w:tcPr>
          <w:p>
            <w:pPr>
              <w:spacing w:after="0"/>
              <w:rPr>
                <w:sz w:val="20"/>
                <w:szCs w:val="20"/>
                <w:color w:val="auto"/>
              </w:rPr>
            </w:pPr>
          </w:p>
        </w:tc>
      </w:tr>
      <w:tr>
        <w:trPr>
          <w:trHeight w:val="250"/>
        </w:trPr>
        <w:tc>
          <w:tcPr>
            <w:tcW w:w="1500" w:type="dxa"/>
            <w:vAlign w:val="bottom"/>
          </w:tcPr>
          <w:p>
            <w:pPr>
              <w:spacing w:after="0"/>
              <w:rPr>
                <w:sz w:val="21"/>
                <w:szCs w:val="21"/>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1,173</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1,889</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1,522</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1,263</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 held for sale</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7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c>
          <w:tcPr>
            <w:tcW w:w="1480" w:type="dxa"/>
            <w:vAlign w:val="bottom"/>
          </w:tcPr>
          <w:p>
            <w:pPr>
              <w:spacing w:after="0"/>
              <w:rPr>
                <w:sz w:val="23"/>
                <w:szCs w:val="23"/>
                <w:color w:val="auto"/>
              </w:rPr>
            </w:pPr>
          </w:p>
        </w:tc>
      </w:tr>
      <w:tr>
        <w:trPr>
          <w:trHeight w:val="250"/>
        </w:trPr>
        <w:tc>
          <w:tcPr>
            <w:tcW w:w="1500" w:type="dxa"/>
            <w:vAlign w:val="bottom"/>
          </w:tcPr>
          <w:p>
            <w:pPr>
              <w:spacing w:after="0"/>
              <w:rPr>
                <w:sz w:val="21"/>
                <w:szCs w:val="21"/>
                <w:color w:val="auto"/>
              </w:rPr>
            </w:pPr>
          </w:p>
        </w:tc>
        <w:tc>
          <w:tcPr>
            <w:tcW w:w="4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4,517</w:t>
            </w:r>
          </w:p>
        </w:tc>
        <w:tc>
          <w:tcPr>
            <w:tcW w:w="7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4,903</w:t>
            </w:r>
          </w:p>
        </w:tc>
        <w:tc>
          <w:tcPr>
            <w:tcW w:w="1480" w:type="dxa"/>
            <w:vAlign w:val="bottom"/>
          </w:tcPr>
          <w:p>
            <w:pPr>
              <w:spacing w:after="0"/>
              <w:rPr>
                <w:sz w:val="21"/>
                <w:szCs w:val="21"/>
                <w:color w:val="auto"/>
              </w:rPr>
            </w:pPr>
          </w:p>
        </w:tc>
      </w:tr>
      <w:tr>
        <w:trPr>
          <w:trHeight w:val="250"/>
        </w:trPr>
        <w:tc>
          <w:tcPr>
            <w:tcW w:w="1500" w:type="dxa"/>
            <w:vAlign w:val="bottom"/>
          </w:tcPr>
          <w:p>
            <w:pPr>
              <w:spacing w:after="0"/>
              <w:rPr>
                <w:sz w:val="21"/>
                <w:szCs w:val="21"/>
                <w:color w:val="auto"/>
              </w:rPr>
            </w:pPr>
          </w:p>
        </w:tc>
        <w:tc>
          <w:tcPr>
            <w:tcW w:w="4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Goodwill and intangible assets, net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4,532</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4,901</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3,652</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795</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1,056</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 held for sale</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2,179</w:t>
            </w:r>
          </w:p>
        </w:tc>
        <w:tc>
          <w:tcPr>
            <w:tcW w:w="1480" w:type="dxa"/>
            <w:vAlign w:val="bottom"/>
          </w:tcPr>
          <w:p>
            <w:pPr>
              <w:spacing w:after="0"/>
              <w:rPr>
                <w:sz w:val="23"/>
                <w:szCs w:val="23"/>
                <w:color w:val="auto"/>
              </w:rPr>
            </w:pPr>
          </w:p>
        </w:tc>
      </w:tr>
      <w:tr>
        <w:trPr>
          <w:trHeight w:val="223"/>
        </w:trPr>
        <w:tc>
          <w:tcPr>
            <w:tcW w:w="1500" w:type="dxa"/>
            <w:vAlign w:val="bottom"/>
          </w:tcPr>
          <w:p>
            <w:pPr>
              <w:spacing w:after="0"/>
              <w:rPr>
                <w:sz w:val="19"/>
                <w:szCs w:val="19"/>
                <w:color w:val="auto"/>
              </w:rPr>
            </w:pPr>
          </w:p>
        </w:tc>
        <w:tc>
          <w:tcPr>
            <w:tcW w:w="482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13,880</w:t>
            </w:r>
          </w:p>
        </w:tc>
        <w:tc>
          <w:tcPr>
            <w:tcW w:w="7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16,691</w:t>
            </w:r>
          </w:p>
        </w:tc>
        <w:tc>
          <w:tcPr>
            <w:tcW w:w="148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7"/>
        </w:trPr>
        <w:tc>
          <w:tcPr>
            <w:tcW w:w="150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debt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3,130</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Current liabilities held for sale</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7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981</w:t>
            </w:r>
          </w:p>
        </w:tc>
        <w:tc>
          <w:tcPr>
            <w:tcW w:w="1480" w:type="dxa"/>
            <w:vAlign w:val="bottom"/>
          </w:tcPr>
          <w:p>
            <w:pPr>
              <w:spacing w:after="0"/>
              <w:rPr>
                <w:sz w:val="23"/>
                <w:szCs w:val="23"/>
                <w:color w:val="auto"/>
              </w:rPr>
            </w:pPr>
          </w:p>
        </w:tc>
      </w:tr>
      <w:tr>
        <w:trPr>
          <w:trHeight w:val="250"/>
        </w:trPr>
        <w:tc>
          <w:tcPr>
            <w:tcW w:w="1500" w:type="dxa"/>
            <w:vAlign w:val="bottom"/>
          </w:tcPr>
          <w:p>
            <w:pPr>
              <w:spacing w:after="0"/>
              <w:rPr>
                <w:sz w:val="21"/>
                <w:szCs w:val="21"/>
                <w:color w:val="auto"/>
              </w:rPr>
            </w:pPr>
          </w:p>
        </w:tc>
        <w:tc>
          <w:tcPr>
            <w:tcW w:w="482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4,155</w:t>
            </w:r>
          </w:p>
        </w:tc>
        <w:tc>
          <w:tcPr>
            <w:tcW w:w="7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4,282</w:t>
            </w:r>
          </w:p>
        </w:tc>
        <w:tc>
          <w:tcPr>
            <w:tcW w:w="1480" w:type="dxa"/>
            <w:vAlign w:val="bottom"/>
          </w:tcPr>
          <w:p>
            <w:pPr>
              <w:spacing w:after="0"/>
              <w:rPr>
                <w:sz w:val="21"/>
                <w:szCs w:val="21"/>
                <w:color w:val="auto"/>
              </w:rPr>
            </w:pPr>
          </w:p>
        </w:tc>
      </w:tr>
      <w:tr>
        <w:trPr>
          <w:trHeight w:val="250"/>
        </w:trPr>
        <w:tc>
          <w:tcPr>
            <w:tcW w:w="150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8,023</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1,343</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1,583</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 held for sale</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Crown Holdings shareholders' equity</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7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2,198</w:t>
            </w:r>
          </w:p>
        </w:tc>
        <w:tc>
          <w:tcPr>
            <w:tcW w:w="1480" w:type="dxa"/>
            <w:vAlign w:val="bottom"/>
          </w:tcPr>
          <w:p>
            <w:pPr>
              <w:spacing w:after="0"/>
              <w:rPr>
                <w:sz w:val="23"/>
                <w:szCs w:val="23"/>
                <w:color w:val="auto"/>
              </w:rPr>
            </w:pPr>
          </w:p>
        </w:tc>
      </w:tr>
      <w:tr>
        <w:trPr>
          <w:trHeight w:val="250"/>
        </w:trPr>
        <w:tc>
          <w:tcPr>
            <w:tcW w:w="1500" w:type="dxa"/>
            <w:vAlign w:val="bottom"/>
          </w:tcPr>
          <w:p>
            <w:pPr>
              <w:spacing w:after="0"/>
              <w:rPr>
                <w:sz w:val="21"/>
                <w:szCs w:val="21"/>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7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2,604</w:t>
            </w:r>
          </w:p>
        </w:tc>
        <w:tc>
          <w:tcPr>
            <w:tcW w:w="1480" w:type="dxa"/>
            <w:vAlign w:val="bottom"/>
          </w:tcPr>
          <w:p>
            <w:pPr>
              <w:spacing w:after="0"/>
              <w:rPr>
                <w:sz w:val="21"/>
                <w:szCs w:val="21"/>
                <w:color w:val="auto"/>
              </w:rPr>
            </w:pPr>
          </w:p>
        </w:tc>
      </w:tr>
      <w:tr>
        <w:trPr>
          <w:trHeight w:val="223"/>
        </w:trPr>
        <w:tc>
          <w:tcPr>
            <w:tcW w:w="1500" w:type="dxa"/>
            <w:vAlign w:val="bottom"/>
          </w:tcPr>
          <w:p>
            <w:pPr>
              <w:spacing w:after="0"/>
              <w:rPr>
                <w:sz w:val="19"/>
                <w:szCs w:val="19"/>
                <w:color w:val="auto"/>
              </w:rPr>
            </w:pPr>
          </w:p>
        </w:tc>
        <w:tc>
          <w:tcPr>
            <w:tcW w:w="482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13,880</w:t>
            </w:r>
          </w:p>
        </w:tc>
        <w:tc>
          <w:tcPr>
            <w:tcW w:w="7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16,691</w:t>
            </w:r>
          </w:p>
        </w:tc>
        <w:tc>
          <w:tcPr>
            <w:tcW w:w="148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33"/>
        </w:trPr>
        <w:tc>
          <w:tcPr>
            <w:tcW w:w="15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11</w:t>
      </w:r>
    </w:p>
    <w:p>
      <w:pPr>
        <w:sectPr>
          <w:pgSz w:w="11900" w:h="16838" w:orient="portrait"/>
          <w:cols w:equalWidth="0" w:num="1">
            <w:col w:w="11240"/>
          </w:cols>
          <w:pgMar w:left="320" w:top="595" w:right="339" w:bottom="1440" w:gutter="0" w:footer="0" w:header="0"/>
        </w:sectPr>
      </w:pPr>
    </w:p>
    <w:bookmarkStart w:id="13" w:name="page14"/>
    <w:bookmarkEnd w:id="13"/>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 (Condensed &amp;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920" w:type="dxa"/>
            <w:vAlign w:val="bottom"/>
          </w:tcPr>
          <w:p>
            <w:pPr>
              <w:spacing w:after="0"/>
              <w:rPr>
                <w:sz w:val="20"/>
                <w:szCs w:val="20"/>
                <w:color w:val="auto"/>
              </w:rPr>
            </w:pPr>
          </w:p>
        </w:tc>
      </w:tr>
      <w:tr>
        <w:trPr>
          <w:trHeight w:val="88"/>
        </w:trPr>
        <w:tc>
          <w:tcPr>
            <w:tcW w:w="19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(411)</w:t>
            </w:r>
          </w:p>
        </w:tc>
        <w:tc>
          <w:tcPr>
            <w:tcW w:w="4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688</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Restructuring and other</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disposal of discontinued operations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Pension expense</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1,567</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contributions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Working capital changes and other</w:t>
            </w: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4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920" w:type="dxa"/>
            <w:vAlign w:val="bottom"/>
          </w:tcPr>
          <w:p>
            <w:pPr>
              <w:spacing w:after="0"/>
              <w:rPr>
                <w:sz w:val="22"/>
                <w:szCs w:val="22"/>
                <w:color w:val="auto"/>
              </w:rPr>
            </w:pPr>
          </w:p>
        </w:tc>
      </w:tr>
      <w:tr>
        <w:trPr>
          <w:trHeight w:val="237"/>
        </w:trPr>
        <w:tc>
          <w:tcPr>
            <w:tcW w:w="1940" w:type="dxa"/>
            <w:vAlign w:val="bottom"/>
          </w:tcPr>
          <w:p>
            <w:pPr>
              <w:spacing w:after="0"/>
              <w:rPr>
                <w:sz w:val="20"/>
                <w:szCs w:val="20"/>
                <w:color w:val="auto"/>
              </w:rPr>
            </w:pPr>
          </w:p>
        </w:tc>
        <w:tc>
          <w:tcPr>
            <w:tcW w:w="4620" w:type="dxa"/>
            <w:vAlign w:val="bottom"/>
          </w:tcPr>
          <w:p>
            <w:pPr>
              <w:ind w:left="460"/>
              <w:spacing w:after="0" w:line="236" w:lineRule="exact"/>
              <w:rPr>
                <w:sz w:val="20"/>
                <w:szCs w:val="20"/>
                <w:color w:val="auto"/>
              </w:rPr>
            </w:pPr>
            <w:r>
              <w:rPr>
                <w:rFonts w:ascii="Arial" w:cs="Arial" w:eastAsia="Arial" w:hAnsi="Arial"/>
                <w:sz w:val="18"/>
                <w:szCs w:val="18"/>
                <w:b w:val="1"/>
                <w:bCs w:val="1"/>
                <w:color w:val="auto"/>
              </w:rPr>
              <w:t xml:space="preserve">Net cash provided by operating activities </w:t>
            </w:r>
            <w:r>
              <w:rPr>
                <w:rFonts w:ascii="Arial" w:cs="Arial" w:eastAsia="Arial" w:hAnsi="Arial"/>
                <w:sz w:val="23"/>
                <w:szCs w:val="23"/>
                <w:b w:val="1"/>
                <w:bCs w:val="1"/>
                <w:color w:val="auto"/>
                <w:vertAlign w:val="superscript"/>
              </w:rPr>
              <w:t>(1)</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905</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1,315</w:t>
            </w:r>
          </w:p>
        </w:tc>
        <w:tc>
          <w:tcPr>
            <w:tcW w:w="1920" w:type="dxa"/>
            <w:vAlign w:val="bottom"/>
          </w:tcPr>
          <w:p>
            <w:pPr>
              <w:spacing w:after="0"/>
              <w:rPr>
                <w:sz w:val="20"/>
                <w:szCs w:val="20"/>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(816)</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(587)</w:t>
            </w: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business, net of cash</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Proceeds from sale of assets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920" w:type="dxa"/>
            <w:vAlign w:val="bottom"/>
          </w:tcPr>
          <w:p>
            <w:pPr>
              <w:spacing w:after="0"/>
              <w:rPr>
                <w:sz w:val="22"/>
                <w:szCs w:val="22"/>
                <w:color w:val="auto"/>
              </w:rPr>
            </w:pPr>
          </w:p>
        </w:tc>
      </w:tr>
      <w:tr>
        <w:trPr>
          <w:trHeight w:val="236"/>
        </w:trPr>
        <w:tc>
          <w:tcPr>
            <w:tcW w:w="1940" w:type="dxa"/>
            <w:vAlign w:val="bottom"/>
          </w:tcPr>
          <w:p>
            <w:pPr>
              <w:spacing w:after="0"/>
              <w:rPr>
                <w:sz w:val="20"/>
                <w:szCs w:val="20"/>
                <w:color w:val="auto"/>
              </w:rPr>
            </w:pPr>
          </w:p>
        </w:tc>
        <w:tc>
          <w:tcPr>
            <w:tcW w:w="4620" w:type="dxa"/>
            <w:vAlign w:val="bottom"/>
          </w:tcPr>
          <w:p>
            <w:pPr>
              <w:ind w:left="460"/>
              <w:spacing w:after="0"/>
              <w:rPr>
                <w:sz w:val="20"/>
                <w:szCs w:val="20"/>
                <w:color w:val="auto"/>
              </w:rPr>
            </w:pPr>
            <w:r>
              <w:rPr>
                <w:rFonts w:ascii="Arial" w:cs="Arial" w:eastAsia="Arial" w:hAnsi="Arial"/>
                <w:sz w:val="18"/>
                <w:szCs w:val="18"/>
                <w:b w:val="1"/>
                <w:bCs w:val="1"/>
                <w:color w:val="auto"/>
                <w:w w:val="94"/>
              </w:rPr>
              <w:t>Net cash provided by/(used for) investing activities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1,507</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(535)</w:t>
            </w:r>
          </w:p>
        </w:tc>
        <w:tc>
          <w:tcPr>
            <w:tcW w:w="1920" w:type="dxa"/>
            <w:vAlign w:val="bottom"/>
          </w:tcPr>
          <w:p>
            <w:pPr>
              <w:spacing w:after="0"/>
              <w:rPr>
                <w:sz w:val="20"/>
                <w:szCs w:val="20"/>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Net change in debt</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(1,742)</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to stockholders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Common stock repurchased</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(950)</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to noncontrolling interests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920" w:type="dxa"/>
            <w:vAlign w:val="bottom"/>
          </w:tcPr>
          <w:p>
            <w:pPr>
              <w:spacing w:after="0"/>
              <w:rPr>
                <w:sz w:val="22"/>
                <w:szCs w:val="22"/>
                <w:color w:val="auto"/>
              </w:rPr>
            </w:pPr>
          </w:p>
        </w:tc>
      </w:tr>
      <w:tr>
        <w:trPr>
          <w:trHeight w:val="236"/>
        </w:trPr>
        <w:tc>
          <w:tcPr>
            <w:tcW w:w="1940" w:type="dxa"/>
            <w:vAlign w:val="bottom"/>
          </w:tcPr>
          <w:p>
            <w:pPr>
              <w:spacing w:after="0"/>
              <w:rPr>
                <w:sz w:val="20"/>
                <w:szCs w:val="20"/>
                <w:color w:val="auto"/>
              </w:rPr>
            </w:pPr>
          </w:p>
        </w:tc>
        <w:tc>
          <w:tcPr>
            <w:tcW w:w="46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Net cash used for financing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(2,944)</w:t>
            </w:r>
          </w:p>
        </w:tc>
        <w:tc>
          <w:tcPr>
            <w:tcW w:w="4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1920" w:type="dxa"/>
            <w:vAlign w:val="bottom"/>
          </w:tcPr>
          <w:p>
            <w:pPr>
              <w:spacing w:after="0"/>
              <w:rPr>
                <w:sz w:val="20"/>
                <w:szCs w:val="20"/>
                <w:color w:val="auto"/>
              </w:rPr>
            </w:pPr>
          </w:p>
        </w:tc>
      </w:tr>
      <w:tr>
        <w:trPr>
          <w:trHeight w:val="88"/>
        </w:trPr>
        <w:tc>
          <w:tcPr>
            <w:tcW w:w="19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1"/>
              </w:rPr>
              <w:t>Effect of exchange rate changes on cash and cash equivalents</w:t>
            </w: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920" w:type="dxa"/>
            <w:vAlign w:val="bottom"/>
          </w:tcPr>
          <w:p>
            <w:pPr>
              <w:spacing w:after="0"/>
              <w:rPr>
                <w:sz w:val="22"/>
                <w:szCs w:val="22"/>
                <w:color w:val="auto"/>
              </w:rPr>
            </w:pPr>
          </w:p>
        </w:tc>
      </w:tr>
      <w:tr>
        <w:trPr>
          <w:trHeight w:val="88"/>
        </w:trPr>
        <w:tc>
          <w:tcPr>
            <w:tcW w:w="19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January 1</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920" w:type="dxa"/>
            <w:vAlign w:val="bottom"/>
          </w:tcPr>
          <w:p>
            <w:pPr>
              <w:spacing w:after="0"/>
              <w:rPr>
                <w:sz w:val="22"/>
                <w:szCs w:val="22"/>
                <w:color w:val="auto"/>
              </w:rPr>
            </w:pPr>
          </w:p>
        </w:tc>
      </w:tr>
      <w:tr>
        <w:trPr>
          <w:trHeight w:val="88"/>
        </w:trPr>
        <w:tc>
          <w:tcPr>
            <w:tcW w:w="1940" w:type="dxa"/>
            <w:vAlign w:val="bottom"/>
          </w:tcPr>
          <w:p>
            <w:pPr>
              <w:spacing w:after="0"/>
              <w:rPr>
                <w:sz w:val="7"/>
                <w:szCs w:val="7"/>
                <w:color w:val="auto"/>
              </w:rPr>
            </w:pPr>
          </w:p>
        </w:tc>
        <w:tc>
          <w:tcPr>
            <w:tcW w:w="46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920" w:type="dxa"/>
            <w:vAlign w:val="bottom"/>
          </w:tcPr>
          <w:p>
            <w:pPr>
              <w:spacing w:after="0"/>
              <w:rPr>
                <w:sz w:val="7"/>
                <w:szCs w:val="7"/>
                <w:color w:val="auto"/>
              </w:rPr>
            </w:pPr>
          </w:p>
        </w:tc>
      </w:tr>
      <w:tr>
        <w:trPr>
          <w:trHeight w:val="230"/>
        </w:trPr>
        <w:tc>
          <w:tcPr>
            <w:tcW w:w="1940" w:type="dxa"/>
            <w:vAlign w:val="bottom"/>
          </w:tcPr>
          <w:p>
            <w:pPr>
              <w:spacing w:after="0"/>
              <w:rPr>
                <w:sz w:val="19"/>
                <w:szCs w:val="19"/>
                <w:color w:val="auto"/>
              </w:rPr>
            </w:pPr>
          </w:p>
        </w:tc>
        <w:tc>
          <w:tcPr>
            <w:tcW w:w="4620" w:type="dxa"/>
            <w:vAlign w:val="bottom"/>
          </w:tcPr>
          <w:p>
            <w:pPr>
              <w:spacing w:after="0" w:line="230" w:lineRule="exact"/>
              <w:rPr>
                <w:sz w:val="20"/>
                <w:szCs w:val="20"/>
                <w:color w:val="auto"/>
              </w:rPr>
            </w:pPr>
            <w:r>
              <w:rPr>
                <w:rFonts w:ascii="Arial" w:cs="Arial" w:eastAsia="Arial" w:hAnsi="Arial"/>
                <w:sz w:val="18"/>
                <w:szCs w:val="18"/>
                <w:b w:val="1"/>
                <w:bCs w:val="1"/>
                <w:color w:val="auto"/>
              </w:rPr>
              <w:t xml:space="preserve">Cash and cash equivalents at December 31 </w:t>
            </w:r>
            <w:r>
              <w:rPr>
                <w:rFonts w:ascii="Arial" w:cs="Arial" w:eastAsia="Arial" w:hAnsi="Arial"/>
                <w:sz w:val="23"/>
                <w:szCs w:val="23"/>
                <w:b w:val="1"/>
                <w:bCs w:val="1"/>
                <w:color w:val="auto"/>
                <w:vertAlign w:val="superscript"/>
              </w:rPr>
              <w:t>(2)</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w:t>
            </w:r>
          </w:p>
        </w:tc>
        <w:tc>
          <w:tcPr>
            <w:tcW w:w="4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1,238</w:t>
            </w:r>
          </w:p>
        </w:tc>
        <w:tc>
          <w:tcPr>
            <w:tcW w:w="1920" w:type="dxa"/>
            <w:vAlign w:val="bottom"/>
          </w:tcPr>
          <w:p>
            <w:pPr>
              <w:spacing w:after="0"/>
              <w:rPr>
                <w:sz w:val="19"/>
                <w:szCs w:val="19"/>
                <w:color w:val="auto"/>
              </w:rPr>
            </w:pPr>
          </w:p>
        </w:tc>
      </w:tr>
      <w:tr>
        <w:trPr>
          <w:trHeight w:val="20"/>
        </w:trPr>
        <w:tc>
          <w:tcPr>
            <w:tcW w:w="19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0"/>
        </w:trPr>
        <w:tc>
          <w:tcPr>
            <w:tcW w:w="194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r>
    </w:tbl>
    <w:p>
      <w:pPr>
        <w:spacing w:after="0" w:line="107" w:lineRule="exact"/>
        <w:rPr>
          <w:sz w:val="20"/>
          <w:szCs w:val="20"/>
          <w:color w:val="auto"/>
        </w:rPr>
      </w:pPr>
    </w:p>
    <w:p>
      <w:pPr>
        <w:ind w:left="420" w:right="200" w:hanging="331"/>
        <w:spacing w:after="0" w:line="235" w:lineRule="auto"/>
        <w:tabs>
          <w:tab w:leader="none" w:pos="414"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free cash flow is defined by the Company as net cash provided by operating activities less capital expenditures and certain other items. A reconciliation from net cash provided by operating activities to adjusted free cash flow for the three months and year ended December 31, 2021 and 2020 follows.</w:t>
      </w:r>
    </w:p>
    <w:p>
      <w:pPr>
        <w:spacing w:after="0" w:line="201" w:lineRule="exact"/>
        <w:rPr>
          <w:rFonts w:ascii="Arial" w:cs="Arial" w:eastAsia="Arial" w:hAnsi="Arial"/>
          <w:sz w:val="18"/>
          <w:szCs w:val="18"/>
          <w:color w:val="auto"/>
        </w:rPr>
      </w:pPr>
    </w:p>
    <w:p>
      <w:pPr>
        <w:ind w:left="400" w:hanging="311"/>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and cash equivalents includes $62 and $65 of restricted cash at December 31, 2021 and 2020.</w:t>
      </w:r>
    </w:p>
    <w:p>
      <w:pPr>
        <w:sectPr>
          <w:pgSz w:w="11900" w:h="16838" w:orient="portrait"/>
          <w:cols w:equalWidth="0" w:num="1">
            <w:col w:w="11240"/>
          </w:cols>
          <w:pgMar w:left="320" w:top="5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10 of 11</w:t>
      </w:r>
    </w:p>
    <w:p>
      <w:pPr>
        <w:sectPr>
          <w:pgSz w:w="11900" w:h="16838" w:orient="portrait"/>
          <w:cols w:equalWidth="0" w:num="1">
            <w:col w:w="11240"/>
          </w:cols>
          <w:pgMar w:left="320" w:top="595" w:right="339" w:bottom="1440" w:gutter="0" w:footer="0" w:header="0"/>
          <w:type w:val="continuous"/>
        </w:sectPr>
      </w:pPr>
    </w:p>
    <w:bookmarkStart w:id="14" w:name="page15"/>
    <w:bookmarkEnd w:id="1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7"/>
                <w:szCs w:val="17"/>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9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43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2021</w:t>
            </w:r>
          </w:p>
        </w:tc>
        <w:tc>
          <w:tcPr>
            <w:tcW w:w="360" w:type="dxa"/>
            <w:vAlign w:val="bottom"/>
            <w:tcBorders>
              <w:top w:val="single" w:sz="8" w:color="auto"/>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from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660</w:t>
            </w: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1,006</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905</w:t>
            </w:r>
          </w:p>
        </w:tc>
        <w:tc>
          <w:tcPr>
            <w:tcW w:w="36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4"/>
              </w:rPr>
              <w:t>1,315</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60" w:type="dxa"/>
            <w:vAlign w:val="bottom"/>
          </w:tcPr>
          <w:p>
            <w:pPr>
              <w:spacing w:after="0"/>
              <w:rPr>
                <w:sz w:val="22"/>
                <w:szCs w:val="22"/>
                <w:color w:val="auto"/>
              </w:rPr>
            </w:pPr>
          </w:p>
        </w:tc>
        <w:tc>
          <w:tcPr>
            <w:tcW w:w="436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UK pension settlement </w:t>
            </w:r>
            <w:r>
              <w:rPr>
                <w:rFonts w:ascii="Arial" w:cs="Arial" w:eastAsia="Arial" w:hAnsi="Arial"/>
                <w:sz w:val="23"/>
                <w:szCs w:val="23"/>
                <w:color w:val="auto"/>
                <w:vertAlign w:val="superscript"/>
              </w:rPr>
              <w:t>(3)</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216</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3"/>
                <w:szCs w:val="23"/>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Interest included in investing activities </w:t>
            </w:r>
            <w:r>
              <w:rPr>
                <w:rFonts w:ascii="Arial" w:cs="Arial" w:eastAsia="Arial" w:hAnsi="Arial"/>
                <w:sz w:val="23"/>
                <w:szCs w:val="23"/>
                <w:color w:val="auto"/>
                <w:vertAlign w:val="superscript"/>
              </w:rPr>
              <w:t>(4)</w:t>
            </w: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3"/>
                <w:szCs w:val="23"/>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 xml:space="preserve">Transaction fees </w:t>
            </w:r>
            <w:r>
              <w:rPr>
                <w:rFonts w:ascii="Arial" w:cs="Arial" w:eastAsia="Arial" w:hAnsi="Arial"/>
                <w:sz w:val="23"/>
                <w:szCs w:val="23"/>
                <w:color w:val="auto"/>
                <w:vertAlign w:val="superscript"/>
              </w:rPr>
              <w:t>(5)</w:t>
            </w: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3"/>
                <w:szCs w:val="23"/>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3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320" w:type="dxa"/>
            <w:vAlign w:val="bottom"/>
            <w:gridSpan w:val="2"/>
            <w:vMerge w:val="restart"/>
          </w:tcPr>
          <w:p>
            <w:pPr>
              <w:spacing w:after="0" w:line="317" w:lineRule="exact"/>
              <w:rPr>
                <w:sz w:val="20"/>
                <w:szCs w:val="20"/>
                <w:color w:val="auto"/>
              </w:rPr>
            </w:pPr>
            <w:r>
              <w:rPr>
                <w:rFonts w:ascii="Arial" w:cs="Arial" w:eastAsia="Arial" w:hAnsi="Arial"/>
                <w:sz w:val="35"/>
                <w:szCs w:val="35"/>
                <w:b w:val="1"/>
                <w:bCs w:val="1"/>
                <w:color w:val="auto"/>
                <w:vertAlign w:val="subscript"/>
              </w:rPr>
              <w:t>Adjusted Free Cash Flow</w:t>
            </w:r>
            <w:r>
              <w:rPr>
                <w:rFonts w:ascii="Arial" w:cs="Arial" w:eastAsia="Arial" w:hAnsi="Arial"/>
                <w:sz w:val="18"/>
                <w:szCs w:val="18"/>
                <w:b w:val="1"/>
                <w:bCs w:val="1"/>
                <w:color w:val="auto"/>
              </w:rPr>
              <w:t>Adjusted free cash flow</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w:t>
            </w:r>
          </w:p>
        </w:tc>
        <w:tc>
          <w:tcPr>
            <w:tcW w:w="3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752</w:t>
            </w:r>
          </w:p>
        </w:tc>
        <w:tc>
          <w:tcPr>
            <w:tcW w:w="3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w:t>
            </w:r>
          </w:p>
        </w:tc>
        <w:tc>
          <w:tcPr>
            <w:tcW w:w="36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756</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63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auto"/>
              <w:bottom w:val="single" w:sz="8" w:color="auto"/>
            </w:tcBorders>
          </w:tcPr>
          <w:p>
            <w:pPr>
              <w:spacing w:after="0"/>
              <w:rPr>
                <w:sz w:val="10"/>
                <w:szCs w:val="10"/>
                <w:color w:val="auto"/>
              </w:rPr>
            </w:pPr>
          </w:p>
        </w:tc>
        <w:tc>
          <w:tcPr>
            <w:tcW w:w="4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ind w:left="420" w:hanging="331"/>
        <w:spacing w:after="0" w:line="253" w:lineRule="auto"/>
        <w:tabs>
          <w:tab w:leader="none" w:pos="46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September 2021, the Company made a contribution of $271 million to its UK. defined benefit pension plan in advance of a full settlement of the plan’s obligations in November 2021. Of the $271 million, the Company was reimbursed $55 million in the fourth quarter of 2021 and expects to receive an additional $110 million of reimbursement in 2022 and 2023 as the plan sells its remaining illiquid assets.</w:t>
      </w:r>
    </w:p>
    <w:p>
      <w:pPr>
        <w:spacing w:after="0" w:line="191" w:lineRule="exact"/>
        <w:rPr>
          <w:rFonts w:ascii="Arial" w:cs="Arial" w:eastAsia="Arial" w:hAnsi="Arial"/>
          <w:sz w:val="17"/>
          <w:szCs w:val="17"/>
          <w:color w:val="auto"/>
        </w:rPr>
      </w:pPr>
    </w:p>
    <w:p>
      <w:pPr>
        <w:ind w:left="400" w:hanging="311"/>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benefit of cross currency swaps included in investing activities.</w:t>
      </w:r>
    </w:p>
    <w:p>
      <w:pPr>
        <w:spacing w:after="0" w:line="225" w:lineRule="exact"/>
        <w:rPr>
          <w:rFonts w:ascii="Arial" w:cs="Arial" w:eastAsia="Arial" w:hAnsi="Arial"/>
          <w:sz w:val="18"/>
          <w:szCs w:val="18"/>
          <w:color w:val="auto"/>
        </w:rPr>
      </w:pPr>
    </w:p>
    <w:p>
      <w:pPr>
        <w:ind w:left="400" w:hanging="311"/>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Transaction fees and costs related to the sale of the Company’s European Tinplate business.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Reconciliation of Adjusted EBITDA and Net Leverage Ratio</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6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20"/>
                <w:szCs w:val="20"/>
                <w:b w:val="1"/>
                <w:bCs w:val="1"/>
                <w:color w:val="auto"/>
              </w:rPr>
              <w:t>2021</w:t>
            </w:r>
          </w:p>
        </w:tc>
        <w:tc>
          <w:tcPr>
            <w:tcW w:w="2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69"/>
              <w:spacing w:after="0"/>
              <w:rPr>
                <w:sz w:val="20"/>
                <w:szCs w:val="20"/>
                <w:color w:val="auto"/>
              </w:rPr>
            </w:pPr>
            <w:r>
              <w:rPr>
                <w:rFonts w:ascii="Arial" w:cs="Arial" w:eastAsia="Arial" w:hAnsi="Arial"/>
                <w:sz w:val="20"/>
                <w:szCs w:val="20"/>
                <w:b w:val="1"/>
                <w:bCs w:val="1"/>
                <w:color w:val="auto"/>
              </w:rPr>
              <w:t>2020</w:t>
            </w: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1,363</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1,048</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Intangibles amortization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3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and other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income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r>
      <w:tr>
        <w:trPr>
          <w:trHeight w:val="230"/>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r>
      <w:tr>
        <w:trPr>
          <w:trHeight w:val="24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w:t>
            </w:r>
          </w:p>
        </w:tc>
      </w:tr>
      <w:tr>
        <w:trPr>
          <w:trHeight w:val="229"/>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w:t>
            </w: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r>
      <w:tr>
        <w:trPr>
          <w:trHeight w:val="24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debt at December 31</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5,731</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leverage ratio</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3.2x</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11</w:t>
      </w:r>
    </w:p>
    <w:sectPr>
      <w:pgSz w:w="11900" w:h="16838" w:orient="portrait"/>
      <w:cols w:equalWidth="0" w:num="1">
        <w:col w:w="11240"/>
      </w:cols>
      <w:pgMar w:left="320" w:top="5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99"/>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4"/>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2022-02-08T15:46:28Z</dcterms:created>
  <dcterms:modified xsi:type="dcterms:W3CDTF">2022-02-08T15:46:28Z</dcterms:modified>
</cp:coreProperties>
</file>