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___)*</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Crown Holdings, Inc.</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Par Value $5.00 per share</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228368106</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Jesse A. Lynn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Chief Operating Officer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Icahn Capital 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16690 Collins Avenue, PH-1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Sunny Isles Beach, FL 33160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(305) 422-4100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October 25, 2022</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right="38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79" w:lineRule="exact"/>
        <w:rPr>
          <w:sz w:val="24"/>
          <w:szCs w:val="24"/>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Rule 240.13d-7 for other parties to whom copies are to be sent.</w:t>
      </w:r>
    </w:p>
    <w:p>
      <w:pPr>
        <w:spacing w:after="0" w:line="162"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972185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360" w:right="472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Icahn Partners Master Fund LP</w:t>
      </w:r>
    </w:p>
    <w:p>
      <w:pPr>
        <w:spacing w:after="0" w:line="1"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1600" w:hanging="242"/>
        <w:spacing w:after="0" w:line="207" w:lineRule="exact"/>
        <w:tabs>
          <w:tab w:leader="none" w:pos="160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620" w:hanging="262"/>
        <w:spacing w:after="0" w:line="207" w:lineRule="exact"/>
        <w:tabs>
          <w:tab w:leader="none" w:pos="1620" w:val="left"/>
        </w:tabs>
        <w:numPr>
          <w:ilvl w:val="1"/>
          <w:numId w:val="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40" w:lineRule="exact"/>
        <w:rPr>
          <w:rFonts w:ascii="Times New Roman" w:cs="Times New Roman" w:eastAsia="Times New Roman" w:hAnsi="Times New Roman"/>
          <w:sz w:val="18"/>
          <w:szCs w:val="18"/>
          <w:color w:val="auto"/>
        </w:rPr>
      </w:pPr>
    </w:p>
    <w:p>
      <w:pPr>
        <w:ind w:left="1360" w:right="8260" w:hanging="1352"/>
        <w:spacing w:after="0" w:line="386" w:lineRule="auto"/>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WC</w:t>
      </w:r>
    </w:p>
    <w:p>
      <w:pPr>
        <w:ind w:left="1360" w:hanging="1352"/>
        <w:spacing w:after="0" w:line="207" w:lineRule="exact"/>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top w:val="single" w:sz="8" w:color="auto"/>
            </w:tcBorders>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85"/>
              </w:rPr>
              <w:t>(7)</w:t>
            </w:r>
          </w:p>
        </w:tc>
        <w:tc>
          <w:tcPr>
            <w:tcW w:w="9500" w:type="dxa"/>
            <w:vAlign w:val="bottom"/>
            <w:tcBorders>
              <w:top w:val="single" w:sz="8" w:color="auto"/>
            </w:tcBorders>
          </w:tcPr>
          <w:p>
            <w:pPr>
              <w:ind w:left="180"/>
              <w:spacing w:after="0" w:line="205"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Pr>
          <w:p>
            <w:pPr>
              <w:spacing w:after="0"/>
              <w:rPr>
                <w:sz w:val="18"/>
                <w:szCs w:val="18"/>
                <w:color w:val="auto"/>
              </w:rPr>
            </w:pPr>
          </w:p>
        </w:tc>
        <w:tc>
          <w:tcPr>
            <w:tcW w:w="9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4,246,014 (includes shares of Common Stock underlying forward contracts. See Item 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w:t>
            </w:r>
          </w:p>
        </w:tc>
        <w:tc>
          <w:tcPr>
            <w:tcW w:w="380" w:type="dxa"/>
            <w:vAlign w:val="bottom"/>
            <w:tcBorders>
              <w:bottom w:val="single" w:sz="8" w:color="auto"/>
            </w:tcBorders>
          </w:tcPr>
          <w:p>
            <w:pPr>
              <w:spacing w:after="0"/>
              <w:rPr>
                <w:sz w:val="12"/>
                <w:szCs w:val="12"/>
                <w:color w:val="auto"/>
              </w:rPr>
            </w:pPr>
          </w:p>
        </w:tc>
        <w:tc>
          <w:tcPr>
            <w:tcW w:w="9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360" w:type="dxa"/>
            <w:vAlign w:val="bottom"/>
            <w:vMerge w:val="continue"/>
          </w:tcPr>
          <w:p>
            <w:pPr>
              <w:spacing w:after="0"/>
              <w:rPr>
                <w:sz w:val="4"/>
                <w:szCs w:val="4"/>
                <w:color w:val="auto"/>
              </w:rPr>
            </w:pPr>
          </w:p>
        </w:tc>
        <w:tc>
          <w:tcPr>
            <w:tcW w:w="380" w:type="dxa"/>
            <w:vAlign w:val="bottom"/>
            <w:vMerge w:val="restart"/>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w w:val="85"/>
              </w:rPr>
              <w:t>(8)</w:t>
            </w:r>
          </w:p>
        </w:tc>
        <w:tc>
          <w:tcPr>
            <w:tcW w:w="9500" w:type="dxa"/>
            <w:vAlign w:val="bottom"/>
            <w:vMerge w:val="restart"/>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8"/>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 Each</w:t>
            </w:r>
          </w:p>
        </w:tc>
        <w:tc>
          <w:tcPr>
            <w:tcW w:w="38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50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4,246,014 (includes shares of Common Stock underlying forward contracts. See Item 5)</w:t>
            </w:r>
          </w:p>
        </w:tc>
        <w:tc>
          <w:tcPr>
            <w:tcW w:w="0" w:type="dxa"/>
            <w:vAlign w:val="bottom"/>
          </w:tcPr>
          <w:p>
            <w:pPr>
              <w:spacing w:after="0"/>
              <w:rPr>
                <w:sz w:val="1"/>
                <w:szCs w:val="1"/>
                <w:color w:val="auto"/>
              </w:rPr>
            </w:pPr>
          </w:p>
        </w:tc>
      </w:tr>
      <w:tr>
        <w:trPr>
          <w:trHeight w:val="174"/>
        </w:trPr>
        <w:tc>
          <w:tcPr>
            <w:tcW w:w="136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Reporting</w:t>
            </w:r>
          </w:p>
        </w:tc>
        <w:tc>
          <w:tcPr>
            <w:tcW w:w="380" w:type="dxa"/>
            <w:vAlign w:val="bottom"/>
            <w:tcBorders>
              <w:bottom w:val="single" w:sz="8" w:color="auto"/>
            </w:tcBorders>
          </w:tcPr>
          <w:p>
            <w:pPr>
              <w:spacing w:after="0"/>
              <w:rPr>
                <w:sz w:val="15"/>
                <w:szCs w:val="15"/>
                <w:color w:val="auto"/>
              </w:rPr>
            </w:pPr>
          </w:p>
        </w:tc>
        <w:tc>
          <w:tcPr>
            <w:tcW w:w="9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5"/>
              </w:rPr>
              <w:t>(9)</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4,246,014 (includes shares of Common Stock underlying forward contracts.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17145</wp:posOffset>
            </wp:positionV>
            <wp:extent cx="62750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16" w:lineRule="exact"/>
        <w:rPr>
          <w:sz w:val="20"/>
          <w:szCs w:val="20"/>
          <w:color w:val="auto"/>
        </w:rPr>
      </w:pPr>
    </w:p>
    <w:p>
      <w:pPr>
        <w:ind w:left="1920" w:hanging="562"/>
        <w:spacing w:after="0"/>
        <w:tabs>
          <w:tab w:leader="none" w:pos="19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4,246,014 (includes shares of Common Stock underlying forward contracts.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360" w:right="3320" w:hanging="1352"/>
        <w:spacing w:after="0" w:line="276" w:lineRule="auto"/>
        <w:tabs>
          <w:tab w:leader="none" w:pos="13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4,246,014 (includes shares of Common Stock underlying forward contracts. See Item 5)</w:t>
      </w:r>
    </w:p>
    <w:p>
      <w:pPr>
        <w:ind w:left="1360" w:hanging="1352"/>
        <w:spacing w:after="0" w:line="207" w:lineRule="exact"/>
        <w:tabs>
          <w:tab w:leader="none" w:pos="1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right="4740" w:hanging="1352"/>
        <w:spacing w:after="0" w:line="516" w:lineRule="auto"/>
        <w:tabs>
          <w:tab w:leader="none" w:pos="1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3.54%</w:t>
      </w:r>
    </w:p>
    <w:p>
      <w:pPr>
        <w:ind w:left="1360" w:right="7380" w:hanging="1352"/>
        <w:spacing w:after="0" w:line="282" w:lineRule="auto"/>
        <w:tabs>
          <w:tab w:leader="none" w:pos="1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-1170940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360" w:right="472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Icahn Offshore LP</w:t>
      </w:r>
    </w:p>
    <w:p>
      <w:pPr>
        <w:spacing w:after="0" w:line="1"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1600" w:hanging="242"/>
        <w:spacing w:after="0" w:line="207" w:lineRule="exact"/>
        <w:tabs>
          <w:tab w:leader="none" w:pos="160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620" w:hanging="262"/>
        <w:spacing w:after="0" w:line="207" w:lineRule="exact"/>
        <w:tabs>
          <w:tab w:leader="none" w:pos="1620" w:val="left"/>
        </w:tabs>
        <w:numPr>
          <w:ilvl w:val="1"/>
          <w:numId w:val="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40" w:lineRule="exact"/>
        <w:rPr>
          <w:rFonts w:ascii="Times New Roman" w:cs="Times New Roman" w:eastAsia="Times New Roman" w:hAnsi="Times New Roman"/>
          <w:sz w:val="18"/>
          <w:szCs w:val="18"/>
          <w:color w:val="auto"/>
        </w:rPr>
      </w:pPr>
    </w:p>
    <w:p>
      <w:pPr>
        <w:ind w:left="1360" w:right="8260" w:hanging="1352"/>
        <w:spacing w:after="0" w:line="386" w:lineRule="auto"/>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ind w:left="1360" w:hanging="1352"/>
        <w:spacing w:after="0" w:line="207" w:lineRule="exact"/>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top w:val="single" w:sz="8" w:color="auto"/>
            </w:tcBorders>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85"/>
              </w:rPr>
              <w:t>(7)</w:t>
            </w:r>
          </w:p>
        </w:tc>
        <w:tc>
          <w:tcPr>
            <w:tcW w:w="9500" w:type="dxa"/>
            <w:vAlign w:val="bottom"/>
            <w:tcBorders>
              <w:top w:val="single" w:sz="8" w:color="auto"/>
            </w:tcBorders>
          </w:tcPr>
          <w:p>
            <w:pPr>
              <w:ind w:left="180"/>
              <w:spacing w:after="0" w:line="205"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1"/>
        </w:trPr>
        <w:tc>
          <w:tcPr>
            <w:tcW w:w="13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Owned</w:t>
            </w:r>
          </w:p>
        </w:tc>
        <w:tc>
          <w:tcPr>
            <w:tcW w:w="380" w:type="dxa"/>
            <w:vAlign w:val="bottom"/>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5"/>
              </w:rPr>
              <w:t>(8)</w:t>
            </w:r>
          </w:p>
        </w:tc>
        <w:tc>
          <w:tcPr>
            <w:tcW w:w="950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4,246,014 (includes shares of Common Stock underlying forward contracts. See Item 5)</w:t>
            </w:r>
          </w:p>
        </w:tc>
        <w:tc>
          <w:tcPr>
            <w:tcW w:w="0" w:type="dxa"/>
            <w:vAlign w:val="bottom"/>
          </w:tcPr>
          <w:p>
            <w:pPr>
              <w:spacing w:after="0"/>
              <w:rPr>
                <w:sz w:val="1"/>
                <w:szCs w:val="1"/>
                <w:color w:val="auto"/>
              </w:rPr>
            </w:pPr>
          </w:p>
        </w:tc>
      </w:tr>
      <w:tr>
        <w:trPr>
          <w:trHeight w:val="5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w w:val="85"/>
              </w:rPr>
              <w:t>(9)</w:t>
            </w:r>
          </w:p>
        </w:tc>
        <w:tc>
          <w:tcPr>
            <w:tcW w:w="9500" w:type="dxa"/>
            <w:vAlign w:val="bottom"/>
          </w:tcPr>
          <w:p>
            <w:pPr>
              <w:ind w:left="18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4,246,014 (includes shares of Common Stock underlying forward contracts. See Item 5)</w:t>
      </w:r>
    </w:p>
    <w:p>
      <w:pPr>
        <w:spacing w:after="0" w:line="17" w:lineRule="exact"/>
        <w:rPr>
          <w:rFonts w:ascii="Times New Roman" w:cs="Times New Roman" w:eastAsia="Times New Roman" w:hAnsi="Times New Roman"/>
          <w:sz w:val="18"/>
          <w:szCs w:val="18"/>
          <w:color w:val="auto"/>
        </w:rPr>
      </w:pPr>
    </w:p>
    <w:p>
      <w:pPr>
        <w:ind w:left="1360" w:right="3320" w:hanging="1352"/>
        <w:spacing w:after="0" w:line="276" w:lineRule="auto"/>
        <w:tabs>
          <w:tab w:leader="none" w:pos="1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4,246,014 (includes shares of Common Stock underlying forward contracts. See Item 5)</w:t>
      </w:r>
    </w:p>
    <w:p>
      <w:pPr>
        <w:ind w:left="1360" w:hanging="1352"/>
        <w:spacing w:after="0" w:line="207" w:lineRule="exact"/>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right="4740" w:hanging="1352"/>
        <w:spacing w:after="0" w:line="516"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3.54%</w:t>
      </w:r>
    </w:p>
    <w:p>
      <w:pPr>
        <w:ind w:left="1360" w:right="7380" w:hanging="1352"/>
        <w:spacing w:after="0" w:line="282"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-1170940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-1462405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360" w:right="472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Icahn Partners LP</w:t>
      </w:r>
    </w:p>
    <w:p>
      <w:pPr>
        <w:spacing w:after="0" w:line="1"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1600" w:hanging="242"/>
        <w:spacing w:after="0" w:line="207" w:lineRule="exact"/>
        <w:tabs>
          <w:tab w:leader="none" w:pos="160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620" w:hanging="262"/>
        <w:spacing w:after="0" w:line="207" w:lineRule="exact"/>
        <w:tabs>
          <w:tab w:leader="none" w:pos="1620" w:val="left"/>
        </w:tabs>
        <w:numPr>
          <w:ilvl w:val="1"/>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40" w:lineRule="exact"/>
        <w:rPr>
          <w:rFonts w:ascii="Times New Roman" w:cs="Times New Roman" w:eastAsia="Times New Roman" w:hAnsi="Times New Roman"/>
          <w:sz w:val="18"/>
          <w:szCs w:val="18"/>
          <w:color w:val="auto"/>
        </w:rPr>
      </w:pPr>
    </w:p>
    <w:p>
      <w:pPr>
        <w:ind w:left="1360" w:right="8260" w:hanging="1352"/>
        <w:spacing w:after="0" w:line="386" w:lineRule="auto"/>
        <w:tabs>
          <w:tab w:leader="none" w:pos="1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WC</w:t>
      </w:r>
    </w:p>
    <w:p>
      <w:pPr>
        <w:ind w:left="1360" w:hanging="1352"/>
        <w:spacing w:after="0" w:line="207" w:lineRule="exact"/>
        <w:tabs>
          <w:tab w:leader="none" w:pos="1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top w:val="single" w:sz="8" w:color="auto"/>
            </w:tcBorders>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85"/>
              </w:rPr>
              <w:t>(7)</w:t>
            </w:r>
          </w:p>
        </w:tc>
        <w:tc>
          <w:tcPr>
            <w:tcW w:w="9500" w:type="dxa"/>
            <w:vAlign w:val="bottom"/>
            <w:tcBorders>
              <w:top w:val="single" w:sz="8" w:color="auto"/>
            </w:tcBorders>
          </w:tcPr>
          <w:p>
            <w:pPr>
              <w:ind w:left="180"/>
              <w:spacing w:after="0" w:line="205"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Pr>
          <w:p>
            <w:pPr>
              <w:spacing w:after="0"/>
              <w:rPr>
                <w:sz w:val="18"/>
                <w:szCs w:val="18"/>
                <w:color w:val="auto"/>
              </w:rPr>
            </w:pPr>
          </w:p>
        </w:tc>
        <w:tc>
          <w:tcPr>
            <w:tcW w:w="9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5,955,159 (includes shares of Common Stock underlying forward contracts. See Item 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Pr>
          <w:p>
            <w:pPr>
              <w:spacing w:after="0"/>
              <w:rPr>
                <w:sz w:val="18"/>
                <w:szCs w:val="18"/>
                <w:color w:val="auto"/>
              </w:rPr>
            </w:pPr>
          </w:p>
        </w:tc>
        <w:tc>
          <w:tcPr>
            <w:tcW w:w="9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Owned</w:t>
            </w:r>
          </w:p>
        </w:tc>
        <w:tc>
          <w:tcPr>
            <w:tcW w:w="380" w:type="dxa"/>
            <w:vAlign w:val="bottom"/>
            <w:tcBorders>
              <w:bottom w:val="single" w:sz="8" w:color="auto"/>
            </w:tcBorders>
          </w:tcPr>
          <w:p>
            <w:pPr>
              <w:spacing w:after="0"/>
              <w:rPr>
                <w:sz w:val="12"/>
                <w:szCs w:val="12"/>
                <w:color w:val="auto"/>
              </w:rPr>
            </w:pPr>
          </w:p>
        </w:tc>
        <w:tc>
          <w:tcPr>
            <w:tcW w:w="9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9"/>
        </w:trPr>
        <w:tc>
          <w:tcPr>
            <w:tcW w:w="1360" w:type="dxa"/>
            <w:vAlign w:val="bottom"/>
            <w:vMerge w:val="continue"/>
          </w:tcPr>
          <w:p>
            <w:pPr>
              <w:spacing w:after="0"/>
              <w:rPr>
                <w:sz w:val="4"/>
                <w:szCs w:val="4"/>
                <w:color w:val="auto"/>
              </w:rPr>
            </w:pPr>
          </w:p>
        </w:tc>
        <w:tc>
          <w:tcPr>
            <w:tcW w:w="380" w:type="dxa"/>
            <w:vAlign w:val="bottom"/>
            <w:vMerge w:val="restart"/>
          </w:tcPr>
          <w:p>
            <w:pPr>
              <w:jc w:val="right"/>
              <w:ind w:right="90"/>
              <w:spacing w:after="0" w:line="198" w:lineRule="exact"/>
              <w:rPr>
                <w:sz w:val="20"/>
                <w:szCs w:val="20"/>
                <w:color w:val="auto"/>
              </w:rPr>
            </w:pPr>
            <w:r>
              <w:rPr>
                <w:rFonts w:ascii="Times New Roman" w:cs="Times New Roman" w:eastAsia="Times New Roman" w:hAnsi="Times New Roman"/>
                <w:sz w:val="18"/>
                <w:szCs w:val="18"/>
                <w:color w:val="auto"/>
                <w:w w:val="85"/>
              </w:rPr>
              <w:t>(8)</w:t>
            </w:r>
          </w:p>
        </w:tc>
        <w:tc>
          <w:tcPr>
            <w:tcW w:w="9500" w:type="dxa"/>
            <w:vAlign w:val="bottom"/>
            <w:vMerge w:val="restart"/>
          </w:tcPr>
          <w:p>
            <w:pPr>
              <w:ind w:left="180"/>
              <w:spacing w:after="0" w:line="198"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48"/>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 Each</w:t>
            </w:r>
          </w:p>
        </w:tc>
        <w:tc>
          <w:tcPr>
            <w:tcW w:w="380" w:type="dxa"/>
            <w:vAlign w:val="bottom"/>
            <w:vMerge w:val="continue"/>
          </w:tcPr>
          <w:p>
            <w:pPr>
              <w:spacing w:after="0"/>
              <w:rPr>
                <w:sz w:val="12"/>
                <w:szCs w:val="12"/>
                <w:color w:val="auto"/>
              </w:rPr>
            </w:pPr>
          </w:p>
        </w:tc>
        <w:tc>
          <w:tcPr>
            <w:tcW w:w="9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3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9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5,955,259 (includes shares of Common Stock underlying forward contracts. See Item 5)</w:t>
            </w:r>
          </w:p>
        </w:tc>
        <w:tc>
          <w:tcPr>
            <w:tcW w:w="0" w:type="dxa"/>
            <w:vAlign w:val="bottom"/>
          </w:tcPr>
          <w:p>
            <w:pPr>
              <w:spacing w:after="0"/>
              <w:rPr>
                <w:sz w:val="1"/>
                <w:szCs w:val="1"/>
                <w:color w:val="auto"/>
              </w:rPr>
            </w:pPr>
          </w:p>
        </w:tc>
      </w:tr>
      <w:tr>
        <w:trPr>
          <w:trHeight w:val="174"/>
        </w:trPr>
        <w:tc>
          <w:tcPr>
            <w:tcW w:w="136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Reporting</w:t>
            </w:r>
          </w:p>
        </w:tc>
        <w:tc>
          <w:tcPr>
            <w:tcW w:w="380" w:type="dxa"/>
            <w:vAlign w:val="bottom"/>
            <w:tcBorders>
              <w:bottom w:val="single" w:sz="8" w:color="auto"/>
            </w:tcBorders>
          </w:tcPr>
          <w:p>
            <w:pPr>
              <w:spacing w:after="0"/>
              <w:rPr>
                <w:sz w:val="15"/>
                <w:szCs w:val="15"/>
                <w:color w:val="auto"/>
              </w:rPr>
            </w:pPr>
          </w:p>
        </w:tc>
        <w:tc>
          <w:tcPr>
            <w:tcW w:w="95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5"/>
              </w:rPr>
              <w:t>(9)</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5,955,159 (includes shares of Common Stock underlying forward contracts. See Item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17145</wp:posOffset>
            </wp:positionV>
            <wp:extent cx="627507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spacing w:after="0" w:line="16" w:lineRule="exact"/>
        <w:rPr>
          <w:sz w:val="20"/>
          <w:szCs w:val="20"/>
          <w:color w:val="auto"/>
        </w:rPr>
      </w:pPr>
    </w:p>
    <w:p>
      <w:pPr>
        <w:ind w:left="1920" w:hanging="562"/>
        <w:spacing w:after="0"/>
        <w:tabs>
          <w:tab w:leader="none" w:pos="19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5,955,259 (includes shares of Common Stock underlying forward contracts. See Item 5)</w:t>
      </w:r>
    </w:p>
    <w:p>
      <w:pPr>
        <w:spacing w:after="0" w:line="17" w:lineRule="exact"/>
        <w:rPr>
          <w:rFonts w:ascii="Times New Roman" w:cs="Times New Roman" w:eastAsia="Times New Roman" w:hAnsi="Times New Roman"/>
          <w:sz w:val="18"/>
          <w:szCs w:val="18"/>
          <w:color w:val="auto"/>
        </w:rPr>
      </w:pPr>
    </w:p>
    <w:p>
      <w:pPr>
        <w:ind w:left="1360" w:right="3320" w:hanging="1352"/>
        <w:spacing w:after="0" w:line="276" w:lineRule="auto"/>
        <w:tabs>
          <w:tab w:leader="none" w:pos="13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5,955,259 (includes shares of Common Stock underlying forward contracts. See Item 5)</w:t>
      </w:r>
    </w:p>
    <w:p>
      <w:pPr>
        <w:ind w:left="1360" w:hanging="1352"/>
        <w:spacing w:after="0" w:line="207" w:lineRule="exact"/>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right="4740" w:hanging="1352"/>
        <w:spacing w:after="0" w:line="516" w:lineRule="auto"/>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4.96%</w:t>
      </w:r>
    </w:p>
    <w:p>
      <w:pPr>
        <w:ind w:left="1360" w:right="7380" w:hanging="1352"/>
        <w:spacing w:after="0" w:line="282" w:lineRule="auto"/>
        <w:tabs>
          <w:tab w:leader="none" w:pos="13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-1170940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-1462405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360" w:right="472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Icahn Onshore LP</w:t>
      </w:r>
    </w:p>
    <w:p>
      <w:pPr>
        <w:spacing w:after="0" w:line="1"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1600" w:hanging="242"/>
        <w:spacing w:after="0" w:line="207" w:lineRule="exact"/>
        <w:tabs>
          <w:tab w:leader="none" w:pos="160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620" w:hanging="262"/>
        <w:spacing w:after="0" w:line="207" w:lineRule="exact"/>
        <w:tabs>
          <w:tab w:leader="none" w:pos="1620" w:val="left"/>
        </w:tabs>
        <w:numPr>
          <w:ilvl w:val="1"/>
          <w:numId w:val="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40" w:lineRule="exact"/>
        <w:rPr>
          <w:rFonts w:ascii="Times New Roman" w:cs="Times New Roman" w:eastAsia="Times New Roman" w:hAnsi="Times New Roman"/>
          <w:sz w:val="18"/>
          <w:szCs w:val="18"/>
          <w:color w:val="auto"/>
        </w:rPr>
      </w:pPr>
    </w:p>
    <w:p>
      <w:pPr>
        <w:ind w:left="1360" w:right="8260" w:hanging="1352"/>
        <w:spacing w:after="0" w:line="386" w:lineRule="auto"/>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ind w:left="1360" w:hanging="1352"/>
        <w:spacing w:after="0" w:line="207" w:lineRule="exact"/>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top w:val="single" w:sz="8" w:color="auto"/>
            </w:tcBorders>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85"/>
              </w:rPr>
              <w:t>(7)</w:t>
            </w:r>
          </w:p>
        </w:tc>
        <w:tc>
          <w:tcPr>
            <w:tcW w:w="9500" w:type="dxa"/>
            <w:vAlign w:val="bottom"/>
            <w:tcBorders>
              <w:top w:val="single" w:sz="8" w:color="auto"/>
            </w:tcBorders>
          </w:tcPr>
          <w:p>
            <w:pPr>
              <w:ind w:left="180"/>
              <w:spacing w:after="0" w:line="205"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1"/>
        </w:trPr>
        <w:tc>
          <w:tcPr>
            <w:tcW w:w="13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Owned</w:t>
            </w:r>
          </w:p>
        </w:tc>
        <w:tc>
          <w:tcPr>
            <w:tcW w:w="380" w:type="dxa"/>
            <w:vAlign w:val="bottom"/>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5"/>
              </w:rPr>
              <w:t>(8)</w:t>
            </w:r>
          </w:p>
        </w:tc>
        <w:tc>
          <w:tcPr>
            <w:tcW w:w="950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5,955,259 (includes shares of Common Stock underlying forward contracts. See Item 5)</w:t>
            </w:r>
          </w:p>
        </w:tc>
        <w:tc>
          <w:tcPr>
            <w:tcW w:w="0" w:type="dxa"/>
            <w:vAlign w:val="bottom"/>
          </w:tcPr>
          <w:p>
            <w:pPr>
              <w:spacing w:after="0"/>
              <w:rPr>
                <w:sz w:val="1"/>
                <w:szCs w:val="1"/>
                <w:color w:val="auto"/>
              </w:rPr>
            </w:pPr>
          </w:p>
        </w:tc>
      </w:tr>
      <w:tr>
        <w:trPr>
          <w:trHeight w:val="5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w w:val="85"/>
              </w:rPr>
              <w:t>(9)</w:t>
            </w:r>
          </w:p>
        </w:tc>
        <w:tc>
          <w:tcPr>
            <w:tcW w:w="9500" w:type="dxa"/>
            <w:vAlign w:val="bottom"/>
          </w:tcPr>
          <w:p>
            <w:pPr>
              <w:ind w:left="18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5,955,259 (includes shares of Common Stock underlying forward contracts. See Item 5)</w:t>
      </w:r>
    </w:p>
    <w:p>
      <w:pPr>
        <w:spacing w:after="0" w:line="17" w:lineRule="exact"/>
        <w:rPr>
          <w:rFonts w:ascii="Times New Roman" w:cs="Times New Roman" w:eastAsia="Times New Roman" w:hAnsi="Times New Roman"/>
          <w:sz w:val="18"/>
          <w:szCs w:val="18"/>
          <w:color w:val="auto"/>
        </w:rPr>
      </w:pPr>
    </w:p>
    <w:p>
      <w:pPr>
        <w:ind w:left="1360" w:right="3320" w:hanging="1352"/>
        <w:spacing w:after="0" w:line="276" w:lineRule="auto"/>
        <w:tabs>
          <w:tab w:leader="none" w:pos="13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5,955,259 (includes shares of Common Stock underlying forward contracts. See Item 5)</w:t>
      </w:r>
    </w:p>
    <w:p>
      <w:pPr>
        <w:ind w:left="1360" w:hanging="1352"/>
        <w:spacing w:after="0" w:line="207" w:lineRule="exact"/>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right="4740" w:hanging="1352"/>
        <w:spacing w:after="0" w:line="516" w:lineRule="auto"/>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4.96%</w:t>
      </w:r>
    </w:p>
    <w:p>
      <w:pPr>
        <w:ind w:left="1360" w:right="7380" w:hanging="1352"/>
        <w:spacing w:after="0" w:line="282" w:lineRule="auto"/>
        <w:tabs>
          <w:tab w:leader="none" w:pos="1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-1170940</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-1462405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360" w:right="472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Icahn Capital LP</w:t>
      </w:r>
    </w:p>
    <w:p>
      <w:pPr>
        <w:spacing w:after="0" w:line="1"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1600" w:hanging="242"/>
        <w:spacing w:after="0" w:line="207" w:lineRule="exact"/>
        <w:tabs>
          <w:tab w:leader="none" w:pos="160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620" w:hanging="262"/>
        <w:spacing w:after="0" w:line="207" w:lineRule="exact"/>
        <w:tabs>
          <w:tab w:leader="none" w:pos="1620" w:val="left"/>
        </w:tabs>
        <w:numPr>
          <w:ilvl w:val="1"/>
          <w:numId w:val="1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40" w:lineRule="exact"/>
        <w:rPr>
          <w:rFonts w:ascii="Times New Roman" w:cs="Times New Roman" w:eastAsia="Times New Roman" w:hAnsi="Times New Roman"/>
          <w:sz w:val="18"/>
          <w:szCs w:val="18"/>
          <w:color w:val="auto"/>
        </w:rPr>
      </w:pPr>
    </w:p>
    <w:p>
      <w:pPr>
        <w:ind w:left="1360" w:right="8260" w:hanging="1352"/>
        <w:spacing w:after="0" w:line="386" w:lineRule="auto"/>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ind w:left="1360" w:hanging="1352"/>
        <w:spacing w:after="0" w:line="207" w:lineRule="exact"/>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top w:val="single" w:sz="8" w:color="auto"/>
            </w:tcBorders>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85"/>
              </w:rPr>
              <w:t>(7)</w:t>
            </w:r>
          </w:p>
        </w:tc>
        <w:tc>
          <w:tcPr>
            <w:tcW w:w="9500" w:type="dxa"/>
            <w:vAlign w:val="bottom"/>
            <w:tcBorders>
              <w:top w:val="single" w:sz="8" w:color="auto"/>
            </w:tcBorders>
          </w:tcPr>
          <w:p>
            <w:pPr>
              <w:ind w:left="180"/>
              <w:spacing w:after="0" w:line="205"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1"/>
        </w:trPr>
        <w:tc>
          <w:tcPr>
            <w:tcW w:w="13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Owned</w:t>
            </w:r>
          </w:p>
        </w:tc>
        <w:tc>
          <w:tcPr>
            <w:tcW w:w="380" w:type="dxa"/>
            <w:vAlign w:val="bottom"/>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5"/>
              </w:rPr>
              <w:t>(8)</w:t>
            </w:r>
          </w:p>
        </w:tc>
        <w:tc>
          <w:tcPr>
            <w:tcW w:w="950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10,201,273 (includes shares of Common Stock underlying forward contracts. See Item 5)</w:t>
            </w:r>
          </w:p>
        </w:tc>
        <w:tc>
          <w:tcPr>
            <w:tcW w:w="0" w:type="dxa"/>
            <w:vAlign w:val="bottom"/>
          </w:tcPr>
          <w:p>
            <w:pPr>
              <w:spacing w:after="0"/>
              <w:rPr>
                <w:sz w:val="1"/>
                <w:szCs w:val="1"/>
                <w:color w:val="auto"/>
              </w:rPr>
            </w:pPr>
          </w:p>
        </w:tc>
      </w:tr>
      <w:tr>
        <w:trPr>
          <w:trHeight w:val="5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w w:val="85"/>
              </w:rPr>
              <w:t>(9)</w:t>
            </w:r>
          </w:p>
        </w:tc>
        <w:tc>
          <w:tcPr>
            <w:tcW w:w="9500" w:type="dxa"/>
            <w:vAlign w:val="bottom"/>
          </w:tcPr>
          <w:p>
            <w:pPr>
              <w:ind w:left="18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10,201,273 (includes shares of Common Stock underlying forward contracts. See Item 5)</w:t>
      </w:r>
    </w:p>
    <w:p>
      <w:pPr>
        <w:spacing w:after="0" w:line="17" w:lineRule="exact"/>
        <w:rPr>
          <w:rFonts w:ascii="Times New Roman" w:cs="Times New Roman" w:eastAsia="Times New Roman" w:hAnsi="Times New Roman"/>
          <w:sz w:val="18"/>
          <w:szCs w:val="18"/>
          <w:color w:val="auto"/>
        </w:rPr>
      </w:pPr>
    </w:p>
    <w:p>
      <w:pPr>
        <w:ind w:left="1360" w:right="3320" w:hanging="1352"/>
        <w:spacing w:after="0" w:line="276" w:lineRule="auto"/>
        <w:tabs>
          <w:tab w:leader="none" w:pos="13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10,201,273 (includes shares of Common Stock underlying forward contracts. See Item 5)</w:t>
      </w:r>
    </w:p>
    <w:p>
      <w:pPr>
        <w:ind w:left="1360" w:hanging="1352"/>
        <w:spacing w:after="0" w:line="207" w:lineRule="exact"/>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right="4740" w:hanging="1352"/>
        <w:spacing w:after="0" w:line="516" w:lineRule="auto"/>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8.5%</w:t>
      </w:r>
    </w:p>
    <w:p>
      <w:pPr>
        <w:ind w:left="1360" w:right="7380" w:hanging="1352"/>
        <w:spacing w:after="0" w:line="282" w:lineRule="auto"/>
        <w:tabs>
          <w:tab w:leader="none" w:pos="1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-1170940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-1462405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w:t>
      </w:r>
    </w:p>
    <w:p>
      <w:pPr>
        <w:spacing w:after="0" w:line="206" w:lineRule="exact"/>
        <w:rPr>
          <w:rFonts w:ascii="Times New Roman" w:cs="Times New Roman" w:eastAsia="Times New Roman" w:hAnsi="Times New Roman"/>
          <w:sz w:val="18"/>
          <w:szCs w:val="18"/>
          <w:color w:val="auto"/>
        </w:rPr>
      </w:pPr>
    </w:p>
    <w:p>
      <w:pPr>
        <w:ind w:left="1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IPH GP LLC</w:t>
      </w:r>
    </w:p>
    <w:p>
      <w:pPr>
        <w:spacing w:after="0" w:line="36"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1600" w:hanging="242"/>
        <w:spacing w:after="0" w:line="207" w:lineRule="exact"/>
        <w:tabs>
          <w:tab w:leader="none" w:pos="160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620" w:hanging="262"/>
        <w:spacing w:after="0" w:line="207" w:lineRule="exact"/>
        <w:tabs>
          <w:tab w:leader="none" w:pos="1620" w:val="left"/>
        </w:tabs>
        <w:numPr>
          <w:ilvl w:val="1"/>
          <w:numId w:val="1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40" w:lineRule="exact"/>
        <w:rPr>
          <w:rFonts w:ascii="Times New Roman" w:cs="Times New Roman" w:eastAsia="Times New Roman" w:hAnsi="Times New Roman"/>
          <w:sz w:val="18"/>
          <w:szCs w:val="18"/>
          <w:color w:val="auto"/>
        </w:rPr>
      </w:pPr>
    </w:p>
    <w:p>
      <w:pPr>
        <w:ind w:left="1360" w:right="8260" w:hanging="1352"/>
        <w:spacing w:after="0" w:line="386" w:lineRule="auto"/>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ind w:left="1360" w:hanging="1352"/>
        <w:spacing w:after="0" w:line="207" w:lineRule="exact"/>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top w:val="single" w:sz="8" w:color="auto"/>
            </w:tcBorders>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85"/>
              </w:rPr>
              <w:t>(7)</w:t>
            </w:r>
          </w:p>
        </w:tc>
        <w:tc>
          <w:tcPr>
            <w:tcW w:w="9500" w:type="dxa"/>
            <w:vAlign w:val="bottom"/>
            <w:tcBorders>
              <w:top w:val="single" w:sz="8" w:color="auto"/>
            </w:tcBorders>
          </w:tcPr>
          <w:p>
            <w:pPr>
              <w:ind w:left="180"/>
              <w:spacing w:after="0" w:line="205"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1"/>
        </w:trPr>
        <w:tc>
          <w:tcPr>
            <w:tcW w:w="13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Owned</w:t>
            </w:r>
          </w:p>
        </w:tc>
        <w:tc>
          <w:tcPr>
            <w:tcW w:w="380" w:type="dxa"/>
            <w:vAlign w:val="bottom"/>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5"/>
              </w:rPr>
              <w:t>(8)</w:t>
            </w:r>
          </w:p>
        </w:tc>
        <w:tc>
          <w:tcPr>
            <w:tcW w:w="950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10,201,273 (includes shares of Common Stock underlying forward contracts. See Item 5)</w:t>
            </w:r>
          </w:p>
        </w:tc>
        <w:tc>
          <w:tcPr>
            <w:tcW w:w="0" w:type="dxa"/>
            <w:vAlign w:val="bottom"/>
          </w:tcPr>
          <w:p>
            <w:pPr>
              <w:spacing w:after="0"/>
              <w:rPr>
                <w:sz w:val="1"/>
                <w:szCs w:val="1"/>
                <w:color w:val="auto"/>
              </w:rPr>
            </w:pPr>
          </w:p>
        </w:tc>
      </w:tr>
      <w:tr>
        <w:trPr>
          <w:trHeight w:val="5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w w:val="85"/>
              </w:rPr>
              <w:t>(9)</w:t>
            </w:r>
          </w:p>
        </w:tc>
        <w:tc>
          <w:tcPr>
            <w:tcW w:w="9500" w:type="dxa"/>
            <w:vAlign w:val="bottom"/>
          </w:tcPr>
          <w:p>
            <w:pPr>
              <w:ind w:left="18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10,201,273 (includes shares of Common Stock underlying forward contracts. See Item 5)</w:t>
      </w:r>
    </w:p>
    <w:p>
      <w:pPr>
        <w:spacing w:after="0" w:line="17" w:lineRule="exact"/>
        <w:rPr>
          <w:rFonts w:ascii="Times New Roman" w:cs="Times New Roman" w:eastAsia="Times New Roman" w:hAnsi="Times New Roman"/>
          <w:sz w:val="18"/>
          <w:szCs w:val="18"/>
          <w:color w:val="auto"/>
        </w:rPr>
      </w:pPr>
    </w:p>
    <w:p>
      <w:pPr>
        <w:ind w:left="1360" w:right="3320" w:hanging="1352"/>
        <w:spacing w:after="0" w:line="276" w:lineRule="auto"/>
        <w:tabs>
          <w:tab w:leader="none" w:pos="13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10,201,273 (includes shares of Common Stock underlying forward contracts. See Item 5)</w:t>
      </w:r>
    </w:p>
    <w:p>
      <w:pPr>
        <w:ind w:left="1360" w:hanging="1352"/>
        <w:spacing w:after="0" w:line="207" w:lineRule="exact"/>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right="4740" w:hanging="1352"/>
        <w:spacing w:after="0" w:line="516" w:lineRule="auto"/>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8.5%</w:t>
      </w:r>
    </w:p>
    <w:p>
      <w:pPr>
        <w:ind w:left="1360" w:right="7380" w:hanging="1352"/>
        <w:spacing w:after="0" w:line="282" w:lineRule="auto"/>
        <w:tabs>
          <w:tab w:leader="none" w:pos="1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-1170940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-1462405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360" w:right="472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Icahn Enterprises Holdings L.P.</w:t>
      </w:r>
    </w:p>
    <w:p>
      <w:pPr>
        <w:spacing w:after="0" w:line="1"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1600" w:hanging="242"/>
        <w:spacing w:after="0" w:line="207" w:lineRule="exact"/>
        <w:tabs>
          <w:tab w:leader="none" w:pos="160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620" w:hanging="262"/>
        <w:spacing w:after="0" w:line="207" w:lineRule="exact"/>
        <w:tabs>
          <w:tab w:leader="none" w:pos="1620" w:val="left"/>
        </w:tabs>
        <w:numPr>
          <w:ilvl w:val="1"/>
          <w:numId w:val="2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40" w:lineRule="exact"/>
        <w:rPr>
          <w:rFonts w:ascii="Times New Roman" w:cs="Times New Roman" w:eastAsia="Times New Roman" w:hAnsi="Times New Roman"/>
          <w:sz w:val="18"/>
          <w:szCs w:val="18"/>
          <w:color w:val="auto"/>
        </w:rPr>
      </w:pPr>
    </w:p>
    <w:p>
      <w:pPr>
        <w:ind w:left="1360" w:right="8260" w:hanging="1352"/>
        <w:spacing w:after="0" w:line="386" w:lineRule="auto"/>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ind w:left="1360" w:hanging="1352"/>
        <w:spacing w:after="0" w:line="207" w:lineRule="exact"/>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top w:val="single" w:sz="8" w:color="auto"/>
            </w:tcBorders>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85"/>
              </w:rPr>
              <w:t>(7)</w:t>
            </w:r>
          </w:p>
        </w:tc>
        <w:tc>
          <w:tcPr>
            <w:tcW w:w="9500" w:type="dxa"/>
            <w:vAlign w:val="bottom"/>
            <w:tcBorders>
              <w:top w:val="single" w:sz="8" w:color="auto"/>
            </w:tcBorders>
          </w:tcPr>
          <w:p>
            <w:pPr>
              <w:ind w:left="180"/>
              <w:spacing w:after="0" w:line="205"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1"/>
        </w:trPr>
        <w:tc>
          <w:tcPr>
            <w:tcW w:w="13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Owned</w:t>
            </w:r>
          </w:p>
        </w:tc>
        <w:tc>
          <w:tcPr>
            <w:tcW w:w="380" w:type="dxa"/>
            <w:vAlign w:val="bottom"/>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5"/>
              </w:rPr>
              <w:t>(8)</w:t>
            </w:r>
          </w:p>
        </w:tc>
        <w:tc>
          <w:tcPr>
            <w:tcW w:w="950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10,201,273 (includes shares of Common Stock underlying forward contracts. See Item 5)</w:t>
            </w:r>
          </w:p>
        </w:tc>
        <w:tc>
          <w:tcPr>
            <w:tcW w:w="0" w:type="dxa"/>
            <w:vAlign w:val="bottom"/>
          </w:tcPr>
          <w:p>
            <w:pPr>
              <w:spacing w:after="0"/>
              <w:rPr>
                <w:sz w:val="1"/>
                <w:szCs w:val="1"/>
                <w:color w:val="auto"/>
              </w:rPr>
            </w:pPr>
          </w:p>
        </w:tc>
      </w:tr>
      <w:tr>
        <w:trPr>
          <w:trHeight w:val="5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w w:val="85"/>
              </w:rPr>
              <w:t>(9)</w:t>
            </w:r>
          </w:p>
        </w:tc>
        <w:tc>
          <w:tcPr>
            <w:tcW w:w="9500" w:type="dxa"/>
            <w:vAlign w:val="bottom"/>
          </w:tcPr>
          <w:p>
            <w:pPr>
              <w:ind w:left="18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10,201,273 (includes shares of Common Stock underlying forward contracts. See Item 5)</w:t>
      </w:r>
    </w:p>
    <w:p>
      <w:pPr>
        <w:spacing w:after="0" w:line="17" w:lineRule="exact"/>
        <w:rPr>
          <w:rFonts w:ascii="Times New Roman" w:cs="Times New Roman" w:eastAsia="Times New Roman" w:hAnsi="Times New Roman"/>
          <w:sz w:val="18"/>
          <w:szCs w:val="18"/>
          <w:color w:val="auto"/>
        </w:rPr>
      </w:pPr>
    </w:p>
    <w:p>
      <w:pPr>
        <w:ind w:left="1360" w:right="3320" w:hanging="1352"/>
        <w:spacing w:after="0" w:line="276" w:lineRule="auto"/>
        <w:tabs>
          <w:tab w:leader="none" w:pos="13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10,201,273 (includes shares of Common Stock underlying forward contracts. See Item 5)</w:t>
      </w:r>
    </w:p>
    <w:p>
      <w:pPr>
        <w:ind w:left="1360" w:hanging="1352"/>
        <w:spacing w:after="0" w:line="207" w:lineRule="exact"/>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right="4740" w:hanging="1352"/>
        <w:spacing w:after="0" w:line="516" w:lineRule="auto"/>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8.5%</w:t>
      </w:r>
    </w:p>
    <w:p>
      <w:pPr>
        <w:ind w:left="1360" w:right="7380" w:hanging="1352"/>
        <w:spacing w:after="0" w:line="282" w:lineRule="auto"/>
        <w:tabs>
          <w:tab w:leader="none" w:pos="1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-1170940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-1462405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360" w:right="472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Icahn Enterprises G.P. Inc.</w:t>
      </w:r>
    </w:p>
    <w:p>
      <w:pPr>
        <w:spacing w:after="0" w:line="1"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1600" w:hanging="242"/>
        <w:spacing w:after="0" w:line="207" w:lineRule="exact"/>
        <w:tabs>
          <w:tab w:leader="none" w:pos="160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620" w:hanging="262"/>
        <w:spacing w:after="0" w:line="207" w:lineRule="exact"/>
        <w:tabs>
          <w:tab w:leader="none" w:pos="1620" w:val="left"/>
        </w:tabs>
        <w:numPr>
          <w:ilvl w:val="1"/>
          <w:numId w:val="2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40" w:lineRule="exact"/>
        <w:rPr>
          <w:rFonts w:ascii="Times New Roman" w:cs="Times New Roman" w:eastAsia="Times New Roman" w:hAnsi="Times New Roman"/>
          <w:sz w:val="18"/>
          <w:szCs w:val="18"/>
          <w:color w:val="auto"/>
        </w:rPr>
      </w:pPr>
    </w:p>
    <w:p>
      <w:pPr>
        <w:ind w:left="1360" w:right="8260" w:hanging="1352"/>
        <w:spacing w:after="0" w:line="386" w:lineRule="auto"/>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ind w:left="1360" w:hanging="1352"/>
        <w:spacing w:after="0" w:line="207" w:lineRule="exact"/>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top w:val="single" w:sz="8" w:color="auto"/>
            </w:tcBorders>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85"/>
              </w:rPr>
              <w:t>(7)</w:t>
            </w:r>
          </w:p>
        </w:tc>
        <w:tc>
          <w:tcPr>
            <w:tcW w:w="9500" w:type="dxa"/>
            <w:vAlign w:val="bottom"/>
            <w:tcBorders>
              <w:top w:val="single" w:sz="8" w:color="auto"/>
            </w:tcBorders>
          </w:tcPr>
          <w:p>
            <w:pPr>
              <w:ind w:left="180"/>
              <w:spacing w:after="0" w:line="205"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1"/>
        </w:trPr>
        <w:tc>
          <w:tcPr>
            <w:tcW w:w="13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Owned</w:t>
            </w:r>
          </w:p>
        </w:tc>
        <w:tc>
          <w:tcPr>
            <w:tcW w:w="380" w:type="dxa"/>
            <w:vAlign w:val="bottom"/>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5"/>
              </w:rPr>
              <w:t>(8)</w:t>
            </w:r>
          </w:p>
        </w:tc>
        <w:tc>
          <w:tcPr>
            <w:tcW w:w="950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10,201,273 (includes shares of Common Stock underlying forward contracts. See Item 5)</w:t>
            </w:r>
          </w:p>
        </w:tc>
        <w:tc>
          <w:tcPr>
            <w:tcW w:w="0" w:type="dxa"/>
            <w:vAlign w:val="bottom"/>
          </w:tcPr>
          <w:p>
            <w:pPr>
              <w:spacing w:after="0"/>
              <w:rPr>
                <w:sz w:val="1"/>
                <w:szCs w:val="1"/>
                <w:color w:val="auto"/>
              </w:rPr>
            </w:pPr>
          </w:p>
        </w:tc>
      </w:tr>
      <w:tr>
        <w:trPr>
          <w:trHeight w:val="5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w w:val="85"/>
              </w:rPr>
              <w:t>(9)</w:t>
            </w:r>
          </w:p>
        </w:tc>
        <w:tc>
          <w:tcPr>
            <w:tcW w:w="9500" w:type="dxa"/>
            <w:vAlign w:val="bottom"/>
          </w:tcPr>
          <w:p>
            <w:pPr>
              <w:ind w:left="18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10,201,273 (includes shares of Common Stock underlying forward contracts. See Item 5)</w:t>
      </w:r>
    </w:p>
    <w:p>
      <w:pPr>
        <w:spacing w:after="0" w:line="17" w:lineRule="exact"/>
        <w:rPr>
          <w:rFonts w:ascii="Times New Roman" w:cs="Times New Roman" w:eastAsia="Times New Roman" w:hAnsi="Times New Roman"/>
          <w:sz w:val="18"/>
          <w:szCs w:val="18"/>
          <w:color w:val="auto"/>
        </w:rPr>
      </w:pPr>
    </w:p>
    <w:p>
      <w:pPr>
        <w:ind w:left="1360" w:right="3320" w:hanging="1352"/>
        <w:spacing w:after="0" w:line="276" w:lineRule="auto"/>
        <w:tabs>
          <w:tab w:leader="none" w:pos="13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10,201,273 (includes shares of Common Stock underlying forward contracts. See Item 5)</w:t>
      </w:r>
    </w:p>
    <w:p>
      <w:pPr>
        <w:ind w:left="1360" w:hanging="1352"/>
        <w:spacing w:after="0" w:line="207" w:lineRule="exact"/>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right="4740" w:hanging="1352"/>
        <w:spacing w:after="0" w:line="516" w:lineRule="auto"/>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8.5%</w:t>
      </w:r>
    </w:p>
    <w:p>
      <w:pPr>
        <w:ind w:left="1360" w:right="7380" w:hanging="1352"/>
        <w:spacing w:after="0" w:line="282" w:lineRule="auto"/>
        <w:tabs>
          <w:tab w:leader="none" w:pos="13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-1170940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-1462405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360" w:right="472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Beckton Corp.</w:t>
      </w:r>
    </w:p>
    <w:p>
      <w:pPr>
        <w:spacing w:after="0" w:line="1"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1600" w:hanging="242"/>
        <w:spacing w:after="0" w:line="207" w:lineRule="exact"/>
        <w:tabs>
          <w:tab w:leader="none" w:pos="1600"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620" w:hanging="262"/>
        <w:spacing w:after="0" w:line="207" w:lineRule="exact"/>
        <w:tabs>
          <w:tab w:leader="none" w:pos="1620" w:val="left"/>
        </w:tabs>
        <w:numPr>
          <w:ilvl w:val="1"/>
          <w:numId w:val="2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40" w:lineRule="exact"/>
        <w:rPr>
          <w:rFonts w:ascii="Times New Roman" w:cs="Times New Roman" w:eastAsia="Times New Roman" w:hAnsi="Times New Roman"/>
          <w:sz w:val="18"/>
          <w:szCs w:val="18"/>
          <w:color w:val="auto"/>
        </w:rPr>
      </w:pPr>
    </w:p>
    <w:p>
      <w:pPr>
        <w:ind w:left="1360" w:right="8260" w:hanging="1352"/>
        <w:spacing w:after="0" w:line="386" w:lineRule="auto"/>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ind w:left="1360" w:hanging="1352"/>
        <w:spacing w:after="0" w:line="207" w:lineRule="exact"/>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top w:val="single" w:sz="8" w:color="auto"/>
            </w:tcBorders>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85"/>
              </w:rPr>
              <w:t>(7)</w:t>
            </w:r>
          </w:p>
        </w:tc>
        <w:tc>
          <w:tcPr>
            <w:tcW w:w="9500" w:type="dxa"/>
            <w:vAlign w:val="bottom"/>
            <w:tcBorders>
              <w:top w:val="single" w:sz="8" w:color="auto"/>
            </w:tcBorders>
          </w:tcPr>
          <w:p>
            <w:pPr>
              <w:ind w:left="180"/>
              <w:spacing w:after="0" w:line="205"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1"/>
        </w:trPr>
        <w:tc>
          <w:tcPr>
            <w:tcW w:w="13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Owned</w:t>
            </w:r>
          </w:p>
        </w:tc>
        <w:tc>
          <w:tcPr>
            <w:tcW w:w="380" w:type="dxa"/>
            <w:vAlign w:val="bottom"/>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5"/>
              </w:rPr>
              <w:t>(8)</w:t>
            </w:r>
          </w:p>
        </w:tc>
        <w:tc>
          <w:tcPr>
            <w:tcW w:w="950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10,201,273 (includes shares of Common Stock underlying forward contracts. See Item 5)</w:t>
            </w:r>
          </w:p>
        </w:tc>
        <w:tc>
          <w:tcPr>
            <w:tcW w:w="0" w:type="dxa"/>
            <w:vAlign w:val="bottom"/>
          </w:tcPr>
          <w:p>
            <w:pPr>
              <w:spacing w:after="0"/>
              <w:rPr>
                <w:sz w:val="1"/>
                <w:szCs w:val="1"/>
                <w:color w:val="auto"/>
              </w:rPr>
            </w:pPr>
          </w:p>
        </w:tc>
      </w:tr>
      <w:tr>
        <w:trPr>
          <w:trHeight w:val="5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w w:val="85"/>
              </w:rPr>
              <w:t>(9)</w:t>
            </w:r>
          </w:p>
        </w:tc>
        <w:tc>
          <w:tcPr>
            <w:tcW w:w="9500" w:type="dxa"/>
            <w:vAlign w:val="bottom"/>
          </w:tcPr>
          <w:p>
            <w:pPr>
              <w:ind w:left="18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hanging="562"/>
        <w:spacing w:after="0"/>
        <w:tabs>
          <w:tab w:leader="none" w:pos="192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w:t>
      </w:r>
    </w:p>
    <w:p>
      <w:pPr>
        <w:spacing w:after="0" w:line="27" w:lineRule="exact"/>
        <w:rPr>
          <w:rFonts w:ascii="Times New Roman" w:cs="Times New Roman" w:eastAsia="Times New Roman" w:hAnsi="Times New Roman"/>
          <w:sz w:val="18"/>
          <w:szCs w:val="18"/>
          <w:color w:val="auto"/>
        </w:rPr>
      </w:pPr>
    </w:p>
    <w:p>
      <w:pPr>
        <w:ind w:left="19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10,201,273 (includes shares of Common Stock underlying forward contracts. See Item 5)</w:t>
      </w:r>
    </w:p>
    <w:p>
      <w:pPr>
        <w:spacing w:after="0" w:line="17" w:lineRule="exact"/>
        <w:rPr>
          <w:rFonts w:ascii="Times New Roman" w:cs="Times New Roman" w:eastAsia="Times New Roman" w:hAnsi="Times New Roman"/>
          <w:sz w:val="18"/>
          <w:szCs w:val="18"/>
          <w:color w:val="auto"/>
        </w:rPr>
      </w:pPr>
    </w:p>
    <w:p>
      <w:pPr>
        <w:ind w:left="1360" w:right="3320" w:hanging="1352"/>
        <w:spacing w:after="0" w:line="276" w:lineRule="auto"/>
        <w:tabs>
          <w:tab w:leader="none" w:pos="136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10,201,273 (includes shares of Common Stock underlying forward contracts. See Item 5)</w:t>
      </w:r>
    </w:p>
    <w:p>
      <w:pPr>
        <w:ind w:left="1360" w:hanging="1352"/>
        <w:spacing w:after="0" w:line="207" w:lineRule="exact"/>
        <w:tabs>
          <w:tab w:leader="none" w:pos="1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right="4740" w:hanging="1352"/>
        <w:spacing w:after="0" w:line="516" w:lineRule="auto"/>
        <w:tabs>
          <w:tab w:leader="none" w:pos="1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8.5%</w:t>
      </w:r>
    </w:p>
    <w:p>
      <w:pPr>
        <w:ind w:left="1360" w:right="7380" w:hanging="1352"/>
        <w:spacing w:after="0" w:line="282" w:lineRule="auto"/>
        <w:tabs>
          <w:tab w:leader="none" w:pos="13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-1170940</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-1462405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360" w:right="472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Matsumura Fishworks LLC</w:t>
      </w:r>
    </w:p>
    <w:p>
      <w:pPr>
        <w:spacing w:after="0" w:line="1"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1600" w:hanging="242"/>
        <w:spacing w:after="0" w:line="207" w:lineRule="exact"/>
        <w:tabs>
          <w:tab w:leader="none" w:pos="160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620" w:hanging="262"/>
        <w:spacing w:after="0" w:line="207" w:lineRule="exact"/>
        <w:tabs>
          <w:tab w:leader="none" w:pos="1620" w:val="left"/>
        </w:tabs>
        <w:numPr>
          <w:ilvl w:val="1"/>
          <w:numId w:val="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40" w:lineRule="exact"/>
        <w:rPr>
          <w:rFonts w:ascii="Times New Roman" w:cs="Times New Roman" w:eastAsia="Times New Roman" w:hAnsi="Times New Roman"/>
          <w:sz w:val="18"/>
          <w:szCs w:val="18"/>
          <w:color w:val="auto"/>
        </w:rPr>
      </w:pPr>
    </w:p>
    <w:p>
      <w:pPr>
        <w:ind w:left="1360" w:right="8260" w:hanging="1352"/>
        <w:spacing w:after="0" w:line="386" w:lineRule="auto"/>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ind w:left="1360" w:hanging="1352"/>
        <w:spacing w:after="0" w:line="207" w:lineRule="exact"/>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Number of</w:t>
            </w:r>
          </w:p>
        </w:tc>
        <w:tc>
          <w:tcPr>
            <w:tcW w:w="380" w:type="dxa"/>
            <w:vAlign w:val="bottom"/>
            <w:tcBorders>
              <w:top w:val="single" w:sz="8" w:color="auto"/>
            </w:tcBorders>
          </w:tcPr>
          <w:p>
            <w:pPr>
              <w:jc w:val="right"/>
              <w:ind w:right="90"/>
              <w:spacing w:after="0" w:line="205" w:lineRule="exact"/>
              <w:rPr>
                <w:sz w:val="20"/>
                <w:szCs w:val="20"/>
                <w:color w:val="auto"/>
              </w:rPr>
            </w:pPr>
            <w:r>
              <w:rPr>
                <w:rFonts w:ascii="Times New Roman" w:cs="Times New Roman" w:eastAsia="Times New Roman" w:hAnsi="Times New Roman"/>
                <w:sz w:val="18"/>
                <w:szCs w:val="18"/>
                <w:color w:val="auto"/>
                <w:w w:val="85"/>
              </w:rPr>
              <w:t>(7)</w:t>
            </w:r>
          </w:p>
        </w:tc>
        <w:tc>
          <w:tcPr>
            <w:tcW w:w="9500" w:type="dxa"/>
            <w:vAlign w:val="bottom"/>
            <w:tcBorders>
              <w:top w:val="single" w:sz="8" w:color="auto"/>
            </w:tcBorders>
          </w:tcPr>
          <w:p>
            <w:pPr>
              <w:ind w:left="180"/>
              <w:spacing w:after="0" w:line="205"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3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3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71"/>
        </w:trPr>
        <w:tc>
          <w:tcPr>
            <w:tcW w:w="13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Owned</w:t>
            </w:r>
          </w:p>
        </w:tc>
        <w:tc>
          <w:tcPr>
            <w:tcW w:w="380" w:type="dxa"/>
            <w:vAlign w:val="bottom"/>
          </w:tcPr>
          <w:p>
            <w:pPr>
              <w:jc w:val="right"/>
              <w:ind w:right="90"/>
              <w:spacing w:after="0" w:line="170" w:lineRule="exact"/>
              <w:rPr>
                <w:sz w:val="20"/>
                <w:szCs w:val="20"/>
                <w:color w:val="auto"/>
              </w:rPr>
            </w:pPr>
            <w:r>
              <w:rPr>
                <w:rFonts w:ascii="Times New Roman" w:cs="Times New Roman" w:eastAsia="Times New Roman" w:hAnsi="Times New Roman"/>
                <w:sz w:val="18"/>
                <w:szCs w:val="18"/>
                <w:color w:val="auto"/>
                <w:w w:val="85"/>
              </w:rPr>
              <w:t>(8)</w:t>
            </w:r>
          </w:p>
        </w:tc>
        <w:tc>
          <w:tcPr>
            <w:tcW w:w="9500" w:type="dxa"/>
            <w:vAlign w:val="bottom"/>
          </w:tcPr>
          <w:p>
            <w:pPr>
              <w:ind w:left="18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 Each</w:t>
            </w:r>
          </w:p>
        </w:tc>
        <w:tc>
          <w:tcPr>
            <w:tcW w:w="380" w:type="dxa"/>
            <w:vAlign w:val="bottom"/>
          </w:tcPr>
          <w:p>
            <w:pPr>
              <w:spacing w:after="0"/>
              <w:rPr>
                <w:sz w:val="18"/>
                <w:szCs w:val="18"/>
                <w:color w:val="auto"/>
              </w:rPr>
            </w:pPr>
          </w:p>
        </w:tc>
        <w:tc>
          <w:tcPr>
            <w:tcW w:w="9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5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380" w:type="dxa"/>
            <w:vAlign w:val="bottom"/>
            <w:tcBorders>
              <w:bottom w:val="single" w:sz="8" w:color="auto"/>
            </w:tcBorders>
          </w:tcPr>
          <w:p>
            <w:pPr>
              <w:spacing w:after="0"/>
              <w:rPr>
                <w:sz w:val="4"/>
                <w:szCs w:val="4"/>
                <w:color w:val="auto"/>
              </w:rPr>
            </w:pPr>
          </w:p>
        </w:tc>
        <w:tc>
          <w:tcPr>
            <w:tcW w:w="9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380" w:type="dxa"/>
            <w:vAlign w:val="bottom"/>
          </w:tcPr>
          <w:p>
            <w:pPr>
              <w:jc w:val="right"/>
              <w:ind w:right="90"/>
              <w:spacing w:after="0" w:line="162" w:lineRule="exact"/>
              <w:rPr>
                <w:sz w:val="20"/>
                <w:szCs w:val="20"/>
                <w:color w:val="auto"/>
              </w:rPr>
            </w:pPr>
            <w:r>
              <w:rPr>
                <w:rFonts w:ascii="Times New Roman" w:cs="Times New Roman" w:eastAsia="Times New Roman" w:hAnsi="Times New Roman"/>
                <w:sz w:val="18"/>
                <w:szCs w:val="18"/>
                <w:color w:val="auto"/>
                <w:w w:val="85"/>
              </w:rPr>
              <w:t>(9)</w:t>
            </w:r>
          </w:p>
        </w:tc>
        <w:tc>
          <w:tcPr>
            <w:tcW w:w="9500" w:type="dxa"/>
            <w:vAlign w:val="bottom"/>
          </w:tcPr>
          <w:p>
            <w:pPr>
              <w:ind w:left="18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380" w:type="dxa"/>
            <w:vAlign w:val="bottom"/>
          </w:tcPr>
          <w:p>
            <w:pPr>
              <w:spacing w:after="0"/>
              <w:rPr>
                <w:sz w:val="20"/>
                <w:szCs w:val="20"/>
                <w:color w:val="auto"/>
              </w:rPr>
            </w:pPr>
          </w:p>
        </w:tc>
        <w:tc>
          <w:tcPr>
            <w:tcW w:w="9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862330</wp:posOffset>
            </wp:positionH>
            <wp:positionV relativeFrom="paragraph">
              <wp:posOffset>0</wp:posOffset>
            </wp:positionV>
            <wp:extent cx="627507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75070" cy="17145"/>
                    </a:xfrm>
                    <a:prstGeom prst="rect">
                      <a:avLst/>
                    </a:prstGeom>
                    <a:noFill/>
                  </pic:spPr>
                </pic:pic>
              </a:graphicData>
            </a:graphic>
          </wp:anchor>
        </w:drawing>
      </w:r>
    </w:p>
    <w:p>
      <w:pPr>
        <w:ind w:left="1920" w:right="6780" w:hanging="562"/>
        <w:spacing w:after="0" w:line="266" w:lineRule="auto"/>
        <w:tabs>
          <w:tab w:leader="none" w:pos="192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DISPOSITIVE POWER 100</w:t>
      </w:r>
    </w:p>
    <w:p>
      <w:pPr>
        <w:ind w:left="1400" w:right="3320" w:hanging="1392"/>
        <w:spacing w:after="0" w:line="261" w:lineRule="auto"/>
        <w:tabs>
          <w:tab w:leader="none" w:pos="13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100</w:t>
      </w:r>
    </w:p>
    <w:p>
      <w:pPr>
        <w:ind w:left="1360" w:hanging="1352"/>
        <w:spacing w:after="0" w:line="207" w:lineRule="exact"/>
        <w:tabs>
          <w:tab w:leader="none" w:pos="1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right="4740" w:hanging="1352"/>
        <w:spacing w:after="0" w:line="516" w:lineRule="auto"/>
        <w:tabs>
          <w:tab w:leader="none" w:pos="1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Less than 1%</w:t>
      </w:r>
    </w:p>
    <w:p>
      <w:pPr>
        <w:ind w:left="1360" w:right="7380" w:hanging="1352"/>
        <w:spacing w:after="0" w:line="282" w:lineRule="auto"/>
        <w:tabs>
          <w:tab w:leader="none" w:pos="13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-1170940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-1462405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508635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color w:val="auto"/>
        </w:rPr>
        <w:t>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228368106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ind w:left="1360" w:hanging="1352"/>
        <w:spacing w:after="0"/>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PERSONS</w:t>
      </w:r>
    </w:p>
    <w:p>
      <w:pPr>
        <w:spacing w:after="0" w:line="27" w:lineRule="exact"/>
        <w:rPr>
          <w:rFonts w:ascii="Times New Roman" w:cs="Times New Roman" w:eastAsia="Times New Roman" w:hAnsi="Times New Roman"/>
          <w:sz w:val="18"/>
          <w:szCs w:val="18"/>
          <w:color w:val="auto"/>
        </w:rPr>
      </w:pPr>
    </w:p>
    <w:p>
      <w:pPr>
        <w:ind w:left="1360" w:right="4720"/>
        <w:spacing w:after="0" w:line="3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IDENTIFICATION NOS. OF ABOVE PERSONS (entities only) Carl C. Icahn</w:t>
      </w:r>
    </w:p>
    <w:p>
      <w:pPr>
        <w:spacing w:after="0" w:line="1"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196" w:lineRule="exact"/>
        <w:rPr>
          <w:rFonts w:ascii="Times New Roman" w:cs="Times New Roman" w:eastAsia="Times New Roman" w:hAnsi="Times New Roman"/>
          <w:sz w:val="18"/>
          <w:szCs w:val="18"/>
          <w:color w:val="auto"/>
        </w:rPr>
      </w:pPr>
    </w:p>
    <w:p>
      <w:pPr>
        <w:ind w:left="1600" w:hanging="242"/>
        <w:spacing w:after="0" w:line="207" w:lineRule="exact"/>
        <w:tabs>
          <w:tab w:leader="none" w:pos="160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57" w:lineRule="exact"/>
        <w:rPr>
          <w:rFonts w:ascii="Times New Roman" w:cs="Times New Roman" w:eastAsia="Times New Roman" w:hAnsi="Times New Roman"/>
          <w:sz w:val="18"/>
          <w:szCs w:val="18"/>
          <w:color w:val="auto"/>
        </w:rPr>
      </w:pPr>
    </w:p>
    <w:p>
      <w:pPr>
        <w:ind w:left="1620" w:hanging="262"/>
        <w:spacing w:after="0" w:line="207" w:lineRule="exact"/>
        <w:tabs>
          <w:tab w:leader="none" w:pos="1620" w:val="left"/>
        </w:tabs>
        <w:numPr>
          <w:ilvl w:val="1"/>
          <w:numId w:val="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7"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40" w:lineRule="exact"/>
        <w:rPr>
          <w:rFonts w:ascii="Times New Roman" w:cs="Times New Roman" w:eastAsia="Times New Roman" w:hAnsi="Times New Roman"/>
          <w:sz w:val="18"/>
          <w:szCs w:val="18"/>
          <w:color w:val="auto"/>
        </w:rPr>
      </w:pPr>
    </w:p>
    <w:p>
      <w:pPr>
        <w:ind w:left="1360" w:right="8260" w:hanging="1352"/>
        <w:spacing w:after="0" w:line="386" w:lineRule="auto"/>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OO</w:t>
      </w:r>
    </w:p>
    <w:p>
      <w:pPr>
        <w:ind w:left="1360" w:hanging="1352"/>
        <w:spacing w:after="0" w:line="207" w:lineRule="exact"/>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hanging="1352"/>
        <w:spacing w:after="0"/>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-856615</wp:posOffset>
            </wp:positionV>
            <wp:extent cx="71323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-1148080</wp:posOffset>
            </wp:positionV>
            <wp:extent cx="71323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-1713865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United States of America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3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Number of</w:t>
            </w:r>
          </w:p>
        </w:tc>
        <w:tc>
          <w:tcPr>
            <w:tcW w:w="44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(7)</w:t>
            </w:r>
          </w:p>
        </w:tc>
        <w:tc>
          <w:tcPr>
            <w:tcW w:w="9440" w:type="dxa"/>
            <w:vAlign w:val="bottom"/>
            <w:tcBorders>
              <w:top w:val="single" w:sz="8" w:color="auto"/>
            </w:tcBorders>
          </w:tcPr>
          <w:p>
            <w:pPr>
              <w:ind w:left="120"/>
              <w:spacing w:after="0" w:line="205" w:lineRule="exact"/>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Shares</w:t>
            </w:r>
          </w:p>
        </w:tc>
        <w:tc>
          <w:tcPr>
            <w:tcW w:w="44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40" w:type="dxa"/>
            <w:vAlign w:val="bottom"/>
            <w:tcBorders>
              <w:bottom w:val="single" w:sz="8" w:color="auto"/>
            </w:tcBorders>
          </w:tcPr>
          <w:p>
            <w:pPr>
              <w:spacing w:after="0"/>
              <w:rPr>
                <w:sz w:val="20"/>
                <w:szCs w:val="20"/>
                <w:color w:val="auto"/>
              </w:rPr>
            </w:pPr>
          </w:p>
        </w:tc>
        <w:tc>
          <w:tcPr>
            <w:tcW w:w="9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71"/>
        </w:trPr>
        <w:tc>
          <w:tcPr>
            <w:tcW w:w="136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Owned</w:t>
            </w:r>
          </w:p>
        </w:tc>
        <w:tc>
          <w:tcPr>
            <w:tcW w:w="44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(8)</w:t>
            </w:r>
          </w:p>
        </w:tc>
        <w:tc>
          <w:tcPr>
            <w:tcW w:w="9440" w:type="dxa"/>
            <w:vAlign w:val="bottom"/>
          </w:tcPr>
          <w:p>
            <w:pPr>
              <w:ind w:left="120"/>
              <w:spacing w:after="0" w:line="170"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 Each</w:t>
            </w:r>
          </w:p>
        </w:tc>
        <w:tc>
          <w:tcPr>
            <w:tcW w:w="440" w:type="dxa"/>
            <w:vAlign w:val="bottom"/>
          </w:tcPr>
          <w:p>
            <w:pPr>
              <w:spacing w:after="0"/>
              <w:rPr>
                <w:sz w:val="18"/>
                <w:szCs w:val="18"/>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10,201,273 (includes shares of Common Stock underlying forward contracts. See Item 5)</w:t>
            </w:r>
          </w:p>
        </w:tc>
        <w:tc>
          <w:tcPr>
            <w:tcW w:w="0" w:type="dxa"/>
            <w:vAlign w:val="bottom"/>
          </w:tcPr>
          <w:p>
            <w:pPr>
              <w:spacing w:after="0"/>
              <w:rPr>
                <w:sz w:val="1"/>
                <w:szCs w:val="1"/>
                <w:color w:val="auto"/>
              </w:rPr>
            </w:pPr>
          </w:p>
        </w:tc>
      </w:tr>
      <w:tr>
        <w:trPr>
          <w:trHeight w:val="52"/>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Reporting</w:t>
            </w:r>
          </w:p>
        </w:tc>
        <w:tc>
          <w:tcPr>
            <w:tcW w:w="440" w:type="dxa"/>
            <w:vAlign w:val="bottom"/>
            <w:tcBorders>
              <w:bottom w:val="single" w:sz="8" w:color="auto"/>
            </w:tcBorders>
          </w:tcPr>
          <w:p>
            <w:pPr>
              <w:spacing w:after="0"/>
              <w:rPr>
                <w:sz w:val="4"/>
                <w:szCs w:val="4"/>
                <w:color w:val="auto"/>
              </w:rPr>
            </w:pPr>
          </w:p>
        </w:tc>
        <w:tc>
          <w:tcPr>
            <w:tcW w:w="9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360" w:type="dxa"/>
            <w:vAlign w:val="bottom"/>
            <w:vMerge w:val="continue"/>
          </w:tcPr>
          <w:p>
            <w:pPr>
              <w:spacing w:after="0"/>
              <w:rPr>
                <w:sz w:val="14"/>
                <w:szCs w:val="14"/>
                <w:color w:val="auto"/>
              </w:rPr>
            </w:pPr>
          </w:p>
        </w:tc>
        <w:tc>
          <w:tcPr>
            <w:tcW w:w="4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(9)</w:t>
            </w:r>
          </w:p>
        </w:tc>
        <w:tc>
          <w:tcPr>
            <w:tcW w:w="9440" w:type="dxa"/>
            <w:vAlign w:val="bottom"/>
          </w:tcPr>
          <w:p>
            <w:pPr>
              <w:ind w:left="120"/>
              <w:spacing w:after="0" w:line="162"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440" w:type="dxa"/>
            <w:vAlign w:val="bottom"/>
          </w:tcPr>
          <w:p>
            <w:pPr>
              <w:spacing w:after="0"/>
              <w:rPr>
                <w:sz w:val="20"/>
                <w:szCs w:val="20"/>
                <w:color w:val="auto"/>
              </w:rPr>
            </w:pPr>
          </w:p>
        </w:tc>
        <w:tc>
          <w:tcPr>
            <w:tcW w:w="9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13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98"/>
        </w:trPr>
        <w:tc>
          <w:tcPr>
            <w:tcW w:w="1360" w:type="dxa"/>
            <w:vAlign w:val="bottom"/>
          </w:tcPr>
          <w:p>
            <w:pPr>
              <w:spacing w:after="0"/>
              <w:rPr>
                <w:sz w:val="17"/>
                <w:szCs w:val="17"/>
                <w:color w:val="auto"/>
              </w:rPr>
            </w:pPr>
          </w:p>
        </w:tc>
        <w:tc>
          <w:tcPr>
            <w:tcW w:w="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(10)</w:t>
            </w:r>
          </w:p>
        </w:tc>
        <w:tc>
          <w:tcPr>
            <w:tcW w:w="944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10,201,273 (includes shares of Common Stock underlying forward contracts. See Item 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360" w:right="3320" w:hanging="1352"/>
        <w:spacing w:after="0" w:line="276" w:lineRule="auto"/>
        <w:tabs>
          <w:tab w:leader="none" w:pos="13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10,201,273 (includes shares of Common Stock underlying forward contracts. See Item 5)</w:t>
      </w:r>
    </w:p>
    <w:p>
      <w:pPr>
        <w:ind w:left="1360" w:hanging="1352"/>
        <w:spacing w:after="0" w:line="207" w:lineRule="exact"/>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CHECK IF THE AGGREGATE AMOUNT IN ROW (11) EXCLUDES CERTAIN SHARES </w:t>
      </w:r>
      <w:r>
        <w:rPr>
          <w:rFonts w:ascii="MS PGothic" w:cs="MS PGothic" w:eastAsia="MS PGothic" w:hAnsi="MS PGothic"/>
          <w:sz w:val="18"/>
          <w:szCs w:val="18"/>
          <w:color w:val="auto"/>
        </w:rPr>
        <w:t>☐</w:t>
      </w:r>
    </w:p>
    <w:p>
      <w:pPr>
        <w:spacing w:after="0" w:line="260" w:lineRule="exact"/>
        <w:rPr>
          <w:rFonts w:ascii="Times New Roman" w:cs="Times New Roman" w:eastAsia="Times New Roman" w:hAnsi="Times New Roman"/>
          <w:sz w:val="18"/>
          <w:szCs w:val="18"/>
          <w:color w:val="auto"/>
        </w:rPr>
      </w:pPr>
    </w:p>
    <w:p>
      <w:pPr>
        <w:ind w:left="1360" w:right="4740" w:hanging="1352"/>
        <w:spacing w:after="0" w:line="516" w:lineRule="auto"/>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8.5%</w:t>
      </w:r>
    </w:p>
    <w:p>
      <w:pPr>
        <w:ind w:left="1360" w:right="7380" w:hanging="1352"/>
        <w:spacing w:after="0" w:line="282" w:lineRule="auto"/>
        <w:tabs>
          <w:tab w:leader="none" w:pos="13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-879475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-1170940</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2" w:name="page13"/>
    <w:bookmarkEnd w:id="12"/>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1</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Security and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statement on Schedule 13D (this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the shares of the common stock, par value $5.00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Crown Holdings, Inc., a Pennsylvania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address of the principal executive offices of the Issuer is 770 Township Line Road, Yardley, Pennsylvania 19067.</w:t>
      </w:r>
    </w:p>
    <w:p>
      <w:pPr>
        <w:spacing w:after="0" w:line="17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2</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Identity and Background</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persons filing this statement are:(i) Icahn Partners Master Fund LP, a Delaware limited partnership (“</w:t>
      </w:r>
      <w:r>
        <w:rPr>
          <w:rFonts w:ascii="Times New Roman" w:cs="Times New Roman" w:eastAsia="Times New Roman" w:hAnsi="Times New Roman"/>
          <w:sz w:val="18"/>
          <w:szCs w:val="18"/>
          <w:u w:val="single" w:color="auto"/>
          <w:color w:val="auto"/>
        </w:rPr>
        <w:t>Icahn Master</w:t>
      </w:r>
      <w:r>
        <w:rPr>
          <w:rFonts w:ascii="Times New Roman" w:cs="Times New Roman" w:eastAsia="Times New Roman" w:hAnsi="Times New Roman"/>
          <w:sz w:val="18"/>
          <w:szCs w:val="18"/>
          <w:color w:val="auto"/>
        </w:rPr>
        <w:t>”); (ii) Icahn Offshore LP, a Delaware limited partnership (“</w:t>
      </w:r>
      <w:r>
        <w:rPr>
          <w:rFonts w:ascii="Times New Roman" w:cs="Times New Roman" w:eastAsia="Times New Roman" w:hAnsi="Times New Roman"/>
          <w:sz w:val="18"/>
          <w:szCs w:val="18"/>
          <w:u w:val="single" w:color="auto"/>
          <w:color w:val="auto"/>
        </w:rPr>
        <w:t>Icahn Offshore</w:t>
      </w:r>
      <w:r>
        <w:rPr>
          <w:rFonts w:ascii="Times New Roman" w:cs="Times New Roman" w:eastAsia="Times New Roman" w:hAnsi="Times New Roman"/>
          <w:sz w:val="18"/>
          <w:szCs w:val="18"/>
          <w:color w:val="auto"/>
        </w:rPr>
        <w:t>”); (iii) Icahn Partners LP, a Delaware limited partnership (“</w:t>
      </w:r>
      <w:r>
        <w:rPr>
          <w:rFonts w:ascii="Times New Roman" w:cs="Times New Roman" w:eastAsia="Times New Roman" w:hAnsi="Times New Roman"/>
          <w:sz w:val="18"/>
          <w:szCs w:val="18"/>
          <w:u w:val="single" w:color="auto"/>
          <w:color w:val="auto"/>
        </w:rPr>
        <w:t>Icahn Partners</w:t>
      </w:r>
      <w:r>
        <w:rPr>
          <w:rFonts w:ascii="Times New Roman" w:cs="Times New Roman" w:eastAsia="Times New Roman" w:hAnsi="Times New Roman"/>
          <w:sz w:val="18"/>
          <w:szCs w:val="18"/>
          <w:color w:val="auto"/>
        </w:rPr>
        <w:t>”); (iv) Icahn Onshore LP, a Delaware limited partnership (“</w:t>
      </w:r>
      <w:r>
        <w:rPr>
          <w:rFonts w:ascii="Times New Roman" w:cs="Times New Roman" w:eastAsia="Times New Roman" w:hAnsi="Times New Roman"/>
          <w:sz w:val="18"/>
          <w:szCs w:val="18"/>
          <w:u w:val="single" w:color="auto"/>
          <w:color w:val="auto"/>
        </w:rPr>
        <w:t>Icahn Onshore</w:t>
      </w:r>
      <w:r>
        <w:rPr>
          <w:rFonts w:ascii="Times New Roman" w:cs="Times New Roman" w:eastAsia="Times New Roman" w:hAnsi="Times New Roman"/>
          <w:sz w:val="18"/>
          <w:szCs w:val="18"/>
          <w:color w:val="auto"/>
        </w:rPr>
        <w:t>”); (v) Icahn Capital LP, a Delaware limited partnership (“</w:t>
      </w:r>
      <w:r>
        <w:rPr>
          <w:rFonts w:ascii="Times New Roman" w:cs="Times New Roman" w:eastAsia="Times New Roman" w:hAnsi="Times New Roman"/>
          <w:sz w:val="18"/>
          <w:szCs w:val="18"/>
          <w:u w:val="single" w:color="auto"/>
          <w:color w:val="auto"/>
        </w:rPr>
        <w:t>Icahn Capital</w:t>
      </w:r>
      <w:r>
        <w:rPr>
          <w:rFonts w:ascii="Times New Roman" w:cs="Times New Roman" w:eastAsia="Times New Roman" w:hAnsi="Times New Roman"/>
          <w:sz w:val="18"/>
          <w:szCs w:val="18"/>
          <w:color w:val="auto"/>
        </w:rPr>
        <w:t>”); (vi) IPH GP LLC, a Delaware limited liability company (“</w:t>
      </w:r>
      <w:r>
        <w:rPr>
          <w:rFonts w:ascii="Times New Roman" w:cs="Times New Roman" w:eastAsia="Times New Roman" w:hAnsi="Times New Roman"/>
          <w:sz w:val="18"/>
          <w:szCs w:val="18"/>
          <w:u w:val="single" w:color="auto"/>
          <w:color w:val="auto"/>
        </w:rPr>
        <w:t>IPH</w:t>
      </w:r>
      <w:r>
        <w:rPr>
          <w:rFonts w:ascii="Times New Roman" w:cs="Times New Roman" w:eastAsia="Times New Roman" w:hAnsi="Times New Roman"/>
          <w:sz w:val="18"/>
          <w:szCs w:val="18"/>
          <w:color w:val="auto"/>
        </w:rPr>
        <w:t>”); (vii) Icahn Enterprises Holdings L.P., a Delaware limited partnership (“</w:t>
      </w:r>
      <w:r>
        <w:rPr>
          <w:rFonts w:ascii="Times New Roman" w:cs="Times New Roman" w:eastAsia="Times New Roman" w:hAnsi="Times New Roman"/>
          <w:sz w:val="18"/>
          <w:szCs w:val="18"/>
          <w:u w:val="single" w:color="auto"/>
          <w:color w:val="auto"/>
        </w:rPr>
        <w:t>Icahn Enterprises Holdings</w:t>
      </w:r>
      <w:r>
        <w:rPr>
          <w:rFonts w:ascii="Times New Roman" w:cs="Times New Roman" w:eastAsia="Times New Roman" w:hAnsi="Times New Roman"/>
          <w:sz w:val="18"/>
          <w:szCs w:val="18"/>
          <w:color w:val="auto"/>
        </w:rPr>
        <w:t>”); (viii) Icahn Enterprises G.P. Inc., a Delaware corporation (“</w:t>
      </w:r>
      <w:r>
        <w:rPr>
          <w:rFonts w:ascii="Times New Roman" w:cs="Times New Roman" w:eastAsia="Times New Roman" w:hAnsi="Times New Roman"/>
          <w:sz w:val="18"/>
          <w:szCs w:val="18"/>
          <w:u w:val="single" w:color="auto"/>
          <w:color w:val="auto"/>
        </w:rPr>
        <w:t>Icahn Enterprises GP</w:t>
      </w:r>
      <w:r>
        <w:rPr>
          <w:rFonts w:ascii="Times New Roman" w:cs="Times New Roman" w:eastAsia="Times New Roman" w:hAnsi="Times New Roman"/>
          <w:sz w:val="18"/>
          <w:szCs w:val="18"/>
          <w:color w:val="auto"/>
        </w:rPr>
        <w:t>”); (ix) Beckton Corp., a Delaware corporation (“</w:t>
      </w:r>
      <w:r>
        <w:rPr>
          <w:rFonts w:ascii="Times New Roman" w:cs="Times New Roman" w:eastAsia="Times New Roman" w:hAnsi="Times New Roman"/>
          <w:sz w:val="18"/>
          <w:szCs w:val="18"/>
          <w:u w:val="single" w:color="auto"/>
          <w:color w:val="auto"/>
        </w:rPr>
        <w:t>Beckton</w:t>
      </w:r>
      <w:r>
        <w:rPr>
          <w:rFonts w:ascii="Times New Roman" w:cs="Times New Roman" w:eastAsia="Times New Roman" w:hAnsi="Times New Roman"/>
          <w:sz w:val="18"/>
          <w:szCs w:val="18"/>
          <w:color w:val="auto"/>
        </w:rPr>
        <w:t>”); (x)Matsumura Fishworks LLC, an Ohio limited liability company (“</w:t>
      </w:r>
      <w:r>
        <w:rPr>
          <w:rFonts w:ascii="Times New Roman" w:cs="Times New Roman" w:eastAsia="Times New Roman" w:hAnsi="Times New Roman"/>
          <w:sz w:val="18"/>
          <w:szCs w:val="18"/>
          <w:u w:val="single" w:color="auto"/>
          <w:color w:val="auto"/>
        </w:rPr>
        <w:t>Matsumura</w:t>
      </w:r>
      <w:r>
        <w:rPr>
          <w:rFonts w:ascii="Times New Roman" w:cs="Times New Roman" w:eastAsia="Times New Roman" w:hAnsi="Times New Roman"/>
          <w:sz w:val="18"/>
          <w:szCs w:val="18"/>
          <w:color w:val="auto"/>
        </w:rPr>
        <w:t>”); and (xi) Carl C. Icahn, a citizen of the United States of America (collectively, the “</w:t>
      </w: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Persons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principal business address of each of (i) Icahn Offshore, Icahn Partners, Icahn Master, Icahn Onshore, Icahn Capital, IPH, Icahn Enterprises Holdings, Icahn Enterprises GP and Beckton is 16690 Collins Avenue, PH-1, Sunny Isles Beach, FL 33160, (ii) Matsumura is 312 Walnut Street, Suite 2000, Cincinnati, OH 45202, and (iii) Mr. Icahn is c/o Icahn Associates Holding LLC, 16690 Collins Avenue, PH-1, Sunny Isles Beach, FL 33160.</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Icahn Onshore is the general partner of Icahn Partners. Icahn Offshore is the general partner of Icahn Master. Icahn Capital is the general partner of each of Icahn Onshore and Icahn Offshore. Icahn Enterprises Holdings is the sole member of IPH, which is the general partner of Icahn Capital. Beckton is the sole stockholder of Icahn Enterprises GP, which is the general partner of Icahn Enterprises Holdings. Carl C. Icahn is the sole stockholder of Beckton. As such, Mr. Icahn is in a position indirectly to determine the investment and voting decisions made by each of Icahn Partners, Icahn Onshore, Icahn Master, Icahn Offshore, Icahn Capital, IPH, Icahn Enterprises Holdings, Icahn Enterprises GP, Beckton and Matsumura. In addition, Mr. Icahn is the indirect holder of approximately 86% of the outstanding depositary units representing limited partnership interests in Icahn Enterprises L.P., a Delaware limited partnership (“</w:t>
      </w:r>
      <w:r>
        <w:rPr>
          <w:rFonts w:ascii="Times New Roman" w:cs="Times New Roman" w:eastAsia="Times New Roman" w:hAnsi="Times New Roman"/>
          <w:sz w:val="18"/>
          <w:szCs w:val="18"/>
          <w:u w:val="single" w:color="auto"/>
          <w:color w:val="auto"/>
        </w:rPr>
        <w:t>Icahn Enterprises</w:t>
      </w:r>
      <w:r>
        <w:rPr>
          <w:rFonts w:ascii="Times New Roman" w:cs="Times New Roman" w:eastAsia="Times New Roman" w:hAnsi="Times New Roman"/>
          <w:sz w:val="18"/>
          <w:szCs w:val="18"/>
          <w:color w:val="auto"/>
        </w:rPr>
        <w:t>”). Icahn Enterprises GP is the general partner of Icahn Enterprises, which is the sole limited partner of Icahn Enterprises Holdings. Matsumura is a wholly owned subsidiary of Icahn Partners.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Each of Icahn Partners, Icahn Master and Matsumura is primarily engaged in the business of investing in securities. Icahn Onshore is primarily engaged in the business of serving as the general partner of Icahn Partners. Icahn Offshore is primarily engaged in the business of serving as the general partner of Icahn Master. Icahn Capital is primarily engaged in the business of serving as the general partner of each of Icahn Onshore and Icahn Offshore. IPH is primarily engaged in the business of serving as the general partner of Icahn Capital. Icahn Enterprises Holdings is primarily engaged in the business of holding direct or indirect interests in various operating businesses. Icahn Enterprises GP is primarily engaged in the business of serving as the general partner of each of Icahn Enterprises and Icahn Enterprises Holdings. Beckton is primarily engaged in the business of holding the capital stock of Icahn Enterprises GP.</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Mr. Icahn’s present principal occupation or employment is serving as (i) Chief Executive Officer of Icahn Capital, a wholly owned subsidiary of Icahn Enterprises, through which Mr. Icahn manages various private investment funds, including Icahn Partners and Icahn Master, (ii) Chairman of the Board of Icahn Enterprises GP, the general partner of Icahn Enterprises, a Nasdaq listed diversified holding company engaged in a variety of businesses,including investment, energy, automotive, food packaging, real estate, home fashion and pharma, and (iii) Chairman of the Board and a director of Starfire Holding Corporation (“</w:t>
      </w:r>
      <w:r>
        <w:rPr>
          <w:rFonts w:ascii="Times New Roman" w:cs="Times New Roman" w:eastAsia="Times New Roman" w:hAnsi="Times New Roman"/>
          <w:sz w:val="18"/>
          <w:szCs w:val="18"/>
          <w:u w:val="single" w:color="auto"/>
          <w:color w:val="auto"/>
        </w:rPr>
        <w:t>Starfire</w:t>
      </w:r>
      <w:r>
        <w:rPr>
          <w:rFonts w:ascii="Times New Roman" w:cs="Times New Roman" w:eastAsia="Times New Roman" w:hAnsi="Times New Roman"/>
          <w:sz w:val="18"/>
          <w:szCs w:val="18"/>
          <w:color w:val="auto"/>
        </w:rPr>
        <w:t>”), a holding company engaged in the business of investing in and/or holding securities of various entities, and as Chairman of the Board and a director of various of Starfire’s subsidiaries.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name, citizenship, present principal occupation or employment and business address of each director and executive officer of the Reporting Persons are set forth in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3" w:name="page14"/>
    <w:bookmarkEnd w:id="13"/>
    <w:p>
      <w:pPr>
        <w:jc w:val="both"/>
        <w:spacing w:after="0" w:line="261" w:lineRule="auto"/>
        <w:rPr>
          <w:sz w:val="20"/>
          <w:szCs w:val="20"/>
          <w:color w:val="auto"/>
        </w:rPr>
      </w:pPr>
      <w:r>
        <w:rPr>
          <w:rFonts w:ascii="Times New Roman" w:cs="Times New Roman" w:eastAsia="Times New Roman" w:hAnsi="Times New Roman"/>
          <w:sz w:val="18"/>
          <w:szCs w:val="18"/>
          <w:color w:val="auto"/>
        </w:rPr>
        <w:t>None of the Reporting Persons nor any manager or executive officer of the Reporting Persons, has, during the past five years, (a) been convicted in a criminal proceeding (excluding traffic violations or similar misdemeanors), or (b)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a finding of any violation with respect to such laws.</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3</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Source and Amount of Funds or Other Consideration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Reporting Persons may be deemed to be the beneficial owner, in the aggregate, of 10,201,273 shares of Common Stock. Of such shares of Common Stock, an aggregate of 1,040,100 shares of Common Stock were acquired by Icahn Partners, Icahn Master and Matsumura in open market purchases for an aggregate purchase price of approximately $97.36 million between August 23, 2022 and October 21, 2022. The remaining 9,161,173 shares of Common Stock may be deemed beneficially owned by the Reporting Persons as a result of their having entered into forward contracts (the “</w:t>
      </w:r>
      <w:r>
        <w:rPr>
          <w:rFonts w:ascii="Times New Roman" w:cs="Times New Roman" w:eastAsia="Times New Roman" w:hAnsi="Times New Roman"/>
          <w:sz w:val="18"/>
          <w:szCs w:val="18"/>
          <w:u w:val="single" w:color="auto"/>
          <w:color w:val="auto"/>
        </w:rPr>
        <w:t>Forwards</w:t>
      </w:r>
      <w:r>
        <w:rPr>
          <w:rFonts w:ascii="Times New Roman" w:cs="Times New Roman" w:eastAsia="Times New Roman" w:hAnsi="Times New Roman"/>
          <w:sz w:val="18"/>
          <w:szCs w:val="18"/>
          <w:color w:val="auto"/>
        </w:rPr>
        <w:t>”) with respect to such number of shares of Common Stock at a forward price of $75.00 per share, for an aggregate forward price of approximately $687.1 million, plus a financing charge. The forward price is subject to adjustment to account for any dividends or other distributions declared by the Issuer.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source of funding for the shares of Common Stock (including the shares of Common Stock underlying Forwards) held by the Reporting Persons was the general working capital of the respective purchasers. The shares of Common Stock held by the Reporting Persons are held in margin accounts together with other securities. Such margin accounts may from time to time have debit balances. Part of the purchase price of such shares of Common Stock was obtained through margin borrowing.</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4</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Purpose of Transaction</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Reporting Persons acquired their positions in the shares of Common Stock in the belief that they were undervalued and represented an attractive investment opportunity. The Reporting Persons, among other things, intend to have discussions with representatives of the Issuer's management and board of directors relating to a variety of matters that the Reporting Persons believe will increase shareholder value, including, operational, financial, corporate governance, management, capitalization, accounting, strategic direction, and Share performance matters. The Reporting Persons have also engaged, and intend to continue to engage, in discussions with other current or prospective shareholders, industry analysts, existing or potential strategic partners or competitors, investment and financing professionals, sources of credit, and other third parties regarding a variety of matters relating to the Issuer and the shares of Common Stock, including each of the operational, financial, corporate governance, management, capitalization, accounting, strategic direction and share performance matters noted herein. The Reporting Persons may also take other steps seeking to bring about changes to increase shareholder value.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Reporting Persons may from time to time and at any time: (i) acquire additional shares of Common Stock and/or other securities and/or instruments (including equity, debt or other securities or instruments) of the Issuer (or its affiliates) in the open market, in privately negotiated transactions, or otherwise; (ii) dispose of any or all of their shares of Common Stock and/or other securities and/or instruments of the Issuer (or its affiliates) in the open market, in privately negotiated transactions, or otherwise; (iii) enter into swap and/or other derivative transactions with broker-dealers and/or financial institutions counterparties with respect to the securities of the Issuer (or its affiliates) which may be deemed to either increase or decrease the Reporting Persons economic exposure to the value of the shares of Common Stock or other securities of the Issuer); and/or (iv) engage in any other hedging or similar transactions with respect to the shares of Common Stock and/or other securities or instruments of the Issuer.</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than as set forth above, the Reporting Persons do not have any plans or proposals as of the date of this filing which relate to or would result in any of the actions enumerated in Item 4 of the instructions to Schedule 13D.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5</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Interest in Securities of the Issuer</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jc w:val="both"/>
        <w:ind w:firstLine="8"/>
        <w:spacing w:after="0" w:line="261" w:lineRule="auto"/>
        <w:tabs>
          <w:tab w:leader="none" w:pos="24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November 2, 2022, the Reporting Persons may be deemed to beneficially own, in the aggregate, 10,201,273 shares of Common Stock (including shares of Common Stock underlying Forwards), representing approximately 8.5% of the Issuer’s outstanding shares of Common Stock, based on 119,946,169 shares of Common Stock outstanding as of October 28, 2022, as disclosed by the Issuer in its Form 10-Q for the quarterly period ended September 30, 2022.</w:t>
      </w:r>
    </w:p>
    <w:p>
      <w:pPr>
        <w:spacing w:after="0" w:line="179" w:lineRule="exact"/>
        <w:rPr>
          <w:rFonts w:ascii="Times New Roman" w:cs="Times New Roman" w:eastAsia="Times New Roman" w:hAnsi="Times New Roman"/>
          <w:sz w:val="18"/>
          <w:szCs w:val="18"/>
          <w:color w:val="auto"/>
        </w:rPr>
      </w:pPr>
    </w:p>
    <w:p>
      <w:pPr>
        <w:jc w:val="both"/>
        <w:ind w:firstLine="8"/>
        <w:spacing w:after="0" w:line="254" w:lineRule="auto"/>
        <w:tabs>
          <w:tab w:leader="none" w:pos="28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Icahn Master has sole voting and sole dispositive power with regard to 4,246,014 shares of Common Stock (including shares of Common Stock underlying Forwards). Each of Icahn Offshore, Icahn Capital, IPH GP, Icahn Enterprises Holdings, Icahn Enterprises GP, Beckton and Mr. Icahn, by virtue of their relationships to Icahn Master, has shared voting power and shared dispositive power with regard to such shares of Common Stock. Icahn Partners has sole voting and sole dispositive power with regard to 5,955,159 shares of Common Stock (including shares of Common Stock underlying Forwards). Each of Icahn Onshore, Icahn Capital, IPH GP, Icahn Enterprises Holdings, Icahn Enterprises GP, Beckton and Mr. Icahn, by virtue of their relationships to Icahn Partners, has shared voting power and shared dispositive power with regard to such shares of Common Stock. Matsumura has sole voting power and sole dispositive power and shared and shared dispositive power with respect to 100 shares of Common Stock. Each of Icahn Onshore, Icahn Capital, IPH GP, Icahn Enterprises Holdings, Icahn Enterprises GP, Beckton and Mr. Icahn, by virtue of their relationships to Matsumura, has shared voting power and shared dispositive power with regard to such shares of Common Stock</w:t>
      </w:r>
    </w:p>
    <w:p>
      <w:pPr>
        <w:spacing w:after="0" w:line="188" w:lineRule="exact"/>
        <w:rPr>
          <w:rFonts w:ascii="Times New Roman" w:cs="Times New Roman" w:eastAsia="Times New Roman" w:hAnsi="Times New Roman"/>
          <w:sz w:val="18"/>
          <w:szCs w:val="18"/>
          <w:color w:val="auto"/>
        </w:rPr>
      </w:pPr>
    </w:p>
    <w:p>
      <w:pPr>
        <w:jc w:val="both"/>
        <w:ind w:firstLine="8"/>
        <w:spacing w:after="0" w:line="266" w:lineRule="auto"/>
        <w:tabs>
          <w:tab w:leader="none" w:pos="27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all transactions with respect to the shares of Common Stock effected during the past sixty (60) days by any of the Reporting Persons. Except as otherwise noted below, all such transactions were purchases of shares of Common Stock effected in the open market, and the table includes commissions paid in per share prices.</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4300" w:type="dxa"/>
            <w:vAlign w:val="bottom"/>
            <w:tcBorders>
              <w:top w:val="single" w:sz="8" w:color="auto"/>
              <w:left w:val="single" w:sz="8" w:color="auto"/>
              <w:right w:val="single" w:sz="8" w:color="auto"/>
            </w:tcBorders>
            <w:gridSpan w:val="3"/>
          </w:tcPr>
          <w:p>
            <w:pPr>
              <w:ind w:left="1180"/>
              <w:spacing w:after="0" w:line="189" w:lineRule="exact"/>
              <w:rPr>
                <w:sz w:val="20"/>
                <w:szCs w:val="20"/>
                <w:color w:val="auto"/>
              </w:rPr>
            </w:pPr>
            <w:r>
              <w:rPr>
                <w:rFonts w:ascii="Times New Roman" w:cs="Times New Roman" w:eastAsia="Times New Roman" w:hAnsi="Times New Roman"/>
                <w:sz w:val="18"/>
                <w:szCs w:val="18"/>
                <w:color w:val="auto"/>
              </w:rPr>
              <w:t>Name of Reporting Person</w:t>
            </w:r>
          </w:p>
        </w:tc>
        <w:tc>
          <w:tcPr>
            <w:tcW w:w="1780" w:type="dxa"/>
            <w:vAlign w:val="bottom"/>
            <w:tcBorders>
              <w:top w:val="single" w:sz="8" w:color="auto"/>
              <w:right w:val="single" w:sz="8" w:color="auto"/>
            </w:tcBorders>
            <w:gridSpan w:val="3"/>
          </w:tcPr>
          <w:p>
            <w:pPr>
              <w:jc w:val="center"/>
              <w:ind w:right="40"/>
              <w:spacing w:after="0" w:line="189" w:lineRule="exact"/>
              <w:rPr>
                <w:sz w:val="20"/>
                <w:szCs w:val="20"/>
                <w:color w:val="auto"/>
              </w:rPr>
            </w:pPr>
            <w:r>
              <w:rPr>
                <w:rFonts w:ascii="Times New Roman" w:cs="Times New Roman" w:eastAsia="Times New Roman" w:hAnsi="Times New Roman"/>
                <w:sz w:val="18"/>
                <w:szCs w:val="18"/>
                <w:color w:val="auto"/>
                <w:w w:val="99"/>
              </w:rPr>
              <w:t>Date of Transaction</w:t>
            </w:r>
          </w:p>
        </w:tc>
        <w:tc>
          <w:tcPr>
            <w:tcW w:w="400" w:type="dxa"/>
            <w:vAlign w:val="bottom"/>
            <w:tcBorders>
              <w:top w:val="single" w:sz="8" w:color="auto"/>
            </w:tcBorders>
          </w:tcPr>
          <w:p>
            <w:pPr>
              <w:spacing w:after="0"/>
              <w:rPr>
                <w:sz w:val="16"/>
                <w:szCs w:val="16"/>
                <w:color w:val="auto"/>
              </w:rPr>
            </w:pPr>
          </w:p>
        </w:tc>
        <w:tc>
          <w:tcPr>
            <w:tcW w:w="1980" w:type="dxa"/>
            <w:vAlign w:val="bottom"/>
            <w:tcBorders>
              <w:top w:val="single" w:sz="8" w:color="auto"/>
              <w:right w:val="single" w:sz="8" w:color="auto"/>
            </w:tcBorders>
            <w:gridSpan w:val="3"/>
          </w:tcPr>
          <w:p>
            <w:pPr>
              <w:jc w:val="right"/>
              <w:ind w:right="440"/>
              <w:spacing w:after="0" w:line="189" w:lineRule="exact"/>
              <w:rPr>
                <w:sz w:val="20"/>
                <w:szCs w:val="20"/>
                <w:color w:val="auto"/>
              </w:rPr>
            </w:pPr>
            <w:r>
              <w:rPr>
                <w:rFonts w:ascii="Times New Roman" w:cs="Times New Roman" w:eastAsia="Times New Roman" w:hAnsi="Times New Roman"/>
                <w:sz w:val="18"/>
                <w:szCs w:val="18"/>
                <w:color w:val="auto"/>
                <w:w w:val="98"/>
              </w:rPr>
              <w:t>Number of Securities</w:t>
            </w:r>
          </w:p>
        </w:tc>
        <w:tc>
          <w:tcPr>
            <w:tcW w:w="2780" w:type="dxa"/>
            <w:vAlign w:val="bottom"/>
            <w:tcBorders>
              <w:top w:val="single" w:sz="8" w:color="auto"/>
              <w:right w:val="single" w:sz="8" w:color="auto"/>
            </w:tcBorders>
            <w:gridSpan w:val="4"/>
          </w:tcPr>
          <w:p>
            <w:pPr>
              <w:ind w:left="700"/>
              <w:spacing w:after="0" w:line="189" w:lineRule="exact"/>
              <w:rPr>
                <w:sz w:val="20"/>
                <w:szCs w:val="20"/>
                <w:color w:val="auto"/>
              </w:rPr>
            </w:pPr>
            <w:r>
              <w:rPr>
                <w:rFonts w:ascii="Times New Roman" w:cs="Times New Roman" w:eastAsia="Times New Roman" w:hAnsi="Times New Roman"/>
                <w:sz w:val="18"/>
                <w:szCs w:val="18"/>
                <w:color w:val="auto"/>
              </w:rPr>
              <w:t xml:space="preserve">Price Per Share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r>
      <w:tr>
        <w:trPr>
          <w:trHeight w:val="237"/>
        </w:trPr>
        <w:tc>
          <w:tcPr>
            <w:tcW w:w="1180" w:type="dxa"/>
            <w:vAlign w:val="bottom"/>
            <w:tcBorders>
              <w:left w:val="single" w:sz="8" w:color="auto"/>
              <w:bottom w:val="single" w:sz="8" w:color="auto"/>
            </w:tcBorders>
          </w:tcPr>
          <w:p>
            <w:pPr>
              <w:spacing w:after="0"/>
              <w:rPr>
                <w:sz w:val="20"/>
                <w:szCs w:val="20"/>
                <w:color w:val="auto"/>
              </w:rPr>
            </w:pPr>
          </w:p>
        </w:tc>
        <w:tc>
          <w:tcPr>
            <w:tcW w:w="1920" w:type="dxa"/>
            <w:vAlign w:val="bottom"/>
            <w:tcBorders>
              <w:top w:val="single" w:sz="8" w:color="auto"/>
              <w:bottom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44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r>
      <w:tr>
        <w:trPr>
          <w:trHeight w:val="209"/>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08/23/2022</w:t>
            </w:r>
          </w:p>
        </w:tc>
        <w:tc>
          <w:tcPr>
            <w:tcW w:w="20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61,125</w:t>
            </w: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96.37</w:t>
            </w: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08/24/2022</w:t>
            </w:r>
          </w:p>
        </w:tc>
        <w:tc>
          <w:tcPr>
            <w:tcW w:w="20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22,619</w:t>
            </w: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08/25/2022</w:t>
            </w:r>
          </w:p>
        </w:tc>
        <w:tc>
          <w:tcPr>
            <w:tcW w:w="20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105,710</w:t>
            </w: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97.08</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08/26/2022</w:t>
            </w:r>
          </w:p>
        </w:tc>
        <w:tc>
          <w:tcPr>
            <w:tcW w:w="20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163,622</w:t>
            </w: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93.22</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08/29/2022</w:t>
            </w:r>
          </w:p>
        </w:tc>
        <w:tc>
          <w:tcPr>
            <w:tcW w:w="20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27,731</w:t>
            </w: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92.02</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08/30/2022</w:t>
            </w:r>
          </w:p>
        </w:tc>
        <w:tc>
          <w:tcPr>
            <w:tcW w:w="20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68,614</w:t>
            </w: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91.47</w:t>
            </w: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08/31/2022</w:t>
            </w:r>
          </w:p>
        </w:tc>
        <w:tc>
          <w:tcPr>
            <w:tcW w:w="20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70,947</w:t>
            </w: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91.46</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09/01/2022</w:t>
            </w:r>
          </w:p>
        </w:tc>
        <w:tc>
          <w:tcPr>
            <w:tcW w:w="20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30,344</w:t>
            </w: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90.09</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09/02/2022</w:t>
            </w:r>
          </w:p>
        </w:tc>
        <w:tc>
          <w:tcPr>
            <w:tcW w:w="20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43,541</w:t>
            </w: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91.80</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09/06/2022</w:t>
            </w:r>
          </w:p>
        </w:tc>
        <w:tc>
          <w:tcPr>
            <w:tcW w:w="200" w:type="dxa"/>
            <w:vAlign w:val="bottom"/>
            <w:tcBorders>
              <w:bottom w:val="single" w:sz="8" w:color="auto"/>
              <w:right w:val="single" w:sz="8" w:color="auto"/>
            </w:tcBorders>
          </w:tcPr>
          <w:p>
            <w:pPr>
              <w:spacing w:after="0"/>
              <w:rPr>
                <w:sz w:val="18"/>
                <w:szCs w:val="18"/>
                <w:color w:val="auto"/>
              </w:rPr>
            </w:pPr>
          </w:p>
        </w:tc>
        <w:tc>
          <w:tcPr>
            <w:tcW w:w="2380" w:type="dxa"/>
            <w:vAlign w:val="bottom"/>
            <w:tcBorders>
              <w:bottom w:val="single" w:sz="8" w:color="auto"/>
              <w:right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12,913</w:t>
            </w: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91.51</w:t>
            </w: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09/06/2022</w:t>
            </w:r>
          </w:p>
        </w:tc>
        <w:tc>
          <w:tcPr>
            <w:tcW w:w="2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50,195</w:t>
            </w:r>
          </w:p>
        </w:tc>
        <w:tc>
          <w:tcPr>
            <w:tcW w:w="640" w:type="dxa"/>
            <w:vAlign w:val="bottom"/>
            <w:tcBorders>
              <w:bottom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09/07/2022</w:t>
            </w:r>
          </w:p>
        </w:tc>
        <w:tc>
          <w:tcPr>
            <w:tcW w:w="2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74,540</w:t>
            </w:r>
          </w:p>
        </w:tc>
        <w:tc>
          <w:tcPr>
            <w:tcW w:w="640" w:type="dxa"/>
            <w:vAlign w:val="bottom"/>
            <w:tcBorders>
              <w:bottom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09/08/2022</w:t>
            </w:r>
          </w:p>
        </w:tc>
        <w:tc>
          <w:tcPr>
            <w:tcW w:w="2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92,214</w:t>
            </w:r>
          </w:p>
        </w:tc>
        <w:tc>
          <w:tcPr>
            <w:tcW w:w="640" w:type="dxa"/>
            <w:vAlign w:val="bottom"/>
            <w:tcBorders>
              <w:bottom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22.03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09/09/2022</w:t>
            </w:r>
          </w:p>
        </w:tc>
        <w:tc>
          <w:tcPr>
            <w:tcW w:w="2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83,390</w:t>
            </w:r>
          </w:p>
        </w:tc>
        <w:tc>
          <w:tcPr>
            <w:tcW w:w="640" w:type="dxa"/>
            <w:vAlign w:val="bottom"/>
            <w:tcBorders>
              <w:bottom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23.66</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09/12/2022</w:t>
            </w:r>
          </w:p>
        </w:tc>
        <w:tc>
          <w:tcPr>
            <w:tcW w:w="2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55,107</w:t>
            </w:r>
          </w:p>
        </w:tc>
        <w:tc>
          <w:tcPr>
            <w:tcW w:w="640" w:type="dxa"/>
            <w:vAlign w:val="bottom"/>
            <w:tcBorders>
              <w:bottom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24.77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09/13/2022</w:t>
            </w:r>
          </w:p>
        </w:tc>
        <w:tc>
          <w:tcPr>
            <w:tcW w:w="2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69,375</w:t>
            </w:r>
          </w:p>
        </w:tc>
        <w:tc>
          <w:tcPr>
            <w:tcW w:w="640" w:type="dxa"/>
            <w:vAlign w:val="bottom"/>
            <w:tcBorders>
              <w:bottom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09/14/2022</w:t>
            </w:r>
          </w:p>
        </w:tc>
        <w:tc>
          <w:tcPr>
            <w:tcW w:w="2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104,270</w:t>
            </w:r>
          </w:p>
        </w:tc>
        <w:tc>
          <w:tcPr>
            <w:tcW w:w="640" w:type="dxa"/>
            <w:vAlign w:val="bottom"/>
            <w:tcBorders>
              <w:bottom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21.97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09/15/2022</w:t>
            </w:r>
          </w:p>
        </w:tc>
        <w:tc>
          <w:tcPr>
            <w:tcW w:w="2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60,561</w:t>
            </w:r>
          </w:p>
        </w:tc>
        <w:tc>
          <w:tcPr>
            <w:tcW w:w="640" w:type="dxa"/>
            <w:vAlign w:val="bottom"/>
            <w:tcBorders>
              <w:bottom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22.24</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09/20/2022</w:t>
            </w:r>
          </w:p>
        </w:tc>
        <w:tc>
          <w:tcPr>
            <w:tcW w:w="2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71,856</w:t>
            </w:r>
          </w:p>
        </w:tc>
        <w:tc>
          <w:tcPr>
            <w:tcW w:w="640" w:type="dxa"/>
            <w:vAlign w:val="bottom"/>
            <w:tcBorders>
              <w:bottom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right w:val="single" w:sz="8" w:color="auto"/>
            </w:tcBorders>
          </w:tcPr>
          <w:p>
            <w:pPr>
              <w:spacing w:after="0"/>
              <w:rPr>
                <w:sz w:val="18"/>
                <w:szCs w:val="18"/>
                <w:color w:val="auto"/>
              </w:rPr>
            </w:pPr>
          </w:p>
        </w:tc>
      </w:tr>
      <w:tr>
        <w:trPr>
          <w:trHeight w:val="209"/>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09/21/2022</w:t>
            </w:r>
          </w:p>
        </w:tc>
        <w:tc>
          <w:tcPr>
            <w:tcW w:w="2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101,966</w:t>
            </w:r>
          </w:p>
        </w:tc>
        <w:tc>
          <w:tcPr>
            <w:tcW w:w="640" w:type="dxa"/>
            <w:vAlign w:val="bottom"/>
            <w:tcBorders>
              <w:bottom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14.63</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09/22/2022</w:t>
            </w:r>
          </w:p>
        </w:tc>
        <w:tc>
          <w:tcPr>
            <w:tcW w:w="2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228,759</w:t>
            </w:r>
          </w:p>
        </w:tc>
        <w:tc>
          <w:tcPr>
            <w:tcW w:w="640" w:type="dxa"/>
            <w:vAlign w:val="bottom"/>
            <w:tcBorders>
              <w:bottom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09/23/2022</w:t>
            </w:r>
          </w:p>
        </w:tc>
        <w:tc>
          <w:tcPr>
            <w:tcW w:w="2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225,734</w:t>
            </w:r>
          </w:p>
        </w:tc>
        <w:tc>
          <w:tcPr>
            <w:tcW w:w="640" w:type="dxa"/>
            <w:vAlign w:val="bottom"/>
            <w:tcBorders>
              <w:bottom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right w:val="single" w:sz="8" w:color="auto"/>
            </w:tcBorders>
          </w:tcPr>
          <w:p>
            <w:pPr>
              <w:spacing w:after="0"/>
              <w:rPr>
                <w:sz w:val="18"/>
                <w:szCs w:val="18"/>
                <w:color w:val="auto"/>
              </w:rPr>
            </w:pPr>
          </w:p>
        </w:tc>
      </w:tr>
      <w:tr>
        <w:trPr>
          <w:trHeight w:val="210"/>
        </w:trPr>
        <w:tc>
          <w:tcPr>
            <w:tcW w:w="4300" w:type="dxa"/>
            <w:vAlign w:val="bottom"/>
            <w:tcBorders>
              <w:left w:val="single" w:sz="8" w:color="auto"/>
              <w:bottom w:val="single" w:sz="8" w:color="auto"/>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580" w:type="dxa"/>
            <w:vAlign w:val="bottom"/>
            <w:tcBorders>
              <w:bottom w:val="single" w:sz="8" w:color="auto"/>
            </w:tcBorders>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09/26/2022</w:t>
            </w:r>
          </w:p>
        </w:tc>
        <w:tc>
          <w:tcPr>
            <w:tcW w:w="200" w:type="dxa"/>
            <w:vAlign w:val="bottom"/>
            <w:tcBorders>
              <w:bottom w:val="single" w:sz="8" w:color="auto"/>
              <w:right w:val="single" w:sz="8" w:color="auto"/>
            </w:tcBorders>
          </w:tcPr>
          <w:p>
            <w:pPr>
              <w:spacing w:after="0"/>
              <w:rPr>
                <w:sz w:val="18"/>
                <w:szCs w:val="18"/>
                <w:color w:val="auto"/>
              </w:rPr>
            </w:pPr>
          </w:p>
        </w:tc>
        <w:tc>
          <w:tcPr>
            <w:tcW w:w="1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57,667</w:t>
            </w:r>
          </w:p>
        </w:tc>
        <w:tc>
          <w:tcPr>
            <w:tcW w:w="640" w:type="dxa"/>
            <w:vAlign w:val="bottom"/>
            <w:tcBorders>
              <w:bottom w:val="single" w:sz="8" w:color="auto"/>
              <w:right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20" w:type="dxa"/>
            <w:vAlign w:val="bottom"/>
            <w:tcBorders>
              <w:bottom w:val="single" w:sz="8" w:color="auto"/>
              <w:right w:val="single" w:sz="8" w:color="auto"/>
            </w:tcBorders>
          </w:tcPr>
          <w:p>
            <w:pPr>
              <w:spacing w:after="0"/>
              <w:rPr>
                <w:sz w:val="18"/>
                <w:szCs w:val="18"/>
                <w:color w:val="auto"/>
              </w:rPr>
            </w:pPr>
          </w:p>
        </w:tc>
      </w:tr>
      <w:tr>
        <w:trPr>
          <w:trHeight w:val="365"/>
        </w:trPr>
        <w:tc>
          <w:tcPr>
            <w:tcW w:w="11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4"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3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10/04/2022</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218,410</w:t>
            </w:r>
          </w:p>
        </w:tc>
        <w:tc>
          <w:tcPr>
            <w:tcW w:w="64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96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10/05/2022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143,180</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10/06/2022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110,873</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10/07/2022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88,764</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10/10/2022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55,053</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10/11/2022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62,835</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10/12/2022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90,251</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61,422</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10/14/2022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68,768</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10/17/2022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154,113</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10/19/2022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67,479</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10/20/2022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89,669</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10/21/2022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176,157</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10/24/2022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110,366</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10/25/2022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863,482</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10/26/2022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621,803</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10/27/2022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458,518</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10/28/2022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81,861</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10/31/2022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108,119</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167,373</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11/2/2022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273,863</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08/23/2022</w:t>
            </w:r>
          </w:p>
        </w:tc>
        <w:tc>
          <w:tcPr>
            <w:tcW w:w="2380" w:type="dxa"/>
            <w:vAlign w:val="bottom"/>
            <w:tcBorders>
              <w:bottom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43,575</w:t>
            </w:r>
          </w:p>
        </w:tc>
        <w:tc>
          <w:tcPr>
            <w:tcW w:w="2780" w:type="dxa"/>
            <w:vAlign w:val="bottom"/>
            <w:tcBorders>
              <w:bottom w:val="single" w:sz="8" w:color="auto"/>
              <w:right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96.37</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08/24/2022</w:t>
            </w:r>
          </w:p>
        </w:tc>
        <w:tc>
          <w:tcPr>
            <w:tcW w:w="2380" w:type="dxa"/>
            <w:vAlign w:val="bottom"/>
            <w:tcBorders>
              <w:bottom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16,124</w:t>
            </w:r>
          </w:p>
        </w:tc>
        <w:tc>
          <w:tcPr>
            <w:tcW w:w="2780" w:type="dxa"/>
            <w:vAlign w:val="bottom"/>
            <w:tcBorders>
              <w:bottom w:val="single" w:sz="8" w:color="auto"/>
              <w:right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97.33</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08/25/2022</w:t>
            </w:r>
          </w:p>
        </w:tc>
        <w:tc>
          <w:tcPr>
            <w:tcW w:w="2380" w:type="dxa"/>
            <w:vAlign w:val="bottom"/>
            <w:tcBorders>
              <w:bottom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75,360</w:t>
            </w:r>
          </w:p>
        </w:tc>
        <w:tc>
          <w:tcPr>
            <w:tcW w:w="2780" w:type="dxa"/>
            <w:vAlign w:val="bottom"/>
            <w:tcBorders>
              <w:bottom w:val="single" w:sz="8" w:color="auto"/>
              <w:right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97.08</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08/26/2022</w:t>
            </w:r>
          </w:p>
        </w:tc>
        <w:tc>
          <w:tcPr>
            <w:tcW w:w="2380" w:type="dxa"/>
            <w:vAlign w:val="bottom"/>
            <w:tcBorders>
              <w:bottom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116,643</w:t>
            </w:r>
          </w:p>
        </w:tc>
        <w:tc>
          <w:tcPr>
            <w:tcW w:w="2780" w:type="dxa"/>
            <w:vAlign w:val="bottom"/>
            <w:tcBorders>
              <w:bottom w:val="single" w:sz="8" w:color="auto"/>
              <w:right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93.22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08/29/2022</w:t>
            </w:r>
          </w:p>
        </w:tc>
        <w:tc>
          <w:tcPr>
            <w:tcW w:w="2380" w:type="dxa"/>
            <w:vAlign w:val="bottom"/>
            <w:tcBorders>
              <w:bottom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19,770</w:t>
            </w:r>
          </w:p>
        </w:tc>
        <w:tc>
          <w:tcPr>
            <w:tcW w:w="2780" w:type="dxa"/>
            <w:vAlign w:val="bottom"/>
            <w:tcBorders>
              <w:bottom w:val="single" w:sz="8" w:color="auto"/>
              <w:right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92.02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08/30/2022</w:t>
            </w:r>
          </w:p>
        </w:tc>
        <w:tc>
          <w:tcPr>
            <w:tcW w:w="2380" w:type="dxa"/>
            <w:vAlign w:val="bottom"/>
            <w:tcBorders>
              <w:bottom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48,913</w:t>
            </w:r>
          </w:p>
        </w:tc>
        <w:tc>
          <w:tcPr>
            <w:tcW w:w="2780" w:type="dxa"/>
            <w:vAlign w:val="bottom"/>
            <w:tcBorders>
              <w:bottom w:val="single" w:sz="8" w:color="auto"/>
              <w:right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91.47</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08/31/2022</w:t>
            </w:r>
          </w:p>
        </w:tc>
        <w:tc>
          <w:tcPr>
            <w:tcW w:w="2380" w:type="dxa"/>
            <w:vAlign w:val="bottom"/>
            <w:tcBorders>
              <w:bottom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50,577</w:t>
            </w:r>
          </w:p>
        </w:tc>
        <w:tc>
          <w:tcPr>
            <w:tcW w:w="2780" w:type="dxa"/>
            <w:vAlign w:val="bottom"/>
            <w:tcBorders>
              <w:bottom w:val="single" w:sz="8" w:color="auto"/>
              <w:right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91.46</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09/01/2022</w:t>
            </w:r>
          </w:p>
        </w:tc>
        <w:tc>
          <w:tcPr>
            <w:tcW w:w="2380" w:type="dxa"/>
            <w:vAlign w:val="bottom"/>
            <w:tcBorders>
              <w:bottom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21,755</w:t>
            </w:r>
          </w:p>
        </w:tc>
        <w:tc>
          <w:tcPr>
            <w:tcW w:w="2780" w:type="dxa"/>
            <w:vAlign w:val="bottom"/>
            <w:tcBorders>
              <w:bottom w:val="single" w:sz="8" w:color="auto"/>
              <w:right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90.09</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09/02/2022</w:t>
            </w:r>
          </w:p>
        </w:tc>
        <w:tc>
          <w:tcPr>
            <w:tcW w:w="2380" w:type="dxa"/>
            <w:vAlign w:val="bottom"/>
            <w:tcBorders>
              <w:bottom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31,050</w:t>
            </w:r>
          </w:p>
        </w:tc>
        <w:tc>
          <w:tcPr>
            <w:tcW w:w="2780" w:type="dxa"/>
            <w:vAlign w:val="bottom"/>
            <w:tcBorders>
              <w:bottom w:val="single" w:sz="8" w:color="auto"/>
              <w:right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91.80</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09/06/2022</w:t>
            </w:r>
          </w:p>
        </w:tc>
        <w:tc>
          <w:tcPr>
            <w:tcW w:w="2380" w:type="dxa"/>
            <w:vAlign w:val="bottom"/>
            <w:tcBorders>
              <w:bottom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9,067</w:t>
            </w:r>
          </w:p>
        </w:tc>
        <w:tc>
          <w:tcPr>
            <w:tcW w:w="2780" w:type="dxa"/>
            <w:vAlign w:val="bottom"/>
            <w:tcBorders>
              <w:bottom w:val="single" w:sz="8" w:color="auto"/>
              <w:right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91.51</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09/06/2022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35,783</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09/07/2022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53,138</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09/08/2022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09/09/2022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59,448</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09/12/2022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39,284</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09/13/2022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49,455</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09/14/2022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74,332</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09/15/2022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43,173</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09/20/2022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51,224</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09/21/2022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72,689</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09/22/2022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163,077</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09/23/2022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160,920</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09/26/2022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41,108</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10/04/2022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155,842</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10/05/2022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102,078</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10/06/2022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79,046</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10/07/2022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63,284</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10/10/2022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39,249</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365"/>
        </w:trPr>
        <w:tc>
          <w:tcPr>
            <w:tcW w:w="4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16" w:right="339" w:bottom="1440" w:gutter="0" w:footer="0" w:header="0"/>
        </w:sectPr>
      </w:pPr>
    </w:p>
    <w:bookmarkStart w:id="16" w:name="page17"/>
    <w:bookmarkEnd w:id="1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43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10/11/2022</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44,798</w:t>
            </w:r>
          </w:p>
        </w:tc>
        <w:tc>
          <w:tcPr>
            <w:tcW w:w="64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960" w:type="dxa"/>
            <w:vAlign w:val="bottom"/>
            <w:tcBorders>
              <w:top w:val="single" w:sz="8" w:color="auto"/>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10/12/2022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64,344</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10/13/2022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43,790</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10/14/2022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49,028</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10/17/2022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109,872</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10/19/2022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48,110</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10/20/2022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63,929</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10/21/2022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125,589</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10/24/2022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78,755</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10/25/2022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615,614</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10/26/2022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443,308</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10/27/2022</w:t>
            </w:r>
          </w:p>
        </w:tc>
        <w:tc>
          <w:tcPr>
            <w:tcW w:w="2380" w:type="dxa"/>
            <w:vAlign w:val="bottom"/>
            <w:tcBorders>
              <w:bottom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326,897(1)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10/28/2022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58,363</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10/31/2022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77,082</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11/1/2022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119,589</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09"/>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Icahn Partners Master Fund LP</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11/2/2022</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195,247</w:t>
            </w:r>
          </w:p>
        </w:tc>
        <w:tc>
          <w:tcPr>
            <w:tcW w:w="640" w:type="dxa"/>
            <w:vAlign w:val="bottom"/>
            <w:tcBorders>
              <w:bottom w:val="single" w:sz="8" w:color="auto"/>
              <w:right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95"/>
              </w:rPr>
              <w:t>(1)</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960" w:type="dxa"/>
            <w:vAlign w:val="bottom"/>
            <w:tcBorders>
              <w:bottom w:val="single" w:sz="8" w:color="auto"/>
              <w:right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430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Matsumura Fishworks LLC</w:t>
            </w:r>
          </w:p>
        </w:tc>
        <w:tc>
          <w:tcPr>
            <w:tcW w:w="1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10/21/2022</w:t>
            </w:r>
          </w:p>
        </w:tc>
        <w:tc>
          <w:tcPr>
            <w:tcW w:w="2380" w:type="dxa"/>
            <w:vAlign w:val="bottom"/>
            <w:tcBorders>
              <w:bottom w:val="single" w:sz="8" w:color="auto"/>
              <w:right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8"/>
                <w:szCs w:val="18"/>
                <w:color w:val="auto"/>
              </w:rPr>
              <w:t>100</w:t>
            </w:r>
          </w:p>
        </w:tc>
        <w:tc>
          <w:tcPr>
            <w:tcW w:w="2780" w:type="dxa"/>
            <w:vAlign w:val="bottom"/>
            <w:tcBorders>
              <w:bottom w:val="single" w:sz="8" w:color="auto"/>
              <w:right w:val="single" w:sz="8" w:color="auto"/>
            </w:tcBorders>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82.34</w:t>
            </w:r>
          </w:p>
        </w:tc>
      </w:tr>
    </w:tbl>
    <w:p>
      <w:pPr>
        <w:spacing w:after="0" w:line="198" w:lineRule="exact"/>
        <w:rPr>
          <w:sz w:val="20"/>
          <w:szCs w:val="20"/>
          <w:color w:val="auto"/>
        </w:rPr>
      </w:pPr>
    </w:p>
    <w:p>
      <w:pPr>
        <w:ind w:left="660" w:hanging="490"/>
        <w:spacing w:after="0"/>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to be acquired pursuant to Forwards, which expire on September 8, 2025.</w:t>
      </w:r>
    </w:p>
    <w:p>
      <w:pPr>
        <w:spacing w:after="0" w:line="117" w:lineRule="exact"/>
        <w:rPr>
          <w:rFonts w:ascii="Times New Roman" w:cs="Times New Roman" w:eastAsia="Times New Roman" w:hAnsi="Times New Roman"/>
          <w:sz w:val="18"/>
          <w:szCs w:val="18"/>
          <w:color w:val="auto"/>
        </w:rPr>
      </w:pPr>
    </w:p>
    <w:p>
      <w:pPr>
        <w:ind w:left="660" w:right="320" w:hanging="490"/>
        <w:spacing w:after="0" w:line="266" w:lineRule="auto"/>
        <w:tabs>
          <w:tab w:leader="none" w:pos="6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per share of Common Stock the Reporting Person paid the counterparty to the forward contract upon entering into such forward contract. The forward price is $75.00 per share. The forward price is subject to adjustment to account for any dividends or other distributions declared by the Issuer. In addition, the Reporting Persons paid a financing charge to the counterparty to such forward contract.</w:t>
      </w:r>
    </w:p>
    <w:p>
      <w:pPr>
        <w:spacing w:after="0" w:line="6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6</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Contracts, Arrangements, Understandings or Relationship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Forward Contracts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the relevant dates listed above in Item 5(c), certain of the Reporting Persons entered into Forwards providing for the purchase by such Reporting Persons of an aggregate of 9,161,173 shares of Common Stock at a forward price of $75.00 per share, for an aggregate forward price of approximately $687.1 million, plus a financing charge. The forward price is subject to adjustment to account for any dividends or other distributions declared by the Issuer. The Reporting Persons also paid the counterparty to the Forwards an aggregate amount of approximately $29.6 million upon entering into such Forwards.</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Forwards provide for physical settlement, with the Reporting Person retaining the right to elect cash settlement. The Forwards do not give any Reporting Persons direct or indirect voting, investment or dispositive control over the shares of Common Stock to which such contracts relate. The Forwards expire on September 8, 2025.</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Reporting Persons may from time to time enter into one or more cash-settled equity swaps with broker-dealers or other financial institutions counterparties with respect to the shares of Common Stock and/or other securities of the Issuer, with reference prices and maturity dates that vary depending upon the terms of each such cash-settled swap. After giving effect to such transactions, the Reporting Persons may be deemed to have either increased or decreased economic exposure to the shares of Common Stock and/or other securities of the Issuer. The Reporting Persons do not have voting power or dispositive power with respect to the shares of Common Stock or the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16" w:right="339" w:bottom="1440" w:gutter="0" w:footer="0" w:header="0"/>
        </w:sectPr>
      </w:pPr>
    </w:p>
    <w:bookmarkStart w:id="17" w:name="page18"/>
    <w:bookmarkEnd w:id="17"/>
    <w:p>
      <w:pPr>
        <w:spacing w:after="0" w:line="282" w:lineRule="auto"/>
        <w:rPr>
          <w:sz w:val="20"/>
          <w:szCs w:val="20"/>
          <w:color w:val="auto"/>
        </w:rPr>
      </w:pPr>
      <w:r>
        <w:rPr>
          <w:rFonts w:ascii="Times New Roman" w:cs="Times New Roman" w:eastAsia="Times New Roman" w:hAnsi="Times New Roman"/>
          <w:sz w:val="18"/>
          <w:szCs w:val="18"/>
          <w:color w:val="auto"/>
        </w:rPr>
        <w:t>securities of the Issuer referenced in such cash settled swaps and disclaim beneficial ownership of the shares of Common Stock or other securities to which such swaps relate.</w:t>
      </w:r>
    </w:p>
    <w:p>
      <w:pPr>
        <w:spacing w:after="0" w:line="1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u w:val="single" w:color="auto"/>
          <w:color w:val="auto"/>
        </w:rPr>
        <w:t>Item 7</w:t>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7"/>
          <w:szCs w:val="17"/>
          <w:b w:val="1"/>
          <w:bCs w:val="1"/>
          <w:u w:val="single" w:color="auto"/>
          <w:color w:val="auto"/>
        </w:rPr>
        <w:t>Material to Be Filed as Exhibits</w:t>
      </w:r>
      <w:r>
        <w:rPr>
          <w:rFonts w:ascii="Times New Roman" w:cs="Times New Roman" w:eastAsia="Times New Roman" w:hAnsi="Times New Roman"/>
          <w:sz w:val="17"/>
          <w:szCs w:val="17"/>
          <w:b w:val="1"/>
          <w:bCs w:val="1"/>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Joint Filing Agreement of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797560</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 w:name="page19"/>
    <w:bookmarkEnd w:id="1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7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each of the undersigned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3, 2022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ONSHORE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PARTNERS MASTER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OFFSHORE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CAPITAL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IPH GP LLC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c>
          <w:tcPr>
            <w:tcW w:w="680" w:type="dxa"/>
            <w:vAlign w:val="bottom"/>
          </w:tcPr>
          <w:p>
            <w:pPr>
              <w:spacing w:after="0"/>
              <w:rPr>
                <w:sz w:val="17"/>
                <w:szCs w:val="17"/>
                <w:color w:val="auto"/>
              </w:rPr>
            </w:pPr>
          </w:p>
        </w:tc>
      </w:tr>
      <w:tr>
        <w:trPr>
          <w:trHeight w:val="218"/>
        </w:trPr>
        <w:tc>
          <w:tcPr>
            <w:tcW w:w="460" w:type="dxa"/>
            <w:vAlign w:val="bottom"/>
          </w:tcPr>
          <w:p>
            <w:pPr>
              <w:spacing w:after="0"/>
              <w:rPr>
                <w:sz w:val="18"/>
                <w:szCs w:val="18"/>
                <w:color w:val="auto"/>
              </w:rPr>
            </w:pPr>
          </w:p>
        </w:tc>
        <w:tc>
          <w:tcPr>
            <w:tcW w:w="2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Name: Jesse Lynn</w:t>
            </w:r>
          </w:p>
        </w:tc>
      </w:tr>
      <w:tr>
        <w:trPr>
          <w:trHeight w:val="234"/>
        </w:trPr>
        <w:tc>
          <w:tcPr>
            <w:tcW w:w="460" w:type="dxa"/>
            <w:vAlign w:val="bottom"/>
          </w:tcPr>
          <w:p>
            <w:pPr>
              <w:spacing w:after="0"/>
              <w:rPr>
                <w:sz w:val="20"/>
                <w:szCs w:val="20"/>
                <w:color w:val="auto"/>
              </w:rPr>
            </w:pPr>
          </w:p>
        </w:tc>
        <w:tc>
          <w:tcPr>
            <w:tcW w:w="2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7"/>
              </w:rPr>
              <w:t>Title: Chief Operating Officer</w:t>
            </w:r>
          </w:p>
        </w:tc>
      </w:tr>
      <w:tr>
        <w:trPr>
          <w:trHeight w:val="648"/>
        </w:trPr>
        <w:tc>
          <w:tcPr>
            <w:tcW w:w="2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BECKTON CORP.</w:t>
            </w:r>
          </w:p>
        </w:tc>
      </w:tr>
      <w:tr>
        <w:trPr>
          <w:trHeight w:val="39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c>
          <w:tcPr>
            <w:tcW w:w="680" w:type="dxa"/>
            <w:vAlign w:val="bottom"/>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2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Name: Jesse Lynn</w:t>
            </w:r>
          </w:p>
        </w:tc>
      </w:tr>
      <w:tr>
        <w:trPr>
          <w:trHeight w:val="234"/>
        </w:trPr>
        <w:tc>
          <w:tcPr>
            <w:tcW w:w="460" w:type="dxa"/>
            <w:vAlign w:val="bottom"/>
          </w:tcPr>
          <w:p>
            <w:pPr>
              <w:spacing w:after="0"/>
              <w:rPr>
                <w:sz w:val="20"/>
                <w:szCs w:val="20"/>
                <w:color w:val="auto"/>
              </w:rPr>
            </w:pPr>
          </w:p>
        </w:tc>
        <w:tc>
          <w:tcPr>
            <w:tcW w:w="2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ENTERPRISES HOLDINGS 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Icahn Enterprises G.P. Inc.,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ENTERPRISES G.P. INC.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18"/>
                <w:szCs w:val="18"/>
                <w:color w:val="auto"/>
              </w:rPr>
            </w:pPr>
          </w:p>
        </w:tc>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Ted Papapostolou</w:t>
            </w:r>
          </w:p>
        </w:tc>
        <w:tc>
          <w:tcPr>
            <w:tcW w:w="340" w:type="dxa"/>
            <w:vAlign w:val="bottom"/>
          </w:tcPr>
          <w:p>
            <w:pPr>
              <w:spacing w:after="0"/>
              <w:rPr>
                <w:sz w:val="18"/>
                <w:szCs w:val="18"/>
                <w:color w:val="auto"/>
              </w:rPr>
            </w:pPr>
          </w:p>
        </w:tc>
      </w:tr>
      <w:tr>
        <w:trPr>
          <w:trHeight w:val="218"/>
        </w:trPr>
        <w:tc>
          <w:tcPr>
            <w:tcW w:w="460" w:type="dxa"/>
            <w:vAlign w:val="bottom"/>
          </w:tcPr>
          <w:p>
            <w:pPr>
              <w:spacing w:after="0"/>
              <w:rPr>
                <w:sz w:val="18"/>
                <w:szCs w:val="18"/>
                <w:color w:val="auto"/>
              </w:rPr>
            </w:pP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Name: Ted Papapostolou</w:t>
            </w:r>
          </w:p>
        </w:tc>
      </w:tr>
      <w:tr>
        <w:trPr>
          <w:trHeight w:val="234"/>
        </w:trPr>
        <w:tc>
          <w:tcPr>
            <w:tcW w:w="460" w:type="dxa"/>
            <w:vAlign w:val="bottom"/>
          </w:tcPr>
          <w:p>
            <w:pPr>
              <w:spacing w:after="0"/>
              <w:rPr>
                <w:sz w:val="20"/>
                <w:szCs w:val="20"/>
                <w:color w:val="auto"/>
              </w:rPr>
            </w:pP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8"/>
              </w:rPr>
              <w:t>Title: Chief Accounting Officer</w:t>
            </w:r>
          </w:p>
        </w:tc>
      </w:tr>
      <w:tr>
        <w:trPr>
          <w:trHeight w:val="648"/>
        </w:trPr>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MATSUMURA FISHWORKS LLC</w:t>
            </w:r>
          </w:p>
        </w:tc>
      </w:tr>
      <w:tr>
        <w:trPr>
          <w:trHeight w:val="39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c>
          <w:tcPr>
            <w:tcW w:w="800" w:type="dxa"/>
            <w:vAlign w:val="bottom"/>
            <w:gridSpan w:val="2"/>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Name: Jesse Lyn</w:t>
            </w:r>
          </w:p>
        </w:tc>
      </w:tr>
      <w:tr>
        <w:trPr>
          <w:trHeight w:val="234"/>
        </w:trPr>
        <w:tc>
          <w:tcPr>
            <w:tcW w:w="460" w:type="dxa"/>
            <w:vAlign w:val="bottom"/>
          </w:tcPr>
          <w:p>
            <w:pPr>
              <w:spacing w:after="0"/>
              <w:rPr>
                <w:sz w:val="20"/>
                <w:szCs w:val="20"/>
                <w:color w:val="auto"/>
              </w:rPr>
            </w:pP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Title: Chief Operating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Carl C.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201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 C.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76" w:right="37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148" w:lineRule="exact"/>
        <w:rPr>
          <w:sz w:val="20"/>
          <w:szCs w:val="20"/>
          <w:color w:val="auto"/>
        </w:rPr>
      </w:pPr>
    </w:p>
    <w:p>
      <w:pPr>
        <w:jc w:val="both"/>
        <w:ind w:firstLine="648"/>
        <w:spacing w:after="0" w:line="269" w:lineRule="auto"/>
        <w:rPr>
          <w:sz w:val="20"/>
          <w:szCs w:val="20"/>
          <w:color w:val="auto"/>
        </w:rPr>
      </w:pPr>
      <w:r>
        <w:rPr>
          <w:rFonts w:ascii="Times New Roman" w:cs="Times New Roman" w:eastAsia="Times New Roman" w:hAnsi="Times New Roman"/>
          <w:sz w:val="18"/>
          <w:szCs w:val="18"/>
          <w:color w:val="auto"/>
        </w:rPr>
        <w:t>In accordance with Rule 13d-1(k)(1) under the Securities Exchange Act of 1934, as amended, the persons named below agree to the joint filing on behalf of each of them of a statement on Schedule 13D (including amendments thereto) with respect to the shares of common stock, $5.00 par value per share, of Crown Holdings, Inc. and further agree that this Joint Filing Agreement be included as an Exhibit to such joint filings. In evidence thereof, the undersigned, being duly authorized, have executed this Joint Filing Agreement this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day of November, 2022.</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PARTNERS 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ONSHORE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PARTNERS MASTER FUND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OFFSHORE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CAPITAL LP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IPH GP LLC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17"/>
                <w:szCs w:val="17"/>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c>
          <w:tcPr>
            <w:tcW w:w="680" w:type="dxa"/>
            <w:vAlign w:val="bottom"/>
          </w:tcPr>
          <w:p>
            <w:pPr>
              <w:spacing w:after="0"/>
              <w:rPr>
                <w:sz w:val="17"/>
                <w:szCs w:val="17"/>
                <w:color w:val="auto"/>
              </w:rPr>
            </w:pPr>
          </w:p>
        </w:tc>
      </w:tr>
      <w:tr>
        <w:trPr>
          <w:trHeight w:val="218"/>
        </w:trPr>
        <w:tc>
          <w:tcPr>
            <w:tcW w:w="460" w:type="dxa"/>
            <w:vAlign w:val="bottom"/>
          </w:tcPr>
          <w:p>
            <w:pPr>
              <w:spacing w:after="0"/>
              <w:rPr>
                <w:sz w:val="18"/>
                <w:szCs w:val="18"/>
                <w:color w:val="auto"/>
              </w:rPr>
            </w:pPr>
          </w:p>
        </w:tc>
        <w:tc>
          <w:tcPr>
            <w:tcW w:w="2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Name: Jesse Lynn</w:t>
            </w:r>
          </w:p>
        </w:tc>
      </w:tr>
      <w:tr>
        <w:trPr>
          <w:trHeight w:val="234"/>
        </w:trPr>
        <w:tc>
          <w:tcPr>
            <w:tcW w:w="460" w:type="dxa"/>
            <w:vAlign w:val="bottom"/>
          </w:tcPr>
          <w:p>
            <w:pPr>
              <w:spacing w:after="0"/>
              <w:rPr>
                <w:sz w:val="20"/>
                <w:szCs w:val="20"/>
                <w:color w:val="auto"/>
              </w:rPr>
            </w:pPr>
          </w:p>
        </w:tc>
        <w:tc>
          <w:tcPr>
            <w:tcW w:w="2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97"/>
              </w:rPr>
              <w:t>Title: Chief Operating Officer</w:t>
            </w:r>
          </w:p>
        </w:tc>
      </w:tr>
      <w:tr>
        <w:trPr>
          <w:trHeight w:val="648"/>
        </w:trPr>
        <w:tc>
          <w:tcPr>
            <w:tcW w:w="2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BECKTON CORP.</w:t>
            </w:r>
          </w:p>
        </w:tc>
      </w:tr>
      <w:tr>
        <w:trPr>
          <w:trHeight w:val="39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c>
          <w:tcPr>
            <w:tcW w:w="680" w:type="dxa"/>
            <w:vAlign w:val="bottom"/>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2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Name: Jesse Lynn</w:t>
            </w:r>
          </w:p>
        </w:tc>
      </w:tr>
      <w:tr>
        <w:trPr>
          <w:trHeight w:val="234"/>
        </w:trPr>
        <w:tc>
          <w:tcPr>
            <w:tcW w:w="460" w:type="dxa"/>
            <w:vAlign w:val="bottom"/>
          </w:tcPr>
          <w:p>
            <w:pPr>
              <w:spacing w:after="0"/>
              <w:rPr>
                <w:sz w:val="20"/>
                <w:szCs w:val="20"/>
                <w:color w:val="auto"/>
              </w:rPr>
            </w:pPr>
          </w:p>
        </w:tc>
        <w:tc>
          <w:tcPr>
            <w:tcW w:w="234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Title: Vice President</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ENTERPRISES HOLDINGS L.P.</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By: Icahn Enterprises G.P. Inc., its general partner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ICAHN ENTERPRISES G.P. INC.</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18"/>
                <w:szCs w:val="18"/>
                <w:color w:val="auto"/>
              </w:rPr>
            </w:pPr>
          </w:p>
        </w:tc>
        <w:tc>
          <w:tcPr>
            <w:tcW w:w="18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Ted Papapostolou</w:t>
            </w:r>
          </w:p>
        </w:tc>
        <w:tc>
          <w:tcPr>
            <w:tcW w:w="340" w:type="dxa"/>
            <w:vAlign w:val="bottom"/>
          </w:tcPr>
          <w:p>
            <w:pPr>
              <w:spacing w:after="0"/>
              <w:rPr>
                <w:sz w:val="18"/>
                <w:szCs w:val="18"/>
                <w:color w:val="auto"/>
              </w:rPr>
            </w:pPr>
          </w:p>
        </w:tc>
      </w:tr>
      <w:tr>
        <w:trPr>
          <w:trHeight w:val="218"/>
        </w:trPr>
        <w:tc>
          <w:tcPr>
            <w:tcW w:w="460" w:type="dxa"/>
            <w:vAlign w:val="bottom"/>
          </w:tcPr>
          <w:p>
            <w:pPr>
              <w:spacing w:after="0"/>
              <w:rPr>
                <w:sz w:val="18"/>
                <w:szCs w:val="18"/>
                <w:color w:val="auto"/>
              </w:rPr>
            </w:pP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Name: Ted Papapostolou</w:t>
            </w:r>
          </w:p>
        </w:tc>
      </w:tr>
      <w:tr>
        <w:trPr>
          <w:trHeight w:val="234"/>
        </w:trPr>
        <w:tc>
          <w:tcPr>
            <w:tcW w:w="460" w:type="dxa"/>
            <w:vAlign w:val="bottom"/>
          </w:tcPr>
          <w:p>
            <w:pPr>
              <w:spacing w:after="0"/>
              <w:rPr>
                <w:sz w:val="20"/>
                <w:szCs w:val="20"/>
                <w:color w:val="auto"/>
              </w:rPr>
            </w:pP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8"/>
              </w:rPr>
              <w:t>Title: Chief Accounting Officer</w:t>
            </w:r>
          </w:p>
        </w:tc>
      </w:tr>
      <w:tr>
        <w:trPr>
          <w:trHeight w:val="648"/>
        </w:trPr>
        <w:tc>
          <w:tcPr>
            <w:tcW w:w="29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MATSUMURA FISHWORKS LLC</w:t>
            </w:r>
          </w:p>
        </w:tc>
      </w:tr>
      <w:tr>
        <w:trPr>
          <w:trHeight w:val="391"/>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Jesse Lynn</w:t>
            </w:r>
          </w:p>
        </w:tc>
        <w:tc>
          <w:tcPr>
            <w:tcW w:w="800" w:type="dxa"/>
            <w:vAlign w:val="bottom"/>
            <w:gridSpan w:val="2"/>
          </w:tcPr>
          <w:p>
            <w:pPr>
              <w:spacing w:after="0"/>
              <w:rPr>
                <w:sz w:val="24"/>
                <w:szCs w:val="24"/>
                <w:color w:val="auto"/>
              </w:rPr>
            </w:pPr>
          </w:p>
        </w:tc>
      </w:tr>
      <w:tr>
        <w:trPr>
          <w:trHeight w:val="218"/>
        </w:trPr>
        <w:tc>
          <w:tcPr>
            <w:tcW w:w="460" w:type="dxa"/>
            <w:vAlign w:val="bottom"/>
          </w:tcPr>
          <w:p>
            <w:pPr>
              <w:spacing w:after="0"/>
              <w:rPr>
                <w:sz w:val="18"/>
                <w:szCs w:val="18"/>
                <w:color w:val="auto"/>
              </w:rPr>
            </w:pP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Name: Jesse Lynn</w:t>
            </w:r>
          </w:p>
        </w:tc>
      </w:tr>
      <w:tr>
        <w:trPr>
          <w:trHeight w:val="234"/>
        </w:trPr>
        <w:tc>
          <w:tcPr>
            <w:tcW w:w="460" w:type="dxa"/>
            <w:vAlign w:val="bottom"/>
          </w:tcPr>
          <w:p>
            <w:pPr>
              <w:spacing w:after="0"/>
              <w:rPr>
                <w:sz w:val="20"/>
                <w:szCs w:val="20"/>
                <w:color w:val="auto"/>
              </w:rPr>
            </w:pPr>
          </w:p>
        </w:tc>
        <w:tc>
          <w:tcPr>
            <w:tcW w:w="24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Title: Chief Operating Officer</w:t>
            </w: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Carl C.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1201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12014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CARL C. ICAHN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EXECUTIVE OFFICERS OF THE REPORTING PERSONS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sets forth the name, position, and principal occupation of each director and executive officer of each of the Reporting Persons. Each such person is a citizen of the United States of America. Except as otherwise indicated, the business address of each director and officer is c/o Icahn Capital LLC, 16690 Collins Avenue, PH-1, Sunny Isles Beach, FL 33160. To the best of the Reporting Persons’ knowledge, except as set forth in this statement on Schedule 13D, none of the directors or executive officers of the Reporting Persons own any shares of Common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ICAHN PARTNERS LP</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tcPr>
          <w:p>
            <w:pPr>
              <w:spacing w:after="0"/>
              <w:rPr>
                <w:sz w:val="18"/>
                <w:szCs w:val="18"/>
                <w:color w:val="auto"/>
              </w:rPr>
            </w:pPr>
          </w:p>
        </w:tc>
      </w:tr>
      <w:tr>
        <w:trPr>
          <w:trHeight w:val="216"/>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ICAHN ONSHORE LP</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tcPr>
          <w:p>
            <w:pPr>
              <w:spacing w:after="0"/>
              <w:rPr>
                <w:sz w:val="18"/>
                <w:szCs w:val="18"/>
                <w:color w:val="auto"/>
              </w:rPr>
            </w:pPr>
          </w:p>
        </w:tc>
      </w:tr>
      <w:tr>
        <w:trPr>
          <w:trHeight w:val="216"/>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ICAHN PARTNERS MASTER FUND LP</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tcPr>
          <w:p>
            <w:pPr>
              <w:spacing w:after="0"/>
              <w:rPr>
                <w:sz w:val="18"/>
                <w:szCs w:val="18"/>
                <w:color w:val="auto"/>
              </w:rPr>
            </w:pPr>
          </w:p>
        </w:tc>
      </w:tr>
      <w:tr>
        <w:trPr>
          <w:trHeight w:val="216"/>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ICAHN OFFSHORE LP</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tcPr>
          <w:p>
            <w:pPr>
              <w:spacing w:after="0"/>
              <w:rPr>
                <w:sz w:val="18"/>
                <w:szCs w:val="18"/>
                <w:color w:val="auto"/>
              </w:rPr>
            </w:pPr>
          </w:p>
        </w:tc>
      </w:tr>
      <w:tr>
        <w:trPr>
          <w:trHeight w:val="216"/>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ICAHN CAPITAL LP</w:t>
            </w: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380" w:type="dxa"/>
            <w:vAlign w:val="bottom"/>
          </w:tcPr>
          <w:p>
            <w:pPr>
              <w:spacing w:after="0"/>
              <w:rPr>
                <w:sz w:val="18"/>
                <w:szCs w:val="18"/>
                <w:color w:val="auto"/>
              </w:rPr>
            </w:pPr>
          </w:p>
        </w:tc>
      </w:tr>
      <w:tr>
        <w:trPr>
          <w:trHeight w:val="220"/>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IPH GP LLC</w:t>
            </w: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194"/>
        </w:trPr>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7"/>
              </w:rPr>
              <w:t>Name</w:t>
            </w:r>
          </w:p>
        </w:tc>
        <w:tc>
          <w:tcPr>
            <w:tcW w:w="322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Position</w:t>
            </w:r>
          </w:p>
        </w:tc>
        <w:tc>
          <w:tcPr>
            <w:tcW w:w="6380" w:type="dxa"/>
            <w:vAlign w:val="bottom"/>
          </w:tcPr>
          <w:p>
            <w:pPr>
              <w:spacing w:after="0"/>
              <w:rPr>
                <w:sz w:val="16"/>
                <w:szCs w:val="16"/>
                <w:color w:val="auto"/>
              </w:rPr>
            </w:pPr>
          </w:p>
        </w:tc>
      </w:tr>
      <w:tr>
        <w:trPr>
          <w:trHeight w:val="218"/>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Icahn Offshore LP</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Carl C. Icahn</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Jesse Lynn</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Julie Price</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Vice President Operations</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Marat Muratov</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Chief Financial Officer; Controller; Authorized Signatory</w:t>
            </w:r>
          </w:p>
        </w:tc>
      </w:tr>
      <w:tr>
        <w:trPr>
          <w:trHeight w:val="234"/>
        </w:trPr>
        <w:tc>
          <w:tcPr>
            <w:tcW w:w="100" w:type="dxa"/>
            <w:vAlign w:val="bottom"/>
          </w:tcPr>
          <w:p>
            <w:pPr>
              <w:spacing w:after="0"/>
              <w:rPr>
                <w:sz w:val="20"/>
                <w:szCs w:val="20"/>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Gail Golden</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ICAHN ENTERPRISES HOLDINGS L.P.</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392"/>
        </w:trPr>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Name</w:t>
            </w:r>
          </w:p>
        </w:tc>
        <w:tc>
          <w:tcPr>
            <w:tcW w:w="3220" w:type="dxa"/>
            <w:vAlign w:val="bottom"/>
            <w:gridSpan w:val="2"/>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Position</w:t>
            </w:r>
          </w:p>
        </w:tc>
        <w:tc>
          <w:tcPr>
            <w:tcW w:w="6380" w:type="dxa"/>
            <w:vAlign w:val="bottom"/>
          </w:tcPr>
          <w:p>
            <w:pPr>
              <w:spacing w:after="0"/>
              <w:rPr>
                <w:sz w:val="24"/>
                <w:szCs w:val="24"/>
                <w:color w:val="auto"/>
              </w:rPr>
            </w:pPr>
          </w:p>
        </w:tc>
      </w:tr>
      <w:tr>
        <w:trPr>
          <w:trHeight w:val="237"/>
        </w:trPr>
        <w:tc>
          <w:tcPr>
            <w:tcW w:w="100" w:type="dxa"/>
            <w:vAlign w:val="bottom"/>
          </w:tcPr>
          <w:p>
            <w:pPr>
              <w:spacing w:after="0"/>
              <w:rPr>
                <w:sz w:val="20"/>
                <w:szCs w:val="20"/>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Icahn Enterprises G.P. Inc.</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14"/>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ICAHN ENTERPRISES G.P. INC.</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194"/>
        </w:trPr>
        <w:tc>
          <w:tcPr>
            <w:tcW w:w="100" w:type="dxa"/>
            <w:vAlign w:val="bottom"/>
          </w:tcPr>
          <w:p>
            <w:pPr>
              <w:spacing w:after="0"/>
              <w:rPr>
                <w:sz w:val="16"/>
                <w:szCs w:val="16"/>
                <w:color w:val="auto"/>
              </w:rPr>
            </w:pPr>
          </w:p>
        </w:tc>
        <w:tc>
          <w:tcPr>
            <w:tcW w:w="460" w:type="dxa"/>
            <w:vAlign w:val="bottom"/>
            <w:tcBorders>
              <w:bottom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color w:val="auto"/>
              </w:rPr>
              <w:t>Name</w:t>
            </w:r>
          </w:p>
        </w:tc>
        <w:tc>
          <w:tcPr>
            <w:tcW w:w="3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Position</w:t>
            </w:r>
          </w:p>
        </w:tc>
        <w:tc>
          <w:tcPr>
            <w:tcW w:w="6380" w:type="dxa"/>
            <w:vAlign w:val="bottom"/>
          </w:tcPr>
          <w:p>
            <w:pPr>
              <w:spacing w:after="0"/>
              <w:rPr>
                <w:sz w:val="16"/>
                <w:szCs w:val="16"/>
                <w:color w:val="auto"/>
              </w:rPr>
            </w:pPr>
          </w:p>
        </w:tc>
      </w:tr>
      <w:tr>
        <w:trPr>
          <w:trHeight w:val="218"/>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Carl C. Icahn</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Chairman</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Brett Icahn</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Alvin B. Krongard</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Denise Barton</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Nancy Dunlap</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David Willetts</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 Chief Executive Officer</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Ted Papapostolou</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 Chief Financial Officer; Principal Accounting Officer; Secretary</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Steve A. Mongillo</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Nevin</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Kevin McGinness</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Director SEC Reporting</w:t>
            </w:r>
          </w:p>
        </w:tc>
      </w:tr>
      <w:tr>
        <w:trPr>
          <w:trHeight w:val="234"/>
        </w:trPr>
        <w:tc>
          <w:tcPr>
            <w:tcW w:w="100" w:type="dxa"/>
            <w:vAlign w:val="bottom"/>
          </w:tcPr>
          <w:p>
            <w:pPr>
              <w:spacing w:after="0"/>
              <w:rPr>
                <w:sz w:val="20"/>
                <w:szCs w:val="20"/>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Craig Pettit</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Vice President of Tax Administration</w:t>
            </w:r>
          </w:p>
        </w:tc>
      </w:tr>
      <w:tr>
        <w:trPr>
          <w:trHeight w:val="414"/>
        </w:trPr>
        <w:tc>
          <w:tcPr>
            <w:tcW w:w="3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MATSUMURA FISHWORKS LLC</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194"/>
        </w:trPr>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7"/>
              </w:rPr>
              <w:t>Name</w:t>
            </w:r>
          </w:p>
        </w:tc>
        <w:tc>
          <w:tcPr>
            <w:tcW w:w="3220" w:type="dxa"/>
            <w:vAlign w:val="bottom"/>
            <w:gridSpan w:val="2"/>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Position</w:t>
            </w:r>
          </w:p>
        </w:tc>
        <w:tc>
          <w:tcPr>
            <w:tcW w:w="6380" w:type="dxa"/>
            <w:vAlign w:val="bottom"/>
          </w:tcPr>
          <w:p>
            <w:pPr>
              <w:spacing w:after="0"/>
              <w:rPr>
                <w:sz w:val="16"/>
                <w:szCs w:val="16"/>
                <w:color w:val="auto"/>
              </w:rPr>
            </w:pPr>
          </w:p>
        </w:tc>
      </w:tr>
      <w:tr>
        <w:trPr>
          <w:trHeight w:val="218"/>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Icahn Partners LP</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Sole Member</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Jesse Lynn</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Alex Servalis</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Chief Compliance Officer</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Julie Price</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Vice President – Operations</w:t>
            </w:r>
          </w:p>
        </w:tc>
      </w:tr>
      <w:tr>
        <w:trPr>
          <w:trHeight w:val="216"/>
        </w:trPr>
        <w:tc>
          <w:tcPr>
            <w:tcW w:w="100" w:type="dxa"/>
            <w:vAlign w:val="bottom"/>
          </w:tcPr>
          <w:p>
            <w:pPr>
              <w:spacing w:after="0"/>
              <w:rPr>
                <w:sz w:val="18"/>
                <w:szCs w:val="18"/>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Marat Muratov</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100" w:type="dxa"/>
            <w:vAlign w:val="bottom"/>
          </w:tcPr>
          <w:p>
            <w:pPr>
              <w:spacing w:after="0"/>
              <w:rPr>
                <w:sz w:val="20"/>
                <w:szCs w:val="20"/>
                <w:color w:val="auto"/>
              </w:rPr>
            </w:pPr>
          </w:p>
        </w:tc>
        <w:tc>
          <w:tcPr>
            <w:tcW w:w="3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Craig Pettit</w:t>
            </w:r>
          </w:p>
        </w:tc>
        <w:tc>
          <w:tcPr>
            <w:tcW w:w="748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Vice President – Taxes</w:t>
            </w:r>
          </w:p>
        </w:tc>
      </w:tr>
      <w:tr>
        <w:trPr>
          <w:trHeight w:val="588"/>
        </w:trPr>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BECKTON CORP.</w:t>
            </w: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380" w:type="dxa"/>
            <w:vAlign w:val="bottom"/>
          </w:tcPr>
          <w:p>
            <w:pPr>
              <w:spacing w:after="0"/>
              <w:rPr>
                <w:sz w:val="19"/>
                <w:szCs w:val="19"/>
                <w:color w:val="auto"/>
              </w:rPr>
            </w:pPr>
          </w:p>
        </w:tc>
      </w:tr>
      <w:tr>
        <w:trPr>
          <w:trHeight w:val="194"/>
        </w:trPr>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7"/>
              </w:rPr>
              <w:t>Name</w:t>
            </w:r>
          </w:p>
        </w:tc>
        <w:tc>
          <w:tcPr>
            <w:tcW w:w="27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Position</w:t>
            </w:r>
          </w:p>
        </w:tc>
        <w:tc>
          <w:tcPr>
            <w:tcW w:w="6380" w:type="dxa"/>
            <w:vAlign w:val="bottom"/>
          </w:tcPr>
          <w:p>
            <w:pPr>
              <w:spacing w:after="0"/>
              <w:rPr>
                <w:sz w:val="16"/>
                <w:szCs w:val="16"/>
                <w:color w:val="auto"/>
              </w:rPr>
            </w:pPr>
          </w:p>
        </w:tc>
      </w:tr>
      <w:tr>
        <w:trPr>
          <w:trHeight w:val="178"/>
        </w:trPr>
        <w:tc>
          <w:tcPr>
            <w:tcW w:w="100" w:type="dxa"/>
            <w:vAlign w:val="bottom"/>
          </w:tcPr>
          <w:p>
            <w:pPr>
              <w:spacing w:after="0"/>
              <w:rPr>
                <w:sz w:val="15"/>
                <w:szCs w:val="15"/>
                <w:color w:val="auto"/>
              </w:rPr>
            </w:pPr>
          </w:p>
        </w:tc>
        <w:tc>
          <w:tcPr>
            <w:tcW w:w="31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Carl C. Icahn</w:t>
            </w:r>
          </w:p>
        </w:tc>
        <w:tc>
          <w:tcPr>
            <w:tcW w:w="980" w:type="dxa"/>
            <w:vAlign w:val="bottom"/>
          </w:tcPr>
          <w:p>
            <w:pPr>
              <w:spacing w:after="0"/>
              <w:rPr>
                <w:sz w:val="15"/>
                <w:szCs w:val="15"/>
                <w:color w:val="auto"/>
              </w:rPr>
            </w:pPr>
          </w:p>
        </w:tc>
        <w:tc>
          <w:tcPr>
            <w:tcW w:w="60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w w:val="81"/>
              </w:rPr>
              <w:t>Chairman</w:t>
            </w:r>
          </w:p>
        </w:tc>
        <w:tc>
          <w:tcPr>
            <w:tcW w:w="63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of the Board; President</w:t>
            </w:r>
          </w:p>
        </w:tc>
      </w:tr>
      <w:tr>
        <w:trPr>
          <w:trHeight w:val="189"/>
        </w:trPr>
        <w:tc>
          <w:tcPr>
            <w:tcW w:w="100" w:type="dxa"/>
            <w:vAlign w:val="bottom"/>
          </w:tcPr>
          <w:p>
            <w:pPr>
              <w:spacing w:after="0"/>
              <w:rPr>
                <w:sz w:val="16"/>
                <w:szCs w:val="16"/>
                <w:color w:val="auto"/>
              </w:rPr>
            </w:pPr>
          </w:p>
        </w:tc>
        <w:tc>
          <w:tcPr>
            <w:tcW w:w="3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Jordan Bleznick</w:t>
            </w:r>
          </w:p>
        </w:tc>
        <w:tc>
          <w:tcPr>
            <w:tcW w:w="79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Vice President/Taxes</w:t>
            </w:r>
          </w:p>
        </w:tc>
      </w:tr>
      <w:tr>
        <w:trPr>
          <w:trHeight w:val="189"/>
        </w:trPr>
        <w:tc>
          <w:tcPr>
            <w:tcW w:w="100" w:type="dxa"/>
            <w:vAlign w:val="bottom"/>
          </w:tcPr>
          <w:p>
            <w:pPr>
              <w:spacing w:after="0"/>
              <w:rPr>
                <w:sz w:val="16"/>
                <w:szCs w:val="16"/>
                <w:color w:val="auto"/>
              </w:rPr>
            </w:pPr>
          </w:p>
        </w:tc>
        <w:tc>
          <w:tcPr>
            <w:tcW w:w="3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Hunter Gary</w:t>
            </w:r>
          </w:p>
        </w:tc>
        <w:tc>
          <w:tcPr>
            <w:tcW w:w="79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Secretary</w:t>
            </w:r>
          </w:p>
        </w:tc>
      </w:tr>
      <w:tr>
        <w:trPr>
          <w:trHeight w:val="189"/>
        </w:trPr>
        <w:tc>
          <w:tcPr>
            <w:tcW w:w="100" w:type="dxa"/>
            <w:vAlign w:val="bottom"/>
          </w:tcPr>
          <w:p>
            <w:pPr>
              <w:spacing w:after="0"/>
              <w:rPr>
                <w:sz w:val="16"/>
                <w:szCs w:val="16"/>
                <w:color w:val="auto"/>
              </w:rPr>
            </w:pPr>
          </w:p>
        </w:tc>
        <w:tc>
          <w:tcPr>
            <w:tcW w:w="31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Jesse Lynn</w:t>
            </w:r>
          </w:p>
        </w:tc>
        <w:tc>
          <w:tcPr>
            <w:tcW w:w="7960" w:type="dxa"/>
            <w:vAlign w:val="bottom"/>
            <w:gridSpan w:val="3"/>
          </w:tcPr>
          <w:p>
            <w:pPr>
              <w:ind w:left="980"/>
              <w:spacing w:after="0" w:line="189" w:lineRule="exact"/>
              <w:rPr>
                <w:sz w:val="20"/>
                <w:szCs w:val="20"/>
                <w:color w:val="auto"/>
              </w:rPr>
            </w:pPr>
            <w:r>
              <w:rPr>
                <w:rFonts w:ascii="Times New Roman" w:cs="Times New Roman" w:eastAsia="Times New Roman" w:hAnsi="Times New Roman"/>
                <w:sz w:val="18"/>
                <w:szCs w:val="18"/>
                <w:color w:val="auto"/>
              </w:rPr>
              <w:t>Vice President</w:t>
            </w:r>
          </w:p>
        </w:tc>
      </w:tr>
      <w:tr>
        <w:trPr>
          <w:trHeight w:val="234"/>
        </w:trPr>
        <w:tc>
          <w:tcPr>
            <w:tcW w:w="100" w:type="dxa"/>
            <w:vAlign w:val="bottom"/>
          </w:tcPr>
          <w:p>
            <w:pPr>
              <w:spacing w:after="0"/>
              <w:rPr>
                <w:sz w:val="20"/>
                <w:szCs w:val="20"/>
                <w:color w:val="auto"/>
              </w:rPr>
            </w:pPr>
          </w:p>
        </w:tc>
        <w:tc>
          <w:tcPr>
            <w:tcW w:w="3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Rowella Asuncion-Gumabong</w:t>
            </w:r>
          </w:p>
        </w:tc>
        <w:tc>
          <w:tcPr>
            <w:tcW w:w="7960" w:type="dxa"/>
            <w:vAlign w:val="bottom"/>
            <w:gridSpan w:val="3"/>
          </w:tcPr>
          <w:p>
            <w:pPr>
              <w:ind w:left="980"/>
              <w:spacing w:after="0"/>
              <w:rPr>
                <w:sz w:val="20"/>
                <w:szCs w:val="20"/>
                <w:color w:val="auto"/>
              </w:rPr>
            </w:pPr>
            <w:r>
              <w:rPr>
                <w:rFonts w:ascii="Times New Roman" w:cs="Times New Roman" w:eastAsia="Times New Roman" w:hAnsi="Times New Roman"/>
                <w:sz w:val="18"/>
                <w:szCs w:val="18"/>
                <w:color w:val="auto"/>
              </w:rPr>
              <w:t>Vice President</w:t>
            </w:r>
          </w:p>
        </w:tc>
      </w:tr>
      <w:tr>
        <w:trPr>
          <w:trHeight w:val="601"/>
        </w:trPr>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1)"/>
      <w:numFmt w:val="decimal"/>
      <w:start w:val="1"/>
    </w:lvl>
    <w:lvl w:ilvl="1">
      <w:lvlJc w:val="left"/>
      <w:lvlText w:val="(%2)"/>
      <w:numFmt w:val="lowerLetter"/>
      <w:start w:val="1"/>
    </w:lvl>
  </w:abstractNum>
  <w:abstractNum w:abstractNumId="2">
    <w:nsid w:val="257130A3"/>
    <w:multiLevelType w:val="hybridMultilevel"/>
    <w:lvl w:ilvl="0">
      <w:lvlJc w:val="left"/>
      <w:lvlText w:val="(%1)"/>
      <w:numFmt w:val="decimal"/>
      <w:start w:val="10"/>
    </w:lvl>
  </w:abstractNum>
  <w:abstractNum w:abstractNumId="3">
    <w:nsid w:val="62BBD95A"/>
    <w:multiLevelType w:val="hybridMultilevel"/>
    <w:lvl w:ilvl="0">
      <w:lvlJc w:val="left"/>
      <w:lvlText w:val="(%1)"/>
      <w:numFmt w:val="decimal"/>
      <w:start w:val="11"/>
    </w:lvl>
  </w:abstractNum>
  <w:abstractNum w:abstractNumId="4">
    <w:nsid w:val="436C6125"/>
    <w:multiLevelType w:val="hybridMultilevel"/>
    <w:lvl w:ilvl="0">
      <w:lvlJc w:val="left"/>
      <w:lvlText w:val="(%1)"/>
      <w:numFmt w:val="decimal"/>
      <w:start w:val="1"/>
    </w:lvl>
    <w:lvl w:ilvl="1">
      <w:lvlJc w:val="left"/>
      <w:lvlText w:val="(%2)"/>
      <w:numFmt w:val="lowerLetter"/>
      <w:start w:val="1"/>
    </w:lvl>
  </w:abstractNum>
  <w:abstractNum w:abstractNumId="5">
    <w:nsid w:val="628C895D"/>
    <w:multiLevelType w:val="hybridMultilevel"/>
    <w:lvl w:ilvl="0">
      <w:lvlJc w:val="left"/>
      <w:lvlText w:val="%1"/>
      <w:numFmt w:val="decimal"/>
      <w:start w:val="1"/>
    </w:lvl>
    <w:lvl w:ilvl="1">
      <w:lvlJc w:val="left"/>
      <w:lvlText w:val="(%2)"/>
      <w:numFmt w:val="decimal"/>
      <w:start w:val="10"/>
    </w:lvl>
  </w:abstractNum>
  <w:abstractNum w:abstractNumId="6">
    <w:nsid w:val="333AB105"/>
    <w:multiLevelType w:val="hybridMultilevel"/>
    <w:lvl w:ilvl="0">
      <w:lvlJc w:val="left"/>
      <w:lvlText w:val="(%1)"/>
      <w:numFmt w:val="decimal"/>
      <w:start w:val="11"/>
    </w:lvl>
    <w:lvl w:ilvl="1">
      <w:lvlJc w:val="left"/>
      <w:lvlText w:val="%2"/>
      <w:numFmt w:val="decimal"/>
      <w:start w:val="1"/>
    </w:lvl>
  </w:abstractNum>
  <w:abstractNum w:abstractNumId="7">
    <w:nsid w:val="721DA317"/>
    <w:multiLevelType w:val="hybridMultilevel"/>
    <w:lvl w:ilvl="0">
      <w:lvlJc w:val="left"/>
      <w:lvlText w:val="(%1)"/>
      <w:numFmt w:val="decimal"/>
      <w:start w:val="1"/>
    </w:lvl>
    <w:lvl w:ilvl="1">
      <w:lvlJc w:val="left"/>
      <w:lvlText w:val="(%2)"/>
      <w:numFmt w:val="lowerLetter"/>
      <w:start w:val="1"/>
    </w:lvl>
  </w:abstractNum>
  <w:abstractNum w:abstractNumId="8">
    <w:nsid w:val="2443A858"/>
    <w:multiLevelType w:val="hybridMultilevel"/>
    <w:lvl w:ilvl="0">
      <w:lvlJc w:val="left"/>
      <w:lvlText w:val="%1"/>
      <w:numFmt w:val="decimal"/>
      <w:start w:val="1"/>
    </w:lvl>
    <w:lvl w:ilvl="1">
      <w:lvlJc w:val="left"/>
      <w:lvlText w:val="(%2)"/>
      <w:numFmt w:val="decimal"/>
      <w:start w:val="10"/>
    </w:lvl>
  </w:abstractNum>
  <w:abstractNum w:abstractNumId="9">
    <w:nsid w:val="2D1D5AE9"/>
    <w:multiLevelType w:val="hybridMultilevel"/>
    <w:lvl w:ilvl="0">
      <w:lvlJc w:val="left"/>
      <w:lvlText w:val="(%1)"/>
      <w:numFmt w:val="decimal"/>
      <w:start w:val="11"/>
    </w:lvl>
    <w:lvl w:ilvl="1">
      <w:lvlJc w:val="left"/>
      <w:lvlText w:val="%2"/>
      <w:numFmt w:val="decimal"/>
      <w:start w:val="1"/>
    </w:lvl>
  </w:abstractNum>
  <w:abstractNum w:abstractNumId="10">
    <w:nsid w:val="6763845E"/>
    <w:multiLevelType w:val="hybridMultilevel"/>
    <w:lvl w:ilvl="0">
      <w:lvlJc w:val="left"/>
      <w:lvlText w:val="(%1)"/>
      <w:numFmt w:val="decimal"/>
      <w:start w:val="1"/>
    </w:lvl>
    <w:lvl w:ilvl="1">
      <w:lvlJc w:val="left"/>
      <w:lvlText w:val="(%2)"/>
      <w:numFmt w:val="lowerLetter"/>
      <w:start w:val="1"/>
    </w:lvl>
  </w:abstractNum>
  <w:abstractNum w:abstractNumId="11">
    <w:nsid w:val="75A2A8D4"/>
    <w:multiLevelType w:val="hybridMultilevel"/>
    <w:lvl w:ilvl="0">
      <w:lvlJc w:val="left"/>
      <w:lvlText w:val="%1"/>
      <w:numFmt w:val="decimal"/>
      <w:start w:val="1"/>
    </w:lvl>
    <w:lvl w:ilvl="1">
      <w:lvlJc w:val="left"/>
      <w:lvlText w:val="(%2)"/>
      <w:numFmt w:val="decimal"/>
      <w:start w:val="10"/>
    </w:lvl>
  </w:abstractNum>
  <w:abstractNum w:abstractNumId="12">
    <w:nsid w:val="8EDBDAB"/>
    <w:multiLevelType w:val="hybridMultilevel"/>
    <w:lvl w:ilvl="0">
      <w:lvlJc w:val="left"/>
      <w:lvlText w:val="(%1)"/>
      <w:numFmt w:val="decimal"/>
      <w:start w:val="11"/>
    </w:lvl>
    <w:lvl w:ilvl="1">
      <w:lvlJc w:val="left"/>
      <w:lvlText w:val="%2"/>
      <w:numFmt w:val="decimal"/>
      <w:start w:val="1"/>
    </w:lvl>
  </w:abstractNum>
  <w:abstractNum w:abstractNumId="13">
    <w:nsid w:val="79838CB2"/>
    <w:multiLevelType w:val="hybridMultilevel"/>
    <w:lvl w:ilvl="0">
      <w:lvlJc w:val="left"/>
      <w:lvlText w:val="(%1)"/>
      <w:numFmt w:val="decimal"/>
      <w:start w:val="1"/>
    </w:lvl>
    <w:lvl w:ilvl="1">
      <w:lvlJc w:val="left"/>
      <w:lvlText w:val="(%2)"/>
      <w:numFmt w:val="lowerLetter"/>
      <w:start w:val="1"/>
    </w:lvl>
  </w:abstractNum>
  <w:abstractNum w:abstractNumId="14">
    <w:nsid w:val="4353D0CD"/>
    <w:multiLevelType w:val="hybridMultilevel"/>
    <w:lvl w:ilvl="0">
      <w:lvlJc w:val="left"/>
      <w:lvlText w:val="%1"/>
      <w:numFmt w:val="decimal"/>
      <w:start w:val="1"/>
    </w:lvl>
    <w:lvl w:ilvl="1">
      <w:lvlJc w:val="left"/>
      <w:lvlText w:val="(%2)"/>
      <w:numFmt w:val="decimal"/>
      <w:start w:val="10"/>
    </w:lvl>
  </w:abstractNum>
  <w:abstractNum w:abstractNumId="15">
    <w:nsid w:val="B03E0C6"/>
    <w:multiLevelType w:val="hybridMultilevel"/>
    <w:lvl w:ilvl="0">
      <w:lvlJc w:val="left"/>
      <w:lvlText w:val="(%1)"/>
      <w:numFmt w:val="decimal"/>
      <w:start w:val="11"/>
    </w:lvl>
    <w:lvl w:ilvl="1">
      <w:lvlJc w:val="left"/>
      <w:lvlText w:val="%2"/>
      <w:numFmt w:val="decimal"/>
      <w:start w:val="1"/>
    </w:lvl>
  </w:abstractNum>
  <w:abstractNum w:abstractNumId="16">
    <w:nsid w:val="189A769B"/>
    <w:multiLevelType w:val="hybridMultilevel"/>
    <w:lvl w:ilvl="0">
      <w:lvlJc w:val="left"/>
      <w:lvlText w:val="(%1)"/>
      <w:numFmt w:val="decimal"/>
      <w:start w:val="1"/>
    </w:lvl>
    <w:lvl w:ilvl="1">
      <w:lvlJc w:val="left"/>
      <w:lvlText w:val="(%2)"/>
      <w:numFmt w:val="lowerLetter"/>
      <w:start w:val="1"/>
    </w:lvl>
  </w:abstractNum>
  <w:abstractNum w:abstractNumId="17">
    <w:nsid w:val="54E49EB4"/>
    <w:multiLevelType w:val="hybridMultilevel"/>
    <w:lvl w:ilvl="0">
      <w:lvlJc w:val="left"/>
      <w:lvlText w:val="%1"/>
      <w:numFmt w:val="decimal"/>
      <w:start w:val="1"/>
    </w:lvl>
    <w:lvl w:ilvl="1">
      <w:lvlJc w:val="left"/>
      <w:lvlText w:val="(%2)"/>
      <w:numFmt w:val="decimal"/>
      <w:start w:val="10"/>
    </w:lvl>
  </w:abstractNum>
  <w:abstractNum w:abstractNumId="18">
    <w:nsid w:val="71F32454"/>
    <w:multiLevelType w:val="hybridMultilevel"/>
    <w:lvl w:ilvl="0">
      <w:lvlJc w:val="left"/>
      <w:lvlText w:val="(%1)"/>
      <w:numFmt w:val="decimal"/>
      <w:start w:val="11"/>
    </w:lvl>
    <w:lvl w:ilvl="1">
      <w:lvlJc w:val="left"/>
      <w:lvlText w:val="%2"/>
      <w:numFmt w:val="decimal"/>
      <w:start w:val="1"/>
    </w:lvl>
  </w:abstractNum>
  <w:abstractNum w:abstractNumId="19">
    <w:nsid w:val="2CA88611"/>
    <w:multiLevelType w:val="hybridMultilevel"/>
    <w:lvl w:ilvl="0">
      <w:lvlJc w:val="left"/>
      <w:lvlText w:val="(%1)"/>
      <w:numFmt w:val="decimal"/>
      <w:start w:val="1"/>
    </w:lvl>
    <w:lvl w:ilvl="1">
      <w:lvlJc w:val="left"/>
      <w:lvlText w:val="(%2)"/>
      <w:numFmt w:val="lowerLetter"/>
      <w:start w:val="1"/>
    </w:lvl>
  </w:abstractNum>
  <w:abstractNum w:abstractNumId="20">
    <w:nsid w:val="836C40E"/>
    <w:multiLevelType w:val="hybridMultilevel"/>
    <w:lvl w:ilvl="0">
      <w:lvlJc w:val="left"/>
      <w:lvlText w:val="%1"/>
      <w:numFmt w:val="decimal"/>
      <w:start w:val="1"/>
    </w:lvl>
    <w:lvl w:ilvl="1">
      <w:lvlJc w:val="left"/>
      <w:lvlText w:val="(%2)"/>
      <w:numFmt w:val="decimal"/>
      <w:start w:val="10"/>
    </w:lvl>
  </w:abstractNum>
  <w:abstractNum w:abstractNumId="21">
    <w:nsid w:val="2901D82"/>
    <w:multiLevelType w:val="hybridMultilevel"/>
    <w:lvl w:ilvl="0">
      <w:lvlJc w:val="left"/>
      <w:lvlText w:val="(%1)"/>
      <w:numFmt w:val="decimal"/>
      <w:start w:val="11"/>
    </w:lvl>
    <w:lvl w:ilvl="1">
      <w:lvlJc w:val="left"/>
      <w:lvlText w:val="%2"/>
      <w:numFmt w:val="decimal"/>
      <w:start w:val="1"/>
    </w:lvl>
  </w:abstractNum>
  <w:abstractNum w:abstractNumId="22">
    <w:nsid w:val="3A95F874"/>
    <w:multiLevelType w:val="hybridMultilevel"/>
    <w:lvl w:ilvl="0">
      <w:lvlJc w:val="left"/>
      <w:lvlText w:val="(%1)"/>
      <w:numFmt w:val="decimal"/>
      <w:start w:val="1"/>
    </w:lvl>
    <w:lvl w:ilvl="1">
      <w:lvlJc w:val="left"/>
      <w:lvlText w:val="(%2)"/>
      <w:numFmt w:val="lowerLetter"/>
      <w:start w:val="1"/>
    </w:lvl>
  </w:abstractNum>
  <w:abstractNum w:abstractNumId="23">
    <w:nsid w:val="8138641"/>
    <w:multiLevelType w:val="hybridMultilevel"/>
    <w:lvl w:ilvl="0">
      <w:lvlJc w:val="left"/>
      <w:lvlText w:val="%1"/>
      <w:numFmt w:val="decimal"/>
      <w:start w:val="1"/>
    </w:lvl>
    <w:lvl w:ilvl="1">
      <w:lvlJc w:val="left"/>
      <w:lvlText w:val="(%2)"/>
      <w:numFmt w:val="decimal"/>
      <w:start w:val="10"/>
    </w:lvl>
  </w:abstractNum>
  <w:abstractNum w:abstractNumId="24">
    <w:nsid w:val="1E7FF521"/>
    <w:multiLevelType w:val="hybridMultilevel"/>
    <w:lvl w:ilvl="0">
      <w:lvlJc w:val="left"/>
      <w:lvlText w:val="(%1)"/>
      <w:numFmt w:val="decimal"/>
      <w:start w:val="11"/>
    </w:lvl>
    <w:lvl w:ilvl="1">
      <w:lvlJc w:val="left"/>
      <w:lvlText w:val="%2"/>
      <w:numFmt w:val="decimal"/>
      <w:start w:val="1"/>
    </w:lvl>
  </w:abstractNum>
  <w:abstractNum w:abstractNumId="25">
    <w:nsid w:val="7C3DBD3D"/>
    <w:multiLevelType w:val="hybridMultilevel"/>
    <w:lvl w:ilvl="0">
      <w:lvlJc w:val="left"/>
      <w:lvlText w:val="(%1)"/>
      <w:numFmt w:val="decimal"/>
      <w:start w:val="1"/>
    </w:lvl>
    <w:lvl w:ilvl="1">
      <w:lvlJc w:val="left"/>
      <w:lvlText w:val="(%2)"/>
      <w:numFmt w:val="lowerLetter"/>
      <w:start w:val="1"/>
    </w:lvl>
  </w:abstractNum>
  <w:abstractNum w:abstractNumId="26">
    <w:nsid w:val="737B8DDC"/>
    <w:multiLevelType w:val="hybridMultilevel"/>
    <w:lvl w:ilvl="0">
      <w:lvlJc w:val="left"/>
      <w:lvlText w:val="%1"/>
      <w:numFmt w:val="decimal"/>
      <w:start w:val="1"/>
    </w:lvl>
    <w:lvl w:ilvl="1">
      <w:lvlJc w:val="left"/>
      <w:lvlText w:val="(%2)"/>
      <w:numFmt w:val="decimal"/>
      <w:start w:val="10"/>
    </w:lvl>
  </w:abstractNum>
  <w:abstractNum w:abstractNumId="27">
    <w:nsid w:val="6CEAF087"/>
    <w:multiLevelType w:val="hybridMultilevel"/>
    <w:lvl w:ilvl="0">
      <w:lvlJc w:val="left"/>
      <w:lvlText w:val="(%1)"/>
      <w:numFmt w:val="decimal"/>
      <w:start w:val="11"/>
    </w:lvl>
    <w:lvl w:ilvl="1">
      <w:lvlJc w:val="left"/>
      <w:lvlText w:val="%2"/>
      <w:numFmt w:val="decimal"/>
      <w:start w:val="1"/>
    </w:lvl>
  </w:abstractNum>
  <w:abstractNum w:abstractNumId="28">
    <w:nsid w:val="22221A70"/>
    <w:multiLevelType w:val="hybridMultilevel"/>
    <w:lvl w:ilvl="0">
      <w:lvlJc w:val="left"/>
      <w:lvlText w:val="(%1)"/>
      <w:numFmt w:val="decimal"/>
      <w:start w:val="1"/>
    </w:lvl>
    <w:lvl w:ilvl="1">
      <w:lvlJc w:val="left"/>
      <w:lvlText w:val="(%2)"/>
      <w:numFmt w:val="lowerLetter"/>
      <w:start w:val="1"/>
    </w:lvl>
  </w:abstractNum>
  <w:abstractNum w:abstractNumId="29">
    <w:nsid w:val="4516DDE9"/>
    <w:multiLevelType w:val="hybridMultilevel"/>
    <w:lvl w:ilvl="0">
      <w:lvlJc w:val="left"/>
      <w:lvlText w:val="%1"/>
      <w:numFmt w:val="decimal"/>
      <w:start w:val="1"/>
    </w:lvl>
    <w:lvl w:ilvl="1">
      <w:lvlJc w:val="left"/>
      <w:lvlText w:val="(%2)"/>
      <w:numFmt w:val="decimal"/>
      <w:start w:val="10"/>
    </w:lvl>
  </w:abstractNum>
  <w:abstractNum w:abstractNumId="30">
    <w:nsid w:val="3006C83E"/>
    <w:multiLevelType w:val="hybridMultilevel"/>
    <w:lvl w:ilvl="0">
      <w:lvlJc w:val="left"/>
      <w:lvlText w:val="(%1)"/>
      <w:numFmt w:val="decimal"/>
      <w:start w:val="11"/>
    </w:lvl>
    <w:lvl w:ilvl="1">
      <w:lvlJc w:val="left"/>
      <w:lvlText w:val="%2"/>
      <w:numFmt w:val="decimal"/>
      <w:start w:val="1"/>
    </w:lvl>
  </w:abstractNum>
  <w:abstractNum w:abstractNumId="31">
    <w:nsid w:val="614FD4A1"/>
    <w:multiLevelType w:val="hybridMultilevel"/>
    <w:lvl w:ilvl="0">
      <w:lvlJc w:val="left"/>
      <w:lvlText w:val="(%1)"/>
      <w:numFmt w:val="decimal"/>
      <w:start w:val="1"/>
    </w:lvl>
    <w:lvl w:ilvl="1">
      <w:lvlJc w:val="left"/>
      <w:lvlText w:val="(%2)"/>
      <w:numFmt w:val="lowerLetter"/>
      <w:start w:val="1"/>
    </w:lvl>
  </w:abstractNum>
  <w:abstractNum w:abstractNumId="32">
    <w:nsid w:val="419AC241"/>
    <w:multiLevelType w:val="hybridMultilevel"/>
    <w:lvl w:ilvl="0">
      <w:lvlJc w:val="left"/>
      <w:lvlText w:val="(%1)"/>
      <w:numFmt w:val="decimal"/>
      <w:start w:val="11"/>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lowerLetter"/>
      <w:start w:val="1"/>
    </w:lvl>
    <w:lvl w:ilvl="1">
      <w:lvlJc w:val="left"/>
      <w:lvlText w:val="(%2)"/>
      <w:numFmt w:val="decimal"/>
      <w:start w:val="1"/>
    </w:lvl>
  </w:abstractNum>
  <w:abstractNum w:abstractNumId="35">
    <w:nsid w:val="5072367"/>
    <w:multiLevelType w:val="hybridMultilevel"/>
    <w:lvl w:ilvl="0">
      <w:lvlJc w:val="left"/>
      <w:lvlText w:val="(%1)"/>
      <w:numFmt w:val="lowerLetter"/>
      <w:start w:val="4"/>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2022-11-03T11:03:14Z</dcterms:created>
  <dcterms:modified xsi:type="dcterms:W3CDTF">2022-11-03T11:03:14Z</dcterms:modified>
</cp:coreProperties>
</file>