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50" w:lineRule="exact"/>
        <w:rPr>
          <w:sz w:val="24"/>
          <w:szCs w:val="24"/>
          <w:color w:val="auto"/>
        </w:rPr>
      </w:pPr>
    </w:p>
    <w:p>
      <w:pPr>
        <w:ind w:left="440" w:right="1660" w:hanging="414"/>
        <w:spacing w:after="0" w:line="239" w:lineRule="auto"/>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000-50189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Pennsylvania</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75-3099507</w:t>
            </w:r>
          </w:p>
        </w:tc>
      </w:tr>
      <w:tr>
        <w:trPr>
          <w:trHeight w:val="16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1"/>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14025 Riveredge Drive, Suite 300</w:t>
            </w:r>
          </w:p>
        </w:tc>
        <w:tc>
          <w:tcPr>
            <w:tcW w:w="20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Tampa</w:t>
            </w: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FL</w:t>
            </w:r>
          </w:p>
        </w:tc>
        <w:tc>
          <w:tcPr>
            <w:tcW w:w="4700" w:type="dxa"/>
            <w:vAlign w:val="bottom"/>
          </w:tcPr>
          <w:p>
            <w:pPr>
              <w:jc w:val="center"/>
              <w:ind w:right="164"/>
              <w:spacing w:after="0"/>
              <w:rPr>
                <w:sz w:val="20"/>
                <w:szCs w:val="20"/>
                <w:color w:val="auto"/>
              </w:rPr>
            </w:pPr>
            <w:r>
              <w:rPr>
                <w:rFonts w:ascii="Times New Roman" w:cs="Times New Roman" w:eastAsia="Times New Roman" w:hAnsi="Times New Roman"/>
                <w:sz w:val="14"/>
                <w:szCs w:val="14"/>
                <w:color w:val="auto"/>
              </w:rPr>
              <w:t>33637-2015</w:t>
            </w:r>
          </w:p>
        </w:tc>
      </w:tr>
      <w:tr>
        <w:trPr>
          <w:trHeight w:val="203"/>
        </w:trPr>
        <w:tc>
          <w:tcPr>
            <w:tcW w:w="3660" w:type="dxa"/>
            <w:vAlign w:val="bottom"/>
          </w:tcPr>
          <w:p>
            <w:pPr>
              <w:jc w:val="center"/>
              <w:ind w:left="122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700" w:type="dxa"/>
            <w:vAlign w:val="bottom"/>
          </w:tcPr>
          <w:p>
            <w:pPr>
              <w:jc w:val="center"/>
              <w:ind w:right="184"/>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3660" w:type="dxa"/>
            <w:vAlign w:val="bottom"/>
          </w:tcPr>
          <w:p>
            <w:pPr>
              <w:spacing w:after="0"/>
              <w:rPr>
                <w:sz w:val="23"/>
                <w:szCs w:val="23"/>
                <w:color w:val="auto"/>
              </w:rPr>
            </w:pPr>
          </w:p>
        </w:tc>
        <w:tc>
          <w:tcPr>
            <w:tcW w:w="75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Registrant’s telephone number, including area code: 215-698-5100</w:t>
            </w:r>
          </w:p>
        </w:tc>
      </w:tr>
      <w:tr>
        <w:trPr>
          <w:trHeight w:val="188"/>
        </w:trPr>
        <w:tc>
          <w:tcPr>
            <w:tcW w:w="3660" w:type="dxa"/>
            <w:vAlign w:val="bottom"/>
          </w:tcPr>
          <w:p>
            <w:pPr>
              <w:spacing w:after="0"/>
              <w:rPr>
                <w:sz w:val="16"/>
                <w:szCs w:val="16"/>
                <w:color w:val="auto"/>
              </w:rPr>
            </w:pPr>
          </w:p>
        </w:tc>
        <w:tc>
          <w:tcPr>
            <w:tcW w:w="288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____________________</w:t>
            </w:r>
          </w:p>
        </w:tc>
        <w:tc>
          <w:tcPr>
            <w:tcW w:w="4700" w:type="dxa"/>
            <w:vAlign w:val="bottom"/>
          </w:tcPr>
          <w:p>
            <w:pPr>
              <w:spacing w:after="0"/>
              <w:rPr>
                <w:sz w:val="16"/>
                <w:szCs w:val="16"/>
                <w:color w:val="auto"/>
              </w:rPr>
            </w:pPr>
          </w:p>
        </w:tc>
      </w:tr>
      <w:tr>
        <w:trPr>
          <w:trHeight w:val="288"/>
        </w:trPr>
        <w:tc>
          <w:tcPr>
            <w:tcW w:w="5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4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8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w:t>
            </w:r>
          </w:p>
        </w:tc>
        <w:tc>
          <w:tcPr>
            <w:tcW w:w="820" w:type="dxa"/>
            <w:vAlign w:val="bottom"/>
          </w:tcPr>
          <w:p>
            <w:pPr>
              <w:spacing w:after="0"/>
              <w:rPr>
                <w:sz w:val="17"/>
                <w:szCs w:val="17"/>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CCK26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206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CCK96</w:t>
            </w:r>
          </w:p>
        </w:tc>
        <w:tc>
          <w:tcPr>
            <w:tcW w:w="82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1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15"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31" w:lineRule="exact"/>
        <w:rPr>
          <w:sz w:val="24"/>
          <w:szCs w:val="24"/>
          <w:color w:val="auto"/>
        </w:rPr>
      </w:pPr>
    </w:p>
    <w:p>
      <w:pPr>
        <w:spacing w:after="0" w:line="161" w:lineRule="exact"/>
        <w:tabs>
          <w:tab w:leader="none" w:pos="7620" w:val="left"/>
          <w:tab w:leader="none" w:pos="814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54"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6"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19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80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6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1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As of June 30, 2022 121,166,297 shares of the Registrant’s Common Stock, excluding shares held in Treasury, were issued and outstanding, and the aggregate market value of such shares held by non-affiliates of the Registrant on such date was $11,167,897,594 based on the New York Stock Exchange closing price for such shares on that date.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23, 2023, 120,091,325 shares of the Registrant’s Common Stock were issued and outstanding.</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2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59"/>
        </w:trPr>
        <w:tc>
          <w:tcPr>
            <w:tcW w:w="3400" w:type="dxa"/>
            <w:vAlign w:val="bottom"/>
          </w:tcPr>
          <w:p>
            <w:pPr>
              <w:spacing w:after="0"/>
              <w:rPr>
                <w:sz w:val="13"/>
                <w:szCs w:val="13"/>
                <w:color w:val="auto"/>
              </w:rPr>
            </w:pPr>
          </w:p>
        </w:tc>
        <w:tc>
          <w:tcPr>
            <w:tcW w:w="42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Document</w:t>
            </w:r>
          </w:p>
        </w:tc>
        <w:tc>
          <w:tcPr>
            <w:tcW w:w="3620" w:type="dxa"/>
            <w:vAlign w:val="bottom"/>
            <w:gridSpan w:val="3"/>
          </w:tcPr>
          <w:p>
            <w:pPr>
              <w:jc w:val="center"/>
              <w:ind w:right="780"/>
              <w:spacing w:after="0" w:line="159" w:lineRule="exact"/>
              <w:rPr>
                <w:sz w:val="20"/>
                <w:szCs w:val="20"/>
                <w:color w:val="auto"/>
              </w:rPr>
            </w:pPr>
            <w:r>
              <w:rPr>
                <w:rFonts w:ascii="Times New Roman" w:cs="Times New Roman" w:eastAsia="Times New Roman" w:hAnsi="Times New Roman"/>
                <w:sz w:val="14"/>
                <w:szCs w:val="14"/>
                <w:color w:val="auto"/>
              </w:rPr>
              <w:t>Parts Into Which Incorporated</w:t>
            </w:r>
          </w:p>
        </w:tc>
      </w:tr>
      <w:tr>
        <w:trPr>
          <w:trHeight w:val="20"/>
        </w:trPr>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3"/>
        </w:trPr>
        <w:tc>
          <w:tcPr>
            <w:tcW w:w="762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Proxy Statement for the Annual Meeting of Shareholders to be held April 27, 2023</w:t>
            </w:r>
          </w:p>
        </w:tc>
        <w:tc>
          <w:tcPr>
            <w:tcW w:w="36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Part III to the extent described therein</w:t>
            </w:r>
          </w:p>
        </w:tc>
      </w:tr>
      <w:tr>
        <w:trPr>
          <w:trHeight w:val="233"/>
        </w:trPr>
        <w:tc>
          <w:tcPr>
            <w:tcW w:w="3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682"/>
        </w:trPr>
        <w:tc>
          <w:tcPr>
            <w:tcW w:w="3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12"/>
          </w:tcPr>
          <w:p>
            <w:pPr>
              <w:jc w:val="center"/>
              <w:ind w:right="2260"/>
              <w:spacing w:after="0"/>
              <w:rPr>
                <w:sz w:val="20"/>
                <w:szCs w:val="20"/>
                <w:color w:val="auto"/>
              </w:rPr>
            </w:pPr>
            <w:r>
              <w:rPr>
                <w:rFonts w:ascii="Times New Roman" w:cs="Times New Roman" w:eastAsia="Times New Roman" w:hAnsi="Times New Roman"/>
                <w:sz w:val="18"/>
                <w:szCs w:val="18"/>
                <w:color w:val="auto"/>
                <w:w w:val="99"/>
              </w:rPr>
              <w:t>2022 FORM 10-K ANNUAL REPORT</w:t>
            </w:r>
          </w:p>
        </w:tc>
        <w:tc>
          <w:tcPr>
            <w:tcW w:w="110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9"/>
          </w:tcPr>
          <w:p>
            <w:pPr>
              <w:jc w:val="center"/>
              <w:ind w:right="35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100" w:type="dxa"/>
            <w:vAlign w:val="bottom"/>
          </w:tcPr>
          <w:p>
            <w:pPr>
              <w:spacing w:after="0"/>
              <w:rPr>
                <w:sz w:val="20"/>
                <w:szCs w:val="20"/>
                <w:color w:val="auto"/>
              </w:rPr>
            </w:pPr>
          </w:p>
        </w:tc>
      </w:tr>
      <w:tr>
        <w:trPr>
          <w:trHeight w:val="256"/>
        </w:trPr>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8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color w:val="auto"/>
                <w:w w:val="95"/>
              </w:rPr>
              <w:t>PART I</w:t>
            </w:r>
          </w:p>
        </w:tc>
        <w:tc>
          <w:tcPr>
            <w:tcW w:w="1100" w:type="dxa"/>
            <w:vAlign w:val="bottom"/>
          </w:tcPr>
          <w:p>
            <w:pPr>
              <w:spacing w:after="0"/>
              <w:rPr>
                <w:sz w:val="22"/>
                <w:szCs w:val="22"/>
                <w:color w:val="auto"/>
              </w:rPr>
            </w:pPr>
          </w:p>
        </w:tc>
      </w:tr>
      <w:tr>
        <w:trPr>
          <w:trHeight w:val="351"/>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2</w:t>
            </w: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Properties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3</w:t>
            </w:r>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r>
      <w:tr>
        <w:trPr>
          <w:trHeight w:val="412"/>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color w:val="auto"/>
                <w:w w:val="95"/>
              </w:rPr>
              <w:t>PART II</w:t>
            </w:r>
          </w:p>
        </w:tc>
        <w:tc>
          <w:tcPr>
            <w:tcW w:w="110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7</w:t>
            </w:r>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7A</w:t>
            </w:r>
          </w:p>
        </w:tc>
        <w:tc>
          <w:tcPr>
            <w:tcW w:w="60" w:type="dxa"/>
            <w:vAlign w:val="bottom"/>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8</w:t>
            </w:r>
          </w:p>
        </w:tc>
        <w:tc>
          <w:tcPr>
            <w:tcW w:w="6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9</w:t>
            </w:r>
          </w:p>
        </w:tc>
        <w:tc>
          <w:tcPr>
            <w:tcW w:w="680" w:type="dxa"/>
            <w:vAlign w:val="bottom"/>
            <w:gridSpan w:val="3"/>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r>
      <w:tr>
        <w:trPr>
          <w:trHeight w:val="412"/>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6"/>
              </w:rPr>
              <w:t>PART III</w:t>
            </w:r>
          </w:p>
        </w:tc>
        <w:tc>
          <w:tcPr>
            <w:tcW w:w="3900" w:type="dxa"/>
            <w:vAlign w:val="bottom"/>
            <w:gridSpan w:val="6"/>
          </w:tcPr>
          <w:p>
            <w:pPr>
              <w:spacing w:after="0"/>
              <w:rPr>
                <w:sz w:val="24"/>
                <w:szCs w:val="24"/>
                <w:color w:val="auto"/>
              </w:rPr>
            </w:pPr>
          </w:p>
        </w:tc>
        <w:tc>
          <w:tcPr>
            <w:tcW w:w="110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600" w:type="dxa"/>
            <w:vAlign w:val="bottom"/>
            <w:gridSpan w:val="2"/>
          </w:tcPr>
          <w:p>
            <w:pPr>
              <w:spacing w:after="0"/>
              <w:rPr>
                <w:sz w:val="24"/>
                <w:szCs w:val="24"/>
                <w:color w:val="auto"/>
              </w:rPr>
            </w:pP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r>
      <w:tr>
        <w:trPr>
          <w:trHeight w:val="412"/>
        </w:trPr>
        <w:tc>
          <w:tcPr>
            <w:tcW w:w="14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9"/>
          </w:tcPr>
          <w:p>
            <w:pPr>
              <w:jc w:val="center"/>
              <w:ind w:right="3640"/>
              <w:spacing w:after="0"/>
              <w:rPr>
                <w:sz w:val="20"/>
                <w:szCs w:val="20"/>
                <w:color w:val="auto"/>
              </w:rPr>
            </w:pPr>
            <w:r>
              <w:rPr>
                <w:rFonts w:ascii="Times New Roman" w:cs="Times New Roman" w:eastAsia="Times New Roman" w:hAnsi="Times New Roman"/>
                <w:sz w:val="18"/>
                <w:szCs w:val="18"/>
                <w:color w:val="auto"/>
                <w:w w:val="97"/>
              </w:rPr>
              <w:t>PART IV</w:t>
            </w:r>
          </w:p>
        </w:tc>
        <w:tc>
          <w:tcPr>
            <w:tcW w:w="1100" w:type="dxa"/>
            <w:vAlign w:val="bottom"/>
          </w:tcPr>
          <w:p>
            <w:pPr>
              <w:spacing w:after="0"/>
              <w:rPr>
                <w:sz w:val="24"/>
                <w:szCs w:val="24"/>
                <w:color w:val="auto"/>
              </w:rPr>
            </w:pPr>
          </w:p>
        </w:tc>
      </w:tr>
      <w:tr>
        <w:trPr>
          <w:trHeight w:val="351"/>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64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1"/>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884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r>
      <w:tr>
        <w:trPr>
          <w:trHeight w:val="878"/>
        </w:trPr>
        <w:tc>
          <w:tcPr>
            <w:tcW w:w="1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w:t>
      </w:r>
      <w:r>
        <w:rPr>
          <w:sz w:val="20"/>
          <w:szCs w:val="20"/>
          <w:color w:val="auto"/>
        </w:rPr>
        <w:tab/>
      </w:r>
      <w:r>
        <w:rPr>
          <w:rFonts w:ascii="Times New Roman" w:cs="Times New Roman" w:eastAsia="Times New Roman" w:hAnsi="Times New Roman"/>
          <w:sz w:val="17"/>
          <w:szCs w:val="17"/>
          <w:u w:val="single" w:color="auto"/>
          <w:color w:val="auto"/>
        </w:rPr>
        <w:t>BUSINESS</w:t>
      </w:r>
    </w:p>
    <w:p>
      <w:pPr>
        <w:spacing w:after="0" w:line="3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subsidiaries, is a leading global supplier of rigid packaging products to consumer marketing companies, as well as transit and protective packaging products, equipment and services to a broad range of end markets. The Company's consumer packaging solutions primarily support the beverage and food industries, along with the personal care and household industries, through the development and sale of aluminum and steel cans. The Company's transit and protective packaging products include steel and plastic consumables and equipment, paper-based protective packaging, and plastic film consumables and equipment, which are sold into the metals, food and beverage, construction, agricultural, corrugated and general industries.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the Company operated 199 plants along with sales and service facilities throughout 40 countries and had approximately 26,000 employees. In 2022, consolidated net sales for the Company were $12.9 billion with 63% derived from operations outside the United States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specialty can sizes. Size variations include slim and sleek cans, as well as larger sizes to help customers differentiate their products. It also continues to deliver new printing and decorating capabilities, as well as value-add services that aid customers throughout the entire production cycle, from consultation and development to line implementation and quality assurance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guided by commitments to its stakeholders and its own goals to foster a resilient business with longevity, which requires an emphasis on both financial performance and environmental, social and governance ("ESG") performance. The Company’s Twentyby30 program, which is a comprehensive sustainability strategy that outlines 20 measurable goals to be achieved by 2030, has accelerated critical initiatives and progress around carbon footprint management and social impact.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leverage the inherent ecofriendly benefits of its primary product, metal packaging, to advance toward its targets. Aluminum cans, which are infinitely recyclable and remain the world’s most recycled beverage packaging, exemplify sustainability and are a strong contributor to the circular economy. The Company is working in conjunction with industry partners to drive higher recycling rates and increase recycled content to ensure infinitely recycled aluminum cans are available for generations of future use.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66% of the Company's consolidated net sales were derived from the Company's global beverage can operations. The Company’s beverage can business is built around local, regional and global markets, which has served to develop the Company’s understanding of global customer and consumer expectations. The Company expects to continue to responsibly add beverage can capacity to meet customer needs, as necessary.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REPORTABLE SEGMENTS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reportable segments are: Americas Beverage, European Beverage, Asia Pacific and Transit Packaging. Our operations are set up in a strategic regional spread to cover a broad range of market areas and to best support our customers. While the Company operates in nearly all regions of the world, it consistently monitors and invests in growing markets, including Latin America and Southeast Asia.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Americas Beverage segment manufactures infinitely recyclable aluminum beverage cans and ends, glass bottles, steel crowns and aluminum caps. Manufacturing facilities are located in the U.S., Brazil, Canada, Colombia and Mexico. Americas Beverage had net sales in 2022 of $5.1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$742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European Beverage segment manufactures infinitely recyclable aluminum beverage cans and ends in Europe, the Middle East and North Africa. European Beverage had net sales in 2022 of $2.1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$144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Asia Pacific segment primarily consisting of beverage can operations in Cambodia, China, Indonesia, Malaysia, Myanmar, Singapore, Thailand and Vietnam and also includes non-beverage can operations, primarily food cans and specialty packaging.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Asia Pacific had net sales in 2022 of $1.6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$172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industrial products, protective solutions, and automation, equipment and tools business. Industrial products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 goods during transport. Automation, equipment and tools includes manual, semi-automatic and automatic equipment and tools, which are primarily used in end-of-line operations to apply consumables such as strap and film.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Transit Packaging had net sales in 2022 of $2.5 billion and segment income (as defined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 of $281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other segments ("Other") include the Company's food can, aerosol can and closures business in North America, and beverage tooling and equipment operations in the U.S. and United Kingdom ("U.K."). The Company manufactures a variety of food and aerosol cans and ends and aerosol cans in assorted shapes and sizes. The Company’s customers include manufacturers of food, personal care, household and industrial products.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Additional financial information concerning the Company’s reportable segments is set forth within “Management’s Discussion and Analysis of Financial Condition and Results of Operations” of this Annual Report and under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SALES AND DISTRIBUTION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marketers qualify suppliers on the basis of their ability to provide global service, innovative designs and technologies in a cost-effective manner. With its global reach, the Company primarily markets and sells products to customers through its own sales and marketing staff.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existing contracts.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rigid packaging products is short, any backlog of customer orders in relation to overall sales is not significant. The standard backlog in Transit Packaging’s automation, equipment and tools business, is typically not significant, however, supply chain constraints may increase the backlog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competitors include, but are not limited to, Ardagh Metal Packaging, Ball Corporation, Mauser Packaging Solutions, Can-Pack S.A., Metal Container Corporation, Silgan Holdings Inc., Sonoco, and Trivium Packaging.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Transit Packaging also faces substantial competition from many regional and local competitors of various sizes in the manufacture, distribution and sale of its products. Transit Packaging differentiates itself from the competition by leveraging its global scale, broad product portfolio and established brand reputation. Transit Packaging products compete, to some extent, with various other packaging materials, including other products made of paper, plastics, wood and various types of metal.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largest beverage can customers consist of many of the leading manufacturers and marketers of packaged consumer products in the world, including Anheuser-Busch InBev, Coca-Cola, Heineken, Keurig Dr Pepper, Molson Coors, Pepsi-Cola and Refresco, among others. Consolidation trends among beverage marketers have led to a concentrated customer base. The Company’s top ten global customers represented in the aggregate approximately 49% of its 2022 consolidated net sales.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two customers each accounted for 12% and 11%, of the Company's consolidated net sales. For the year ended December 31, 2020 the same two customers accounted for 11% and 10%, of the Company's consolidated net sales. These customers are global beverage companies served by the Company's beverage operations in the Americas, Europe and Asia.</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reportable segment, with the exception of Transit Packaging, has major customers and the loss of one or more of these major customers could have a material adverse effect on an individual segment or the Company as a whole. In addition to sales to Coca-Cola and Pepsi-Cola, the Company also supplies independent licensees of Coca-Cola and Pepsi-Cola.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MATERIALS AND SUPPLIERS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various raw materials, primarily aluminum and steel, in its manufacturing operations. Transit Packaging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consumption of aluminum and steel represented 44% and 9%, respectively,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aluminum contracts typically multi-year in duration with fluctuating prices based on aluminum ingot costs and steel contracts typically one year in duration with fixed prices or set repricing dates.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attempts to mitigate its aluminum and steel price risk by matching its purchase obligations with its sales agreements; however, there can be no assurance that the Company will be able to fully mitigate that risk. The Company also uses commodity and foreign currency forwards in an attempt to manage its exposure to aluminum price volatility.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aluminum and steel for a significant period of time, its operations would be disrupted, and if the Company were unable to fully recover the higher cost of aluminum and steel, its financial results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continuing global supply and demand pressures, other commodity-related costs affecting the Company’s business may increase as well, including utility and freight-related costs. The Company attempts to increase prices on its products accordingly in order to recover these costs. Certain of the Company's sales contracts contain non-metal pass-through provisions that include annual selling price adjustments based on a producer price index. In certain years the referenced index may be negative, requiring the Company to reduce its selling price while its actual costs may have increased.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volatility of raw material prices, ongoing productivity and cost reduction efforts in recent years have focused on improving raw material cost management. 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mitigating risks around pricing, the Company maintains its commitment to upholding and evolving standards for ethics and compliance as it sources materials. Regular engagement with suppliers is ongoing to manage materials and the impact on environments and communities. The Company strives to ensure all partners meet standards for responsible supply and adhere to the formal Code of Business Conduct and Ethics. Through the Twentyby30 program, the Company has committed to sourcing standards that by 2030 require 100% of core raw materials and service suppliers, by spend, to be assessed and comply with Crown Responsible and Ethical Sourcing policies and requirements.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Sustainability remains a core focus of the Company’s business strategy and commitments, as the Company recognizes its critical role in corporate social responsibility and the impact of sustainability performance on economic opportunity and stakeholder relationships, including customers and employees. As a major manufacturer with operations worldwide, the Company can significantly impact industry progress by supporting important environmental and social initiatives and adopting practices that create change both within the organization and within partner relationships.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Crown established its comprehensive Twentyby30 program, setting 20 measurable goals to be reached by 2030 or sooner. These objectives encompass all aspects of sustainability and reflect areas considered material to the Company’s business as well as areas where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Corporate Environmental Sustainability Policy; a Human Rights Policy; a Responsible and Ethical Sourcing Policy; a Conflict Minerals Policy; and an Environmental, Health and Safety Policy. These policies serve as guidelines for all employees to adhere to as the Company works to advance its sustainability strategy.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Across Twentyby30 program pillars, the Company works toward continuous improvement in product design and manufacturing practices to provide the best outcome for the environment, communities, employees and consumers, both now and in the future.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Aluminum and steel contribute to these improvements as, by nature, they are infinitely recyclable without loss of properties, meaning they can be repeatedly reused to form new consumer packaging with no degradation in performance, quality or safety. Recycling these metals offers significant savings in energy and water consumption, as well as carbon dioxide emissions. As such, the Company is collaborating with industry partners to improve recycling rates and recycled content rates. In addition, the Company is making strides in its energy and water usage on a global level, working to implement more renewable energy sources, minimize wastewater and execute water replenishment programs.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few key, recent efforts the Company has made to be a more proactive sustainability leader include:</w:t>
      </w:r>
    </w:p>
    <w:p>
      <w:pPr>
        <w:spacing w:after="0" w:line="252" w:lineRule="exact"/>
        <w:rPr>
          <w:sz w:val="20"/>
          <w:szCs w:val="20"/>
          <w:color w:val="auto"/>
        </w:rPr>
      </w:pPr>
    </w:p>
    <w:p>
      <w:pPr>
        <w:jc w:val="both"/>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co-hosted the beverage can industry’s first Global Aluminum Can Sustainability Summit, bringing together over 100 global attendees from various parts of the aluminum supply chain and facilitating important discussions aimed at driving actionable progress toward the industry’s sustainability goals.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committed to The Climate Pledge, targeting to achieve net-zero carbon emissions by 2040, a full 10 years ahead of the Paris Agreement goals.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Crown signed on to the United Nations (UN) Global Compact, a voluntary initiative based on CEO commitments to implement universal sustainability principles and take steps to support UN goals.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Socially, the Company is continuing to elevate its commitments to community engagement through more volunteer opportunities and by establishing a charitable giving program, which donates to various non-profit organizations across the regions in which it operates. Within its own workforce, the Company is prioritizing employee welfare and striving to more regularly engage its professionals to foster a more connected global team dedicated to individual and collective improvement as an organization.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its collective efforts, the Company has recently received the following recognition:</w:t>
      </w:r>
    </w:p>
    <w:p>
      <w:pPr>
        <w:spacing w:after="0" w:line="252"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ESG ratings provider Sustainalytics ranked the Company as a Low ESG Risk Rating for managing ESG risk within the metal and glass packaging sub-industry.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named to the America's Most Responsible Companies 2023 list by Newsweek.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ranked in the top 100 companies included in Forbes’ 2021 inaugural “World’s Top Female-Friendly Companies” list.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There can be no assurance that current or future environmental laws or liabilities will not have a material effect on the Company’s consolidated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approximately 26,000 employees worldwide, with approximately 6,000 employed by the Americas Beverage segment, 3,500 employed by the European Beverage segment, 5,000 employed by the Asia Pacific segment, 8,000 employed by the Transit Packaging segment and 3,500 employed by Other.</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Collective bargaining agreements with varying terms and expiration dates cover approximately 11,400 employees. The Company did not experience any significant union-initiated work stoppages during the 2022 fiscal year and believes that its employee relations remain good. The Company does not expect that renegotiation of any collective bargaining agreements expiring in 2023 will have a material adverse effect on its consolidated results of operations, financial position or cash flow.</w:t>
      </w:r>
    </w:p>
    <w:p>
      <w:pPr>
        <w:spacing w:after="0" w:line="20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Company believes that its employees are key to achieving the Company’s business goals and growth strategy. Attracting, developing and retaining the most skilled and engaged people globally is crucial to all aspects of the Company’s activities. To this end, the Company has cultivated a senior management team with extensive industry experience and highly specialized skills and has consistently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invested in necessary resources to effectively staff and efficiently support its businesses. It has also made efforts to fill corporate and plant roles worldwide with individuals who possess material, design and manufacturing expertise and can cultivate lasting customer relationships. To aid retention, the Company aspires to offer market rate competitive salaries for the regions in which it operates and it engages employees with professional development opportunities that both contribute to the Company’s success and maximize their personal potential. It also aims to implement a positive and inclusive work environment that prioritizes employee safety, fosters an inclusive atmosphere and creates a fulfilling career.</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supports the well-being of its employees and their families with a variety of physical, mental and social wellness programs. These programs differ by region, but include Company-sponsored or subsidized medical insurance over and above government provisions, annual medical, cancer and audiometry screenings, voluntary health fairs and employee mental health assistance programs to improve health and wellness. The Company has built a total safety culture that provides the framework for all health and safety initiatives across the Company and empowers employees to take a proactive role in their safety and that of their fellow employees. The Company’s focus is on behaviors and attitudes and achieving success in incident, injury and near-miss reductions.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that a diverse and inclusive workforce is critical to its future business success. It has therefore integrated Diversity &amp; Inclusion (D&amp;I) as a dimension of its Twentyby30 sustainability program, aiming first to embed D&amp;I</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awareness in its organizational culture. The Company believes different backgrounds, experiences and perspectives generate powerful new ideas and foster sound and sustainable decision making. The Company’s approach includes deployment of D&amp;I training initiatives, such as psychological safety and unconscious bias trainings, and improvement of its recruitment and onboarding processes. Recruitment programs to attract diverse talent into the organization include an accelerated manufacturing program, first focused on engineering skills, which includes assignments in various businesses and countries to encourage broader thinking and a flexible mindset. This program provides an opportunity for diverse candidates to progress more quickly to higher functions within the organization. The Company continues to focus on improving gender equality and cultural diversity in the organization, including developing and empowering minorities and women through greater career opportunity and recognition.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places a high value on skills management and lifelong learning opportunities that benefit both the individual employee and the whole Company. The Company provides a variety of educational opportunities, including a mix of mandatory and voluntary training programs that occur in classrooms, online or on the job. The Company also recognizes the importance of multifunctional teams and as such, management training includes international exposure and cross-divisional activity to develop common approaches and values. Talent development programs vary by region, but include leadership programs designed to support operations leadership, lean manufacturing operations and employee performance management.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written Code of Business Conduct and Ethics which describes its policies with respect to, among other things, anti-corruption, protection of confidential information, and environmental, health and safety matters, as well as the Company’s commitment to ensuring that all employees are treated with respect and dignity and are able to work in an environment free from all forms of unlawful employment discrimination. The Company’s compliance teams are responsible for implementing these policies. The Company's compliance program includes a mechanism for employees to report suspected violations of Company policies on a confidential basis, including anonymous reporting where permitted by local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global Research, Development &amp; Engineering ("RD&amp;E") Center for packaging products for consumer goods is located in Wantage, U.K. The Company utilizes its centralized corporate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 The corporate RD&amp;E Center is also applying technical expertise to advance product design and manufacturing capabilities for the Company's Transit Packaging segment, supplementing the group's existing product developments.</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and can shaping have been licensed in Europe, Australia, Japan, and Africa to provide customers with global access to Crown's brand building innovations. In addition to package components, the Company maintains a legacy of innovation that features numerous industry-firsts, including launching new interactive inks, decorative and shaping techniques, new package sizes and styles and new canmaking technologies. Recent examples include the Company’s Accents™ variable printing technology, which facilitates up to 24 different beverage can designs in a single run, and its Quantum™ debossing technology, which implements a unique golf-ball texture on food cans to prevent counterfeiting and reduce material usage by almost 13%.</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Transit Packaging is also well known throughout its markets for its ability to drive product innovation and leadership in new technologies. Transit Packaging focuses on market driven innovation and has a long history of creating product and service solutions that solve problems and create value for its customers. Transit Packaging has grown its global patent portfolio to over 360 U.S. issued patents or pending patent applications and over 1,000 foreign issued patents or pending patent applications. The portfolio broadly covers about 340 customized technologies and spans diverse business platforms, as well as the different countries in which it operates.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spent $34 million in 2022, $47 million in 2021, and $48 million in 2020 in its RD&amp;E activities. Certain of these activities are expected to improve and expand the Company's product lines in the future. These expenditures include projects to improve manufacturing efficiencies, reduce unit costs, and develop new and improved value-added packaging systems.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WORKING CAPITAL</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uses cash during the first nine months of the year to finance seasonal working capital needs. Beverage products are generally consumed in greater amounts during the warmer months and the food packaging business is somewhat seasonal with the first quarter tending to be the slowest period as the autumn packaging period in the Northern Hemisphere has ended and new crops are not yet planted. The Company’s working capital requirements are funded by cash flows from operations, revolving credit facilities and receivables securitization and factoring programs.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website address is </w:t>
      </w:r>
      <w:r>
        <w:rPr>
          <w:rFonts w:ascii="Times New Roman" w:cs="Times New Roman" w:eastAsia="Times New Roman" w:hAnsi="Times New Roman"/>
          <w:sz w:val="18"/>
          <w:szCs w:val="18"/>
          <w:u w:val="single" w:color="auto"/>
          <w:color w:val="auto"/>
        </w:rPr>
        <w:t>www.crowncork.com</w:t>
      </w:r>
      <w:r>
        <w:rPr>
          <w:rFonts w:ascii="Times New Roman" w:cs="Times New Roman" w:eastAsia="Times New Roman" w:hAnsi="Times New Roman"/>
          <w:sz w:val="18"/>
          <w:szCs w:val="18"/>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Sustainability Report,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4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3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Business and Industry</w:t>
      </w: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various raw materials, such as aluminum, steel,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 only at increased prices. In 2022, consumption of aluminum and steel represented 44% and 9% of the Company's consolidated cost of products sold, excluding depreciation and amortization. The Company's raw material supply contracts vary as to terms and duration, with aluminum contracts typically multi-year in duration with fluctuating prices based on aluminum ingot costs and steel contracts typically one year in duration with fixed prices.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and the COVID-19 pandemic. In particular, in recent years the consolidation of steel suppliers, shortage of raw materials affecting the production of steel and the increased global demand for steel, have contributed to an overall tighter supply for steel, resulting in increased steel prices and, in some cases, special surcharges and allocated cut backs of products by steel suppliers. In addition, tariffs and potential limits on steel supply in the U.S. from certain foreign countries could further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of certain raw materials used by the Company, such as aluminum, steel and energy, have historically been subject to</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volatility. The Company continues to manage the challenges of supply chain disruptions and increasing costs for raw materials and energy in 2022. While certain, but not all, of the Company's contracts pass through raw material costs to customers, the Company may be unable to increase its prices to offset increases in raw material costs without suffering reductions in unit volume, revenue and operating income. The Company also uses commodity forward contracts to manage its exposure to these raw material costs. The ability to mitigate inflationary risks through these measures varies by region and the impact on the results of the Company's segments for the year-ended December 31, 2022 is discussed, as applicable in "Management's Discussion and Analysis of Financial Condition and Results of Operations - Results of Operations."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purchase aluminum, steel,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with respect to pricing and product volumes.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principal markets may be subject to overcapacity and intense competition, which could reduce the Company's net sales and net income.</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Beverage and food cans are standardized products, allowing for relatively little differentiation among competitors. This could lead to overcapacity and price competition among beverage and food can producers if capacity growth outpaced the growth in demand for beverage and food cans and overall manufacturing capacity exceeded demand. These market conditions could reduce product prices and contribute to declining revenue and net income.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substantial competition from producers of alternative packaging made from glass, paper, flexible materials and plastic. The Company's sales depend heavily on the volumes of sales by the Company's customers in the beverage and food markets. Changes in preferences for products and packaging by consumers of beverage cans and prepackaged food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creates excess capacity, the Company experiences relatively low capacity utilization rates in its operations, which can lead to reduced margins and can have an adverse effect on the Company's business.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develop new product offerings for a diverse group of global customers with differing preferences, while maintaining functionality and spurring innovation, is critical to its success. This requires a thorough understanding of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existing and potential customers on a global basis, particularly in developing markets and areas, such as the Middle East, South America, Eastern Europe and Asia. Failure to deliver quality products that meet customer needs ahead of competitors could have a significant adverse effect on the Company's business.</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 or cost-effective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is seasonal and weather conditions could reduce the Company's net sales.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manufactures metal and glass packaging primarily for the beverage and food can market. Its sales can be affected by weather conditions. Due principally to the seasonal nature of the soft drink, brewing, iced tea and other beverage industries, in which demand is stronger during the summer months, sales of the Company's products have historically varied and are expected to continue to vary by quarter and by region. Unseasonably cool weather can reduce consumer demand for certain beverages packaged in the Company's containers. In addition, poor weather conditions that reduce crop yields of packaged foods can decrease customer demand for its food containers.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Impairment of the Company's goodwill would require a write down of goodwill, which would reduce the Company's net income in the period of any such write down. At December 31, 2022, the carrying value of the Company's goodwill was $3.0 billion. The Company is required to evaluate goodwill reflected on its balance sheet at least annually or when circumstances indicate a potential impairment. If it determines that the goodwill is impaired, the Company would be required to write off a portion or all of the goodwill.</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workforce is unionized, and a prolonged work stoppage or strike at any facility with unionized employees could increase costs and prevent the Company from supplying its customers. In addition, upon the expiration of existing collective bargaining agreements, the Company may not reach new agreements without union or works council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or works council representation in the future.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Company's intellectual property rights may negatively impact its ability to compete.</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beverage can end, whose primary patent expired in 2016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U.S. Not all of the Company's domestic patents have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International Operations</w:t>
      </w:r>
    </w:p>
    <w:p>
      <w:pPr>
        <w:spacing w:after="0" w:line="2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international operations, which generated approximately 63% of its consolidated net sales in 2022, are subject to various risks that may lead to decreases in its financial results, particularly in the case of the Company's operations in emerging markets.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an international company, and the risks associated with operating in non-U.S. jurisdictions, and with operating and seeking to expand business in a number of different regions and countries generally, exposes the Company to potentially conflicting cultural practices, business practices and legal and regulatory requirements and may have a negative impact on the Company’s liquidity and net income. The Company's international operations generated approximately 63% of its consolidated net sales in the years ended 2022 and 2021 and 64% of its consolidated net sales in the year ended 2020. In addition, the Company’s business strategy includes continued expansion of international activities, including within developing markets and areas, such as the Middle East, South America, Eastern Europe and Asia, that may pose political and economic volatility and instability, greater vulnerability to infrastructure and labor disruptions and differing local customer product preferences and requirements than the Company’s other markets. The Company’s expansion efforts may also use capital and other resources of the Company that could be invested in other areas. Further, if a downturn in economic conditions ultimately leads to a significant devaluation of a foreign currency such as the euro, the value of any financial assets that are denominated in that currency may be reduced when translated to U.S. dollars for financial reporting purposes. Any of these conditions could ultimately harm the Company’s overall business, prospects, operating results, financial condition and cash flows.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Emerging markets are a focus of the Company’s international growth strategy, and the Company’s success in developing market share and operating profitably in these markets is critical to the Company’s growth. The developing nature of these markets and the nature of the Company’s international operations generally are subject to various risks, including:</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restrictive trade policies;</w:t>
      </w:r>
    </w:p>
    <w:p>
      <w:pPr>
        <w:spacing w:after="0" w:line="63"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regulation (including with respect to product labelling, privacy, data protection and advanced technologies) and policy changes by foreign agencies or governments;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or government royalties, including the imposition or increase of withholding and other taxes on remittances and other payments by non-U.S.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import/export control and other trade compliance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risks and exchange controls;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international accounts receivable and potentially longer payment cycles;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 maintaining international manufacturing and marketing efforts;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non-tariff barriers and higher duty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expatriating or repatriating cash generated or held abroad in a tax-efficient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obligations and intellectual property rights and difficulties in protecting intellectual property or sensitive commercial and operations data or information technology systems generally;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regional labor strikes and work stoppages;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language and cultural differences between personnel in different areas of the world;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social benefit costs for labor, including costs associated with restructurings;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or political, social, legal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boycotts, including with respect to the products of the Company's multi-national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supplier, and investor concerns regarding operations in areas such as the Middle East;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of property by nationalization or expropriation without fair compensation;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limitations on conversions of foreign currencies into dollars or payment of dividends and other payments by non-U.S.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right="14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hyperinflation and currency devaluation in any country where such currency devaluation could affect the amount of cash generated by operations in that country and thereby affect the Company's ability to satisfy its obligations;</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geographical concentration of the Company’s factories and operations and regional shifts in its customer base;</w:t>
      </w:r>
    </w:p>
    <w:p>
      <w:pPr>
        <w:spacing w:after="0" w:line="35" w:lineRule="exact"/>
        <w:rPr>
          <w:rFonts w:ascii="Arial" w:cs="Arial" w:eastAsia="Arial" w:hAnsi="Arial"/>
          <w:sz w:val="22"/>
          <w:szCs w:val="22"/>
          <w:color w:val="auto"/>
        </w:rPr>
      </w:pPr>
    </w:p>
    <w:p>
      <w:pPr>
        <w:ind w:left="660" w:right="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(such as the ongoing military conflict between Russia and Ukraine), civil disturbance, global or regional catastrophic events, natural disasters, and acts of terrorism;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pandemics, and other disease outbreaks and health crises (such as the ongoing COVID-19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managing global operations; and</w:t>
      </w:r>
    </w:p>
    <w:p>
      <w:pPr>
        <w:spacing w:after="0" w:line="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compliance with applicable anti-corruption, anti-bribery laws and anti-money laundering laws and sanctions.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 Furthermore, the continuing and accelerating globalization of businesses in emerging markets and elsewhere could significantly change the dynamics of the Company’s competition, customer base and product offerings, which could adversely affect the Company’s financial position.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the effects of fluctuations in foreign exchange rates, which may reduce its net sales and cash flow.</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63% of its consolidated net sales in the years ended 2022 and 2021 and 64% of its consolidated net sales in the year ended 2020. Volatility in exchange rates may increase the costs of the Company's products, impair the purchasing power of its customers in different markets, result in significant competitive benefit to certain of its competitors who incur a material part of their costs in other currencies than it does,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year-ended December 31, 2022, a 0.10 movement in the average euro rate would have reduced net income by approximately $5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departure of the U.K. from the European Union could adversely affect the Company.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U.K. ceased to be a member of the European Union (“E.U.”) on January 31, 2020, and the applicable transition period ended on December 31, 2020 (such departure commonly referred to as “Brexit”). The U.K. is also no longer part of the European Economic Area.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Continuing legal, political and economic uncertainty following Brexit may be a source of instability in international markets, create significant currency fluctuations, and adversely affect current trading and supply arrangements. Disruptions in trade as a consequence of Brexit could adversely impact the Company’s UK operations. On December 24, 2020, the U.K. and the E.U. agreed to a trade and cooperation agreement (the “Trade and Cooperation Agreement”), which took effect on January 1, 2021 and provided for, among other things, zero-rate tariffs and zero quotas on the movement of goods between the U.K. and the E.U. The long-term effects of Brexit will depend on the implementation of the Trade and Cooperation Agreement and any future agreements (or lack thereof) between the U.K. and the E.U. and, in particular, any potential changes in the arrangements for the U.K. to retain access to E.U. markets. Brexit could result in adverse economic effects across the U.K. and Europe, which could, in turn, adversely affect the Company’s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the Company's Indebtedness and Liquidity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substantial indebtedness of the Company could prevent it from fulfilling its obligations under its debt agreements.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2022, the Company and its subsidiaries had approximately $7.0 billion of indebtedness, excluding unamortized discounts and debt issuance costs.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sources of liquidity includes a securitization facility with a program limit up to a maximum of $700 million that expires in July 2023, a securitization facility with a program limit of $200 million that expires in December 2023, and a securitization facility with a program limit of $160 million that expires in November 2025. Additional sources of the Company's liquidity include borrowings under its $1,650 million revolving credit facilities that mature in August 2027.</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indebtedness includes its €600 million ($642 million at December 31, 2022) 2.625% senior notes due in September 2024; its €600 million ($642 million at December 31, 2022) 3.375% senior notes due in May 2025; its $875 million 4.75% senior notes due in February 2026; its €500 million ($536 million at December 31, 2022) 2.875% senior notes due in February 2026; its $400 million 4.25% senior notes due in September 2026; its $350 million 7.375% senior notes due in December 2026; its $500 million 5.25% senior notes due in August 2030; its $40 million 7.5% senior notes due in December 2096; and its $242 million of other indebtedness in various currencies due at various dates through 2027. In addition, the Company’s term loan facilities mature as follows: $30 million in 2023, $60 million in 2024, $89 million in 2025, $119 million in 2026 and $2,080 million in 2027.</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indebtedness of the Company could:</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vulnerability to general adverse economic and industry conditions, including rising interest rates;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Company from making strategic acquisitions or exploiting business opportunities, including any planned expansion in emerging markets;</w:t>
      </w:r>
    </w:p>
    <w:p>
      <w:pPr>
        <w:spacing w:after="0" w:line="19"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under the Company's debt agreements, the Company's ability to obtain additional financing, dispose of assets or pay cash dividends;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sell assets used in its business;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Company's cost of borrowing;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Company's flexibility in planning for, or reacting to, changes in its business and the industry in which it operates;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Company at a competitive disadvantage compared to its competitors that have less debt.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approximately $2.8 billion of the Company's $7.0 billion of total indebtedness and other outstanding obligations and $1.3 billion of securitization and factoring programs were subject to floating interest rates. Changes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economic conditions could result in higher interest rates, thereby increasing the Company's interest expense and reducing funds available for operations or other purposes. The Company's annual interest expense was $284 million, $253 million and $290 million for 2022, 2021 and 2020, respectively. Based on the amount of variable rate debt outstanding and securitization and factoring at December 31, 2022, a 0.25% increase in variable interest rates would increase its annual interest expense by approximately $10 million before tax. Accordingly, the Company may experience economic losses and a negative impact on earnings as a result of interest rate fluctuation. The actual effect of a 0.25% increase in these floating interest rates could be more than $10 million as the Company’s average borrowings on its variable rate debt and securitization and factoring may be higher during the year than the amount at December 31, 2022.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in the debt agreements governing the Company's current or future indebtedness could restrict the Company's operating flexibility.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repurchase capital stock, repurchase subordinated debt and make certain investments or loans;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and engage in sale and leaseback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and other amounts to the Company from subsidiaries;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investments and capital expenditures;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accounting treatment and reporting practices;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acquire assets, enter into leaseback transactions and merge or consolidate with or into other companies;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the Company or the failure by the Company to maintain any of these ratios or meet any of these conditions could result in a default under any or all of such indebtedness. If a default occurs under any such indebtedness, all of the outstanding obligations thereunder could become immediately due and payable, which could result in a default under the Company's other outstanding debt and could lead to an acceleration of obligations related to the Company's senior secured credit facilities, outstanding notes and other outstanding debt. The ability of the Company to comply with these covenants and the covenants in agreements it may enter into in the future can be affected by events beyond its control and, therefore, it may be unable to satisfy its obligations under its debt agreements.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indebtedness. 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Adding new debt to current debt levels or making otherwise restricted payments could intensify the related risks that the Company and its subsidiaries now face.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 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sponsors various pension plans worldwide, with the largest funded plans in the U.S. and Canada. In 2022, 2021 and 2020, the Company contributed $24 million, $236 million, and $27 million to its pension plans. The 2021 contribution included a $216 million contribution to its U.K. pension plan in advance of full settlement of the plan's obligations. Pension expense was $25 million and is expected to be $56 million in 2023, using foreign currency exchange rates in effect at December 31, 2022. A 0.50% change in the 2023 expected rate of return assumptions would change 2023 pension expense by approximately $6 million. A 0.50% change in the discount rates assumptions as of December 31, 2022 would change 2023 pension expense by approximately $3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assumptions, the Company expects to make pension contributions of $16 million in 2023, $51 million in 2024, $52 million in 2025, $53 million in 2026 and $44 million in 2027.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decline, the underfunding of the pension plans may increase and the Company may have to contribute additional funds to the pension plans, and the Company's pension expense may increase. In addition, certain of the Company's pension and postretirement plans are unfunded.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Company's outstanding notes. In addition, as of December 31, 2022 the unfunded accumulated postretirement benefit obligation, as calculated in accordance with U.S. generally accepted accounting principles, for retiree medical benefits was approximately $108 million, based on assumptions set forth under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Company's audited consolidated financial statements in this Annual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Litigation and Regulatory Matters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litigation risks which could negatively impact its operations and net income.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million.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 asbestos. In 1963, Crown Cork acquired a subsidiary that had two operating businesses, one of which is alleged to have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manufactured asbestos-containing insulation products. Crown Cork believes that the business ceased manufacturing such products in 1963.</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2022, Crown Cork's accrual for pending and future asbestos-related claims and related legal costs was $220 million, including $178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Crown Cork received approximately 1,500 new claims, settled or dismissed approximately 1,000 claims, and had approximately 57,500 claims outstanding at the end of the period. Of the Company's outstanding claims, approximately 17,000 claims relate to claimants alleging first exposure to asbestos after 1964 and approximately 40,500 relate to claimants alleging first exposure to asbestos before or during 1964, of which approximately 13,000 were filed in Texas, 1,500 were filed in Pennsylvania, 6,000 were filed in other states that have enacted asbestos legislation and 20,000 were filed in other states. The outstanding claims at December 31, 2022 also exclude approximately 19,000 inactive claims, as well as claims in Texas filed after June 11, 2003.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 arising from these defenses will not increase materially.</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made cash payments of $21 million, $19 million and $21 million in 2022, 2021 and 2020 to settle asbestos claims and pay related legal and defense costs. These payments and any such future payments will reduce the cash flow available to Crown Cork for its business operations and debt payments.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 Further information regarding Crown's Cork's asbestos-related liabilities is presented within “Management's Discussion and Analysis of Financial Condition and Results of Operations” under the headings, “Provision for Asbestos” and “Critical Accounting Policies” and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Company's audited consolidated financial statements included in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costs and liabilities related to stringent environmental and health and safety standards.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permits,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The European Union and Canada have banned the use of bisphenol-A in baby bottles, and the U.S. Environmental Protection Agency ("EPA") has considered adding bisphenol-A, which it has described as a potential reproductive, developmental, and systemic toxicant, to the chemical concern list and using its Design for the Environment program to encourage reductions in bisphenol-A manufacturing and use. Certain other nations, including Denmark, Belgium, the Netherlands, Canada and France, have implemented or considered implementing legislation restricting the use of bisphenol-A, including imposing product labeling requirements or restrictions on the importation and placement in the market of packaging and utensils containing bisphenol-A, and the European Food Safety Authority has recommended that the tolerable daily intake of bisphenol-A be lowered. Domestic and international, federal, state, municipal or other regulatory authorities could further restrict or prohibit the use of bisphenol-A in the future. In addition, public reports, litigation and other allegations regarding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U.S. and abroad, must comply with these laws and regulations. In addition, a number of governmental authorities in the U.S.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of both climate change and climate change regulation is uncertain.</w:t>
      </w:r>
    </w:p>
    <w:p>
      <w:pPr>
        <w:spacing w:after="0" w:line="21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evolving laws, regulations and market trends in response to climate change could adversely affect the business and operations of the Company.</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incur significant costs and experience operational disruptions as a result of increases in the frequency, severity or duration of severe weather events caused by climate change (including thunderstorms, hurricanes, blizzards, wildfires, flooding, typhoons and tornados), and may incur additional costs to prepare for, respond to and mitigate the effects of climate change. Furthermore, in the event that severe weather events, temperature shifts, or coastline changes resulting from climate change adversely impact crop yields for fruits and vegetables, our customers’ demand for our products may be reduced due to customers’ inability to make products that require packaging in the first instance. The Company is not able to accurately predict the materiality of any potential losses or costs associated with the effects of climate change. The impact of climate change may also vary by geographic location and other circumstances, including weather patterns and any impact to natural resources such as water.</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governmental authorities both in the U.S. and abroad also have enacted, or are considering, legal requirements relating to environmental conservation and sustainability, energy efficiency deforestation, greenhouse gas emissions, climate change and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and/or energy drinks have been enacted in France, the U.K., Poland, Portugal, Hungary, India and Saudi Arabia. Some state and local governments are also considering similar taxes, and several U.S. cities, including in California, Pennsylvania and Colorado,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and materially adversely affect the Company's business and financial results.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manufactures and sells metal and glass packaging primarily for the beverage and food can market. As a result, many of the Company's products come into direct contact with beverages and food. Accordingly, the Company's products must comply with various laws and regulations for beverages and food applicable to its customers. Changes in such laws and regulations, such as the sugary-drink taxes discussed above, could negatively impact customers' demand for the Company's products as they comply with such changes and/or require the Company to make changes to its products. Such changes to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 and negatively impact demand for the Company's products, including changes in consumer preferences driven by various health-related concerns and perceptions.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taxation requirements and other law could negatively affect the Company's financial results.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Company's products are subject to import and excise duties and/or sales or value-added taxes in many jurisdictions in which it operates.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indirect taxes could affect the Company's products' affordability and therefore reduce demand for its products.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 major customer and/or customer consolidation could reduce the Company's net sales and profitability.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majority of the Company's sales are to companies that have leading market positions in the sale of beverages, packaged food and household products to consumers. The loss of any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 In addition, the Company's relationship with several of its customers, particularly in Transit Packaging, is noncontractual, and as a result its customers may unilaterally reduce their purchases of its products.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 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 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any of which could have a material effect on its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dispositions or investments that the Company is considering, has pursued or may pursue could be unsuccessful, consume significant resources and require the incurrence of additional indebtedness.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completed and may consider acquisitions and investments that complement its existing business or dispositions of portions of its existing business. The actual or potential acquisitions, dispositions and investments, such as the Company's divestiture of its European Tinplate business in August 2021, involve or may involve significant cash expenditures, debt incurrence (including the incurrence of additional indebtedness under the Company's senior secured revolving credit facilities or other secured or unsecured debt), operating losses and expenses and the diversion of management's attention that could have a material effect on the Company's financial condition and operating results.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if the Company incurs additional debt in order to finance an acquisition, the Company's liquidity and financial stability could be impaired as a result of using a significant portion of available cash or borrowing capacity.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dispositions involve numerous other risks, including:</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and personnel of the acquired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complexities that may arise due to unfamiliarity with new assets, businesses or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ongoing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of fair value made in the accounting for acquisitions and amortization of acquired intangible assets which would reduce future reported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financing for the new acquisition or investment opportunities and the Company's existing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or obligation to divest portions of an acquired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successfully bifurcating operations that involve both remaining and departing personnel in divestiture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operating in new geographic regions or discontinued operations in legacy regions;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anticipated cost savings, synergies, business opportunities and growth prospects;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contractual relationships, suppliers or customers of the acquired businesses or of the Company;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required anti-trust and other regulatory approvals.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the Company pursues an acquisition or disposition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Company fails to retain key management and personnel, the Company may be unable to implement its business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 which could result in unexpected increased costs to the Company for a particular period.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its information technology and the failure or disruption of its information technology could disrupt its operations and adversely affect its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or physical property through security breach, and reputational harm, as well as potential civil liability and fines under various states' laws in which the Company does business. While the Company has security measures in place designed to protect the integrity of customer information and prevent data loss, misappropriation, and other security breaches, the Company's information technology systems could nevertheless be penetrated by outside parties intent on extracting information, corrupting information or disrupting business processes (including for purposes of ransom demands or other forms of blackmail), particularly if the Company's information security training and compliance programs prove to be inadequate. In addition, if the Company's information technology systems suffer severe damage, disruption or shutdown and the Company's business continuity plans do not effectively resolve the issues in a timely manner, the Company may lose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and it may suffer indirect economic loss if its existing insurance policies and coverage related to information security risks prove to be insufficient. Failure or disruption of the Company's information technology systems, or the back-up systems, for any reason could disrupt the Company's operations and negatively impact the Company's cash flows or financial condition.</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Sentiment towards climate change, sustainability and other ESG matters could adversely affect the Company’s business, financial condition or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announced sustainability goals for its next phase of Sustainability as part of its Twentyby30 program. Execution of this program and the achievements of the Company’s sustainability goals is subject to risk and uncertainties, many of which are out of the Company’s control. Failure to achieve these sustainability goals within the currently projected costs and expected timeframes could damage the Company’s reputation, customer and investor relationships, or ability to access capital on favorable terms, particularly given investors’ increased focus on ESG matters in recent years, and in turn could adversely affect the Company’s business, financial condition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operations and financial position have been and may continue to be adversely affected by the COVID-19 pandemic.</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ongoing global outbreak of COVID-19 has caused and may continue to cause business slowdowns and shutdowns and turmoil in the financial markets both in the U.S. and abroad. The pandemic, as well as the quarantines, travel restrictions, “work from home” orders, mask requirements, and other governmental and non-governmental restrictions which have been imposed throughout the world in an effort to contain, mitigate, or vaccinate against COVID-19 (and the controversies prompted by such restrictions in some regions), has created significant volatility, uncertainty and economic disruption that has adversely affected, and may in the future adversely affect, the Company’s results of operations, cash flows and financial position or the Company’s ability to execute its short- and long-term business strategies and initiatives.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magnitude of COVID-19’s ultimate impact on the Company will depend on numerous evolving factors, future developments and cascading effects of the coronavirus pandemic that the Company is not able to predict, including the extent and duration of the outbreak’s direct and indirect effect on consumer confidence and spending, customer demand, buying patterns, and work practices and on the Company’s supply chain. The impact of COVID-19 may also exacerbate other risk factors discussed in Item 1A of this Annual Report, any of which could have a material effect on the Company. The extent of the ultimate impact of COVID-19 on the Company’s business is highly uncertain and cannot be reasonably estimated at this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ind w:lef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86"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200" w:lineRule="exact"/>
        <w:rPr>
          <w:sz w:val="20"/>
          <w:szCs w:val="20"/>
          <w:color w:val="auto"/>
        </w:rPr>
      </w:pPr>
    </w:p>
    <w:p>
      <w:pPr>
        <w:spacing w:after="0" w:line="294"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u w:val="single" w:color="auto"/>
          <w:color w:val="auto"/>
        </w:rPr>
        <w:t>ITEM 1B.</w:t>
      </w:r>
      <w:r>
        <w:rPr>
          <w:sz w:val="20"/>
          <w:szCs w:val="20"/>
          <w:color w:val="auto"/>
        </w:rPr>
        <w:tab/>
      </w:r>
      <w:r>
        <w:rPr>
          <w:rFonts w:ascii="Times New Roman" w:cs="Times New Roman" w:eastAsia="Times New Roman" w:hAnsi="Times New Roman"/>
          <w:sz w:val="17"/>
          <w:szCs w:val="17"/>
          <w:u w:val="single" w:color="auto"/>
          <w:color w:val="auto"/>
        </w:rPr>
        <w:t>UNRESOLVED STAFF COMMENTS</w:t>
      </w:r>
    </w:p>
    <w:p>
      <w:pPr>
        <w:spacing w:after="0" w:line="185"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00" w:lineRule="exact"/>
        <w:rPr>
          <w:sz w:val="20"/>
          <w:szCs w:val="20"/>
          <w:color w:val="auto"/>
        </w:rPr>
      </w:pPr>
    </w:p>
    <w:p>
      <w:pPr>
        <w:spacing w:after="0" w:line="36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7"/>
          <w:szCs w:val="17"/>
          <w:u w:val="single" w:color="auto"/>
          <w:color w:val="auto"/>
        </w:rPr>
        <w:t>PROPERTIES</w:t>
      </w:r>
    </w:p>
    <w:p>
      <w:pPr>
        <w:spacing w:after="0" w:line="347" w:lineRule="exact"/>
        <w:rPr>
          <w:sz w:val="20"/>
          <w:szCs w:val="20"/>
          <w:color w:val="auto"/>
        </w:rPr>
      </w:pPr>
    </w:p>
    <w:p>
      <w:pPr>
        <w:jc w:val="both"/>
        <w:ind w:left="6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operated 199 facilities in 40 countries. The principal manufacturing facilities at December 31, 2022 are listed below and are grouped by reportable segment. 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 The Company leased 69 of its manufacturing facilities at December 31, 2022.</w:t>
      </w:r>
    </w:p>
    <w:p>
      <w:pPr>
        <w:spacing w:after="0" w:line="210"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Ongoing productivity improvements and cost reduction efforts in recent years have focused on upgrading and modernizing facilities to reduce costs, improve efficiency and productivity. The Company has also opened new facilities to meet increases in market demand for its products. These actions reflect the Company’s continued commitment to align manufacturing facilities to maintain its competitive position in its markets.</w:t>
      </w:r>
    </w:p>
    <w:p>
      <w:pPr>
        <w:spacing w:after="0" w:line="203" w:lineRule="exact"/>
        <w:rPr>
          <w:sz w:val="20"/>
          <w:szCs w:val="20"/>
          <w:color w:val="auto"/>
        </w:rPr>
      </w:pPr>
    </w:p>
    <w:p>
      <w:pPr>
        <w:jc w:val="both"/>
        <w:ind w:left="60" w:right="20"/>
        <w:spacing w:after="0" w:line="261" w:lineRule="auto"/>
        <w:rPr>
          <w:sz w:val="20"/>
          <w:szCs w:val="20"/>
          <w:color w:val="auto"/>
        </w:rPr>
      </w:pPr>
      <w:r>
        <w:rPr>
          <w:rFonts w:ascii="Times New Roman" w:cs="Times New Roman" w:eastAsia="Times New Roman" w:hAnsi="Times New Roman"/>
          <w:sz w:val="18"/>
          <w:szCs w:val="18"/>
          <w:color w:val="auto"/>
        </w:rPr>
        <w:t>Utilization of any particular facility varies based upon product demand. While it is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207"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The Company’s Americas, Transit Packaging and Corporate headquarters are in Tampa, Florida. Its European headquarters is in Baar, Switzerland and its Asia Pacific headquarters is in Singapore. The Company maintains a research facility in Wantage, England.</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9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Americas Beverage</w:t>
            </w:r>
          </w:p>
        </w:tc>
        <w:tc>
          <w:tcPr>
            <w:tcW w:w="17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European Beverage</w:t>
            </w:r>
          </w:p>
        </w:tc>
        <w:tc>
          <w:tcPr>
            <w:tcW w:w="222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3620" w:type="dxa"/>
            <w:vAlign w:val="bottom"/>
            <w:tcBorders>
              <w:top w:val="single" w:sz="8" w:color="auto"/>
              <w:bottom w:val="single" w:sz="8" w:color="auto"/>
              <w:right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Transit Packaging</w:t>
            </w:r>
          </w:p>
        </w:tc>
        <w:tc>
          <w:tcPr>
            <w:tcW w:w="186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w:t>
            </w:r>
          </w:p>
        </w:tc>
      </w:tr>
      <w:tr>
        <w:trPr>
          <w:trHeight w:val="182"/>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Kankakee, 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Custines, France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Phnom Penh, Cambodia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Rainbow City, AL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Virton, Belgium</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Norwalk, CT (T)</w:t>
            </w:r>
          </w:p>
        </w:tc>
      </w:tr>
      <w:tr>
        <w:trPr>
          <w:trHeight w:val="19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Bowling Green, KY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Korinthos, Greece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Sihanoukville, Cambodia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Benton,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Kardjali, Bulgaria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Dubuque, IA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Mankato, MN</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Patras, Greece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Hangzhou,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Fordyce,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Noerresundby, Denmark</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Alsip, IL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Batesville, MS</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Parma, Italy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Henan,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Sheridan, AR</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Soenderborg, Denmark</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Decatur, IL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Nichols, NY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Amman, Jordan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Heshan,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Phoenix, AZ</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Liljendal, Finland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Belcamp, MD (S)</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Dayton, OH</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Goleniow, Poland</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Huizhou,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Bay Point, CA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Masku, Finland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Faribault, MN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Cheraw, SC</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Dammam, Saudi Arabia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Qingdao Chengyan,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Stockton, CA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Castelsarrasin, 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Owatonna, MN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Conroe, TX</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Jeddah, Saudi Arabia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Shanghai,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Denver, CO</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Fontaine les Luxeuil,</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Massillon,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Fort Bend, TX</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Kosice, Slovakia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Tianjin,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Carrollton,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Mill Park, OH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Martinsville, VA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Agoncillo,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Tongxiang, China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Douglasville,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Manneville sur Risle,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Connellsville,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Winchester, VA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Sevilla,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Ziyang, China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LaGrange,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Hanover, PA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Olympia, WA</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Valencia, Spain</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Karawang, Indonesia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Macon, GA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Tournus, France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Trevose, PA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La Crosse, WI</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El Agba, Tunisia</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Bangi, Malaysia</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Bridgeview,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Dinslaken,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Spartanburg, SC (A)</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Worland, WY</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Izmit, Turkey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Yangon, Myanmar</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Dixmoor,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Goldkronach,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Suffolk, VA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Cabreuva,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Osmaniye, Turkey</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Singapore</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Kankakee, IL (2)</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Hilden,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Chippewa Falls, WI (T)</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Teresina,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Dubai, UAE</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Singapore (S)</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Roselle, 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Neunkirchen,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Oshkosh, WI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Estancia,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Botcherby, U.K.</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Bangpoo,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Elkhart, IN</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Nurnberg,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Kingston, Jamaica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Manaus, Brazil</w:t>
            </w:r>
          </w:p>
        </w:tc>
        <w:tc>
          <w:tcPr>
            <w:tcW w:w="1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Braunstone, U.K.</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Hat Yai,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Gary, IN</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Weischlitz, Germany</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La Villa, Mexico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Ponta Grossa,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Nakhon Pathom,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Florence, KY</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Gorey, Ireland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Barbados, West Indies (F)</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Rio Verde,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Nong Khae, Thailand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Monroe, LA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Waterford, Ireland</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Shipley, U.K. (T), (3)</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Uberaba, Brazil</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Samrong,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Brighton, MI</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Nairobi, Kenya</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Wortley, U.K.</w:t>
            </w: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Calgary, Canada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Songkhla, Thailand (F)</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Eden, NC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Heerlen,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Ontario, Canada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Danang,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Salisbury, NC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Nuenen,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Santafe de Bogota,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Dong Nai, Vietnam (2)</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Newark, NJ</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Zwijndrecht, Netherlands</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Colombia</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Hanoi,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Cleveland,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Kosice, Slovakia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Acayucan,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Ho Chi Minh City,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Loveland,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Burseryd,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Chihuahua,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Vung Tau, Vietnam</w:t>
            </w: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Chester, OH</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Hjo,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Ensenada,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Elizabethtown,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Sandared,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Guadalajara,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Hazleton,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Ystad, Sweden</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Monterrey, Mexico (2)</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Imperial, PA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Dietikon, Switzerland (2)</w:t>
            </w:r>
          </w:p>
        </w:tc>
        <w:tc>
          <w:tcPr>
            <w:tcW w:w="1860" w:type="dxa"/>
            <w:vAlign w:val="bottom"/>
            <w:tcBorders>
              <w:right w:val="single" w:sz="8" w:color="auto"/>
            </w:tcBorders>
          </w:tcPr>
          <w:p>
            <w:pPr>
              <w:spacing w:after="0"/>
              <w:rPr>
                <w:sz w:val="17"/>
                <w:szCs w:val="17"/>
                <w:color w:val="auto"/>
              </w:rPr>
            </w:pPr>
          </w:p>
        </w:tc>
      </w:tr>
      <w:tr>
        <w:trPr>
          <w:trHeight w:val="202"/>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Orizaba,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Providence, RI</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Merenschwand, Switzerland</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Toluca, Mexico</w:t>
            </w: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Darlington,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Izmir, Turkey</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Greer,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Kocaeli, Turkey</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Latta, SC</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Dudley, U.K.</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Orange, TX</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Wisbech, U.K. (2)</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San Antonio, TX</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Derrimut, Australia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Danville,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Kurri Kurri, Australia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Forest,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Bangalore, India (4)</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Martinsville,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Dahej,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Rustburg, VA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Rudrapur,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Woodland, WA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Rudraram,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Cabreuva, Brazil</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Silvassa, India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Halton Hills, Canada</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Pohang, South Korea</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Amatlan de los Reyes,</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Rayong, Thailand</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Sriracha, Thailand (2)</w:t>
            </w: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Cienega de Flores,</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Toluca, Mexico</w:t>
            </w:r>
          </w:p>
        </w:tc>
        <w:tc>
          <w:tcPr>
            <w:tcW w:w="2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spacing w:after="0"/>
              <w:rPr>
                <w:sz w:val="17"/>
                <w:szCs w:val="17"/>
                <w:color w:val="auto"/>
              </w:rPr>
            </w:pP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properties above are beverage facilities unless otherwise indicated by the following: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Aerosol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 Food and closure</w:t>
      </w:r>
    </w:p>
    <w:p>
      <w:pPr>
        <w:spacing w:after="0" w:line="1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Promotional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Specialty packaging</w:t>
      </w:r>
    </w:p>
    <w:p>
      <w:pPr>
        <w:spacing w:after="0" w:line="14" w:lineRule="exact"/>
        <w:rPr>
          <w:rFonts w:ascii="Times New Roman" w:cs="Times New Roman" w:eastAsia="Times New Roman" w:hAnsi="Times New Roman"/>
          <w:sz w:val="14"/>
          <w:szCs w:val="14"/>
          <w:b w:val="1"/>
          <w:bCs w:val="1"/>
          <w:color w:val="auto"/>
        </w:rPr>
      </w:pPr>
    </w:p>
    <w:p>
      <w:pPr>
        <w:ind w:left="180" w:hanging="172"/>
        <w:spacing w:after="0"/>
        <w:tabs>
          <w:tab w:leader="none" w:pos="1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Tooling and equipment</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3.</w:t>
      </w:r>
      <w:r>
        <w:rPr>
          <w:sz w:val="20"/>
          <w:szCs w:val="20"/>
          <w:color w:val="auto"/>
        </w:rPr>
        <w:tab/>
      </w:r>
      <w:r>
        <w:rPr>
          <w:rFonts w:ascii="Times New Roman" w:cs="Times New Roman" w:eastAsia="Times New Roman" w:hAnsi="Times New Roman"/>
          <w:sz w:val="17"/>
          <w:szCs w:val="17"/>
          <w:u w:val="single" w:color="auto"/>
          <w:color w:val="auto"/>
        </w:rPr>
        <w:t>LEGAL PROCEEDINGS</w:t>
      </w:r>
    </w:p>
    <w:p>
      <w:pPr>
        <w:spacing w:after="0" w:line="347"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2022, the accrual for pending and future asbestos claims and related legal costs that are probable and estimable was $220 million.</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been identified by the EPA as a potentially responsible party (along with others, in most cases) at a number of sites.</w:t>
      </w:r>
    </w:p>
    <w:p>
      <w:pPr>
        <w:spacing w:after="0" w:line="171"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line="205"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8"/>
          <w:szCs w:val="18"/>
          <w:u w:val="single" w:color="auto"/>
          <w:color w:val="auto"/>
        </w:rPr>
        <w:t>ITEM 4.</w:t>
      </w:r>
      <w:r>
        <w:rPr>
          <w:sz w:val="20"/>
          <w:szCs w:val="20"/>
          <w:color w:val="auto"/>
        </w:rPr>
        <w:tab/>
      </w:r>
      <w:r>
        <w:rPr>
          <w:rFonts w:ascii="Times New Roman" w:cs="Times New Roman" w:eastAsia="Times New Roman" w:hAnsi="Times New Roman"/>
          <w:sz w:val="17"/>
          <w:szCs w:val="17"/>
          <w:u w:val="single" w:color="auto"/>
          <w:color w:val="auto"/>
        </w:rPr>
        <w:t>MINE SAFETY DISCLOSURES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INFORMATION ABOUT OUR EXECUTIVE OFFICERS</w:t>
      </w:r>
    </w:p>
    <w:p>
      <w:pPr>
        <w:spacing w:after="0" w:line="252" w:lineRule="exact"/>
        <w:rPr>
          <w:sz w:val="20"/>
          <w:szCs w:val="20"/>
          <w:color w:val="auto"/>
        </w:rPr>
      </w:pPr>
    </w:p>
    <w:p>
      <w:pPr>
        <w:jc w:val="both"/>
        <w:ind w:left="60" w:right="20"/>
        <w:spacing w:after="0" w:line="282" w:lineRule="auto"/>
        <w:rPr>
          <w:sz w:val="20"/>
          <w:szCs w:val="20"/>
          <w:color w:val="auto"/>
        </w:rPr>
      </w:pPr>
      <w:r>
        <w:rPr>
          <w:rFonts w:ascii="Times New Roman" w:cs="Times New Roman" w:eastAsia="Times New Roman" w:hAnsi="Times New Roman"/>
          <w:sz w:val="18"/>
          <w:szCs w:val="18"/>
          <w:color w:val="auto"/>
        </w:rPr>
        <w:t>Information concerning the principal executive officers of the Company, including their ages and positions, is set forth in “Directors, Executive Officers and Corporate Governance” of this Annual Report.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4" w:lineRule="exact"/>
        <w:rPr>
          <w:sz w:val="20"/>
          <w:szCs w:val="20"/>
          <w:color w:val="auto"/>
        </w:rPr>
      </w:pPr>
    </w:p>
    <w:p>
      <w:pPr>
        <w:ind w:left="1400" w:right="80" w:hanging="1322"/>
        <w:spacing w:after="0" w:line="250" w:lineRule="auto"/>
        <w:tabs>
          <w:tab w:leader="none" w:pos="13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8"/>
          <w:szCs w:val="18"/>
          <w:u w:val="single" w:color="auto"/>
          <w:color w:val="auto"/>
        </w:rPr>
        <w:t>MARKET FOR REGISTRANT’S COMMON EQUITY, RELATED STOCKHOLDER MATTERS AND ISSUER PURCHASES OF EQUITY SECURITIES</w:t>
      </w:r>
    </w:p>
    <w:p>
      <w:pPr>
        <w:spacing w:after="0" w:line="311" w:lineRule="exact"/>
        <w:rPr>
          <w:sz w:val="20"/>
          <w:szCs w:val="20"/>
          <w:color w:val="auto"/>
        </w:rPr>
      </w:pPr>
    </w:p>
    <w:p>
      <w:pPr>
        <w:jc w:val="both"/>
        <w:ind w:left="60"/>
        <w:spacing w:after="0" w:line="256" w:lineRule="auto"/>
        <w:rPr>
          <w:sz w:val="20"/>
          <w:szCs w:val="20"/>
          <w:color w:val="auto"/>
        </w:rPr>
      </w:pPr>
      <w:r>
        <w:rPr>
          <w:rFonts w:ascii="Times New Roman" w:cs="Times New Roman" w:eastAsia="Times New Roman" w:hAnsi="Times New Roman"/>
          <w:sz w:val="18"/>
          <w:szCs w:val="18"/>
          <w:color w:val="auto"/>
        </w:rPr>
        <w:t xml:space="preserve">The Registrant’s common stock is listed on the New York Stock Exchange under ticker symbol CCK. On February 24, 2023 there were 3,480 registered shareholders of the Registrant’s common stock, including 832 participants in the Company’s Employee Stock Purchase Plan. The foregoing information regarding the number of registered shareholders of common stock does not include persons holding stock through clearinghouse systems. Details regarding the Company’s policy as to payment of cash dividends and repurchase of shares are set forth under </w:t>
      </w:r>
      <w:r>
        <w:rPr>
          <w:rFonts w:ascii="Times New Roman" w:cs="Times New Roman" w:eastAsia="Times New Roman" w:hAnsi="Times New Roman"/>
          <w:sz w:val="18"/>
          <w:szCs w:val="18"/>
          <w:u w:val="single" w:color="auto"/>
          <w:color w:val="0000FF"/>
        </w:rPr>
        <w:t>Note T</w:t>
      </w:r>
      <w:r>
        <w:rPr>
          <w:rFonts w:ascii="Times New Roman" w:cs="Times New Roman" w:eastAsia="Times New Roman" w:hAnsi="Times New Roman"/>
          <w:sz w:val="18"/>
          <w:szCs w:val="18"/>
          <w:color w:val="auto"/>
        </w:rPr>
        <w:t xml:space="preserve"> 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purchases of equity securities during the three months ending December 31, 2022.</w:t>
      </w:r>
    </w:p>
    <w:p>
      <w:pPr>
        <w:spacing w:after="0" w:line="252"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In December 2021, the Company's Board of Directors authorized the repurchase of an aggregate amount of $3.0 billion of Company common stock through the end of 2024. As of December 31, 2022, the Company could still purchase $2.3 billion of the Company common stock through this program. Share repurchases under the Company's program may be made in the open market or through privately negotiated transactions, and at times and in such amounts as management deems appropriate.</w:t>
      </w: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auto"/>
        </w:rPr>
        <w:t>ITEM 6.</w:t>
      </w:r>
      <w:r>
        <w:rPr>
          <w:sz w:val="20"/>
          <w:szCs w:val="20"/>
          <w:color w:val="auto"/>
        </w:rPr>
        <w:tab/>
      </w:r>
      <w:r>
        <w:rPr>
          <w:rFonts w:ascii="Times New Roman" w:cs="Times New Roman" w:eastAsia="Times New Roman" w:hAnsi="Times New Roman"/>
          <w:sz w:val="17"/>
          <w:szCs w:val="17"/>
          <w:color w:val="auto"/>
        </w:rPr>
        <w:t>[RESERVED]</w:t>
      </w:r>
    </w:p>
    <w:p>
      <w:pPr>
        <w:sectPr>
          <w:pgSz w:w="11900" w:h="16838" w:orient="portrait"/>
          <w:cols w:equalWidth="0" w:num="1">
            <w:col w:w="11300"/>
          </w:cols>
          <w:pgMar w:left="26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type w:val="continuous"/>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COMPARATIVE STOCK PERFORMANCE </w:t>
      </w:r>
      <w:r>
        <w:rPr>
          <w:rFonts w:ascii="Times New Roman" w:cs="Times New Roman" w:eastAsia="Times New Roman" w:hAnsi="Times New Roman"/>
          <w:sz w:val="18"/>
          <w:szCs w:val="18"/>
          <w:color w:val="auto"/>
        </w:rPr>
        <w:t>(a)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Comparison of Five-Year Cumulative Total Return (b)</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160020</wp:posOffset>
            </wp:positionV>
            <wp:extent cx="5863590" cy="3206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U.S. Containers &amp; Packaging Index</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0" w:lineRule="exact"/>
        <w:rPr>
          <w:sz w:val="20"/>
          <w:szCs w:val="20"/>
          <w:color w:val="auto"/>
        </w:rPr>
      </w:pPr>
    </w:p>
    <w:p>
      <w:pPr>
        <w:spacing w:after="0" w:line="353" w:lineRule="exact"/>
        <w:rPr>
          <w:sz w:val="20"/>
          <w:szCs w:val="20"/>
          <w:color w:val="auto"/>
        </w:rPr>
      </w:pPr>
    </w:p>
    <w:p>
      <w:pPr>
        <w:jc w:val="both"/>
        <w:ind w:left="540" w:hanging="329"/>
        <w:spacing w:after="0" w:line="272" w:lineRule="auto"/>
        <w:tabs>
          <w:tab w:leader="none" w:pos="5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197" w:lineRule="exact"/>
        <w:rPr>
          <w:rFonts w:ascii="Times New Roman" w:cs="Times New Roman" w:eastAsia="Times New Roman" w:hAnsi="Times New Roman"/>
          <w:sz w:val="16"/>
          <w:szCs w:val="16"/>
          <w:color w:val="auto"/>
        </w:rPr>
      </w:pPr>
    </w:p>
    <w:p>
      <w:pPr>
        <w:ind w:left="540" w:hanging="329"/>
        <w:spacing w:after="0"/>
        <w:tabs>
          <w:tab w:leader="none" w:pos="5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the value of the investment in Crown Holdings common stock and each index was $100 on December 31, 2017 and that all dividends were reinvested.</w:t>
      </w:r>
    </w:p>
    <w:p>
      <w:pPr>
        <w:spacing w:after="0" w:line="261" w:lineRule="exact"/>
        <w:rPr>
          <w:rFonts w:ascii="Times New Roman" w:cs="Times New Roman" w:eastAsia="Times New Roman" w:hAnsi="Times New Roman"/>
          <w:sz w:val="16"/>
          <w:szCs w:val="16"/>
          <w:color w:val="auto"/>
        </w:rPr>
      </w:pPr>
    </w:p>
    <w:p>
      <w:pPr>
        <w:ind w:left="540" w:hanging="329"/>
        <w:spacing w:after="0" w:line="280" w:lineRule="auto"/>
        <w:tabs>
          <w:tab w:leader="none" w:pos="43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index is weighted by market capitalization and, as of December 31, 2022, was composed of Crown Holdings, Amcor, AptarGroup, Avery Dennison, Ball, Berry Global, Graphic Packaging, International Paper, Packaging Corp. of America, Sealed Air, Silgan, Sonoco and WestRock.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ind w:right="1540"/>
        <w:spacing w:after="0" w:line="282" w:lineRule="auto"/>
        <w:rPr>
          <w:sz w:val="20"/>
          <w:szCs w:val="20"/>
          <w:color w:val="auto"/>
        </w:rPr>
      </w:pPr>
      <w:r>
        <w:rPr>
          <w:rFonts w:ascii="Times New Roman" w:cs="Times New Roman" w:eastAsia="Times New Roman" w:hAnsi="Times New Roman"/>
          <w:sz w:val="18"/>
          <w:szCs w:val="18"/>
          <w:u w:val="single" w:color="auto"/>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(in millions, except per share, average settlement cost per asbestos claim, employee, shareholder and statistical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results of operations and financial condition of Crown Holdings, Inc. (the "Company") as of and during the three-year period ended December 31, 2022. This discussion should be read in conjunction with the consolidated financial statements included in this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STRATEGY AND TRENDS</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strategy is to deploy capital into its global beverage can operations to expand production capacity to support growing customer demand in alcoholic and non-alcoholic drink categories.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31, 2021, the Company completed the previously announced sale of its European Tinplate business to KPS Capital Partners, LP. The European Tinplate business comprised the Company's European Food reportable segment and its European Aerosol and Promotional Packaging reporting unit which was previously reported in Other. The Company received pre-tax proceeds of approximately €1.9 billion ($2.3 billion) from the transaction and received a 20% ownership stake in the business.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capital allocation strategy also focuses on maintaining a strong balance sheet with a target leverage ratio between 3.0x and 3.5x and returning capital to shareholders in the form of dividends and the repurchase of Company shares. In December 2021, the Board of Directors authorized the repurchase of $3.0 billion in Company common stock through the end of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elevate its commitment to sustainability, which is a core value of the Company. In 2020, the Company debuted Twentyby30, a robust program that outlines twenty measurable, science based, environmental, social and governance goals to be completed by 2030 or sooner. In September 2021, the Company joined The Climate Pledge, a commitment to be net-zero carbon across business operations by 2040.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the war between Russia and Ukraine has not had a direct material impact on the Company's business, financial condition, or results of operations.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and interest rate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indexes. The Company also uses commodity forward contracts to manage its exposure to raw material costs. The ability to mitigate inflationary risks through these measures varies by region and the impact on the results of the Company’s segments is discussed, as applicable, under the heading "Results of Operations" below.</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and the Canadian dollar in the Company's Americas Beverage segment, the euro and pound sterling in the Company's European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segment and the Thai Baht in the Company's Asia Pacific segment. The Company's Transit Packaging segment is a global business.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for Transit Packaging are primarily related to the euro, the Swedish krona and the Indian rupee. 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AND SEGMENT INCOME</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3040" w:type="dxa"/>
            <w:vAlign w:val="bottom"/>
            <w:tcBorders>
              <w:top w:val="single" w:sz="8" w:color="auto"/>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$12,943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$11,394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$9,392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costs and 3% higher global beverage can sales unit volumes partially offset by lower volumes in the Transit Packaging segment and unfavorable foreign currency translation of $372.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9% higher sales unit volumes in the Company's beverage can businesses, higher sales unit volumes in the transit packaging business and the pass-through of higher material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recent growth due to the introduction of new beverage products in cans versus other packaging formats. In Brazil and Mexico, the Company's sales unit volumes have increased in recent years primarily due to market growth driven by increased per capita incomes and consumption, combined with an increased preference for cans over other forms of beverage packaging.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volume requirements in these markets, the Company began commercial production of the following:</w:t>
      </w:r>
    </w:p>
    <w:p>
      <w:pPr>
        <w:spacing w:after="0" w:line="252"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Martinsville, Virginia - line one in November 2022</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Monterrey, Mexico - April 2022</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Uberaba, Brazil - line one in May 2022 and line two in October 2022</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Bowling Green, Kentucky - two lines in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 Verde, Brazil - line two in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Olympia, Washington - line three in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Nichols, NY - line three in 2020</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 line three in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expects to commence production on a second line in Martinsville, Virginia and at a new two-line plant in Mesquite, Nevada in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costs.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start-up costs and $16 of increased depreciation associated with recent capacity expansions, partially offset by contractual pass-through mechanisms put in place to recover inflation.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aluminum costs, 8% higher sales unit volumes and $9 from the impact of favorable foreign currency translation.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sales unit volumes and improved pricing, partially offset by increased depreciation of $15 and start-up costs associated with recent capacity expansion.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the introduction of new beverage products in cans versus other packaging formats. To meet volume requirements, two lines in the Seville, Spain plant began commercial production of aluminum cans in 2022. Additionally, in 2023, high speed production lines are being added to plants in Parma, Italy and Agoncillo, Spain, and the Company expects to complete the relocation to a new two-line plant in Peterborough, United Kingdom.</w:t>
      </w:r>
    </w:p>
    <w:p>
      <w:pPr>
        <w:spacing w:after="0" w:line="19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In February 2023, twin earthquakes struck near the Company's Osmaniye, Turkey, plant. There was no significant damage to the physical plant structure, equipment or inventory. The plant resumed production and shipments to customers able to receive deliveries by the end of February. The Company is still evaluating the impact and at this time does not expect this event to have a material impact on the Company's results of operations or cash flows and has property and business interruption insurance policies.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7"/>
        </w:trPr>
        <w:tc>
          <w:tcPr>
            <w:tcW w:w="6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costs and 3% higher sales unit volumes, partially offset by unfavorable foreign currency translation of $177.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income decreased primarily due to energy costs in excess of contractual pass-through provisions, a mismatch in contractual aluminum pass-through provisions whereby higher cost inventory was sold at lower prices and $7 from the impact of unfavorable foreign currency translation partially offset by higher sales unit volumes. The aluminum pass-through provisions are impacted by higher than normal inventory levels due to supply chain concerns and lower than expected volumes, and price volatility in the aluminum market.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12% higher sales unit volumes, the pass-through of higher aluminum costs, and $57 from the impact of favorable foreign currency translation.</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sales unit volumes and $5 from the impact of favorable foreign currency translation, partially offset by other operating costs that were not fully passed through in selling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driven by increased per capita incomes and consumption, combined with an increased preference for cans over other forms of beverage packaging.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volume requirements in Southeast Asia, the Company began commercial production of the following:</w:t>
      </w:r>
    </w:p>
    <w:p>
      <w:pPr>
        <w:spacing w:after="0" w:line="252"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Phnom Penh, Cambodia - third line in August 2022</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Vung Tau, Vietnam - new plant in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Hanoi, Vietnam - second line in 2021</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For the year ended December 31, 2022, the plant had net sales of $19 and segment income of less than $1. Property, plant and equipment as of December 31 2022 was $56, including $25 of land and buildings and $31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costs and 10% higher sales unit volumes, partially offset by unfavorable foreign currency translation of $42.</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Segment income decreased primarily due to a mismatch in contractual aluminum pass-through provisions whereby higher cost inventory was sold at lower prices, partially offset by the impact of higher sales unit volumes. The aluminum pass-through provisions are impacted by higher than normal inventory levels due to supply chain concerns and lower than expected volumes, and price volatility in the aluminum market.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due to 6% higher sales unit volumes, the pass-through of higher aluminum costs, and $13 from the impact of favorable foreign currency translation.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sales unit volumes, partially offset by higher operating costs that were not fully passed through in selling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industrial products, protective solutions, and automation, equipment and tools business. Industrial products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 goods during transport. Automation, equipment and tools includes manual, semi-automatic and automatic equipment and tools, which are primarily used in end-of-line operations to apply consumables such as strap and film.</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raw material prices, partially offset by $139 from the impact of unfavorable foreign currency translation and lower sales unit volumes.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income decreased primarily due to lower sales unit volumes, $20 from the impact of unfavorable foreign currency translation and $8 from the divestiture of the segment's Kiwiplan business, partially offset by inflationary price increases in the protective solutions business and costs savings from headcount reductions across the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due to higher sales unit volumes, the pass-through of higher raw material prices and $36 from the impact of favorable foreign currency translation.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unit volumes and $6 from the impact of favorable foreign currency translation, partially offset by higher operating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In 2021, the Company commenced operations at a new food can plant in Dubuque, Iowa and on a new food can line in its Hanover, Pennsylvania plant. The Company added a third two-piece food can line to its Owatonna, Minnesota plant in 2022 and is expected to add a pet food can line to its Dubuque, Iowa plant in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2022 compared to 2021</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tinplate costs in the Company's North America food can, aerosol can and closures businesses, partially offset by lower sales unit volumes and $17 from the impact of unfavorable foreign currency translation.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income increased primarily due to increased profitability in the Company's North America food can, aerosol can and closures businesses due to higher self-made two-piece food can sales unit volumes, inflationary price increases and the benefit of lower cost inventory from prior year-end partially offset by $7 from the impact of unfavorable foreign currency translation. The benefit arising from lower cost inventory from prior year end was $35 for the year-ended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2021 compared to 2020</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higher sales in the Company's beverage can equipment operations and the North America food can business, the pass-through of higher tinplate costs, and $12 from the impact of favorable foreign currency translation.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lower tinplate carryover costs in the Company's North America food can business as compared to the year-ended December 31, 2020 and higher sales in the Company's beverage can equipment operations and North America food can business.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6"/>
        </w:trPr>
        <w:tc>
          <w:tcPr>
            <w:tcW w:w="7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costs decreased from 2020 to 2021 and from 2021 to 2022 due to lower incentive compensation costs in 2021 and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for the year-ended December 31, 2021, corporate and unallocated expenses included certain corporate costs, including research and development, that were not directly attributable to the Company's European Tinplate business which was sold in August 2021 and as such, could not be allocated to discontinued operations. Subsequent to the sale, the Company's corporate cost structure reflects its ongoing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AND OTHER, NET</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year-ended December 31, 2022, the benefit from restructuring and other, net includes a $113 gain from the sale of the Transit Packaging segment's Kiwiplan business and $29 of charges related to an overhead cost reduction program initiated by the Transit Packaging segment in the second quarter of 2022. The Company expects to reduce headcount by approximately 600 employees and this action to result in annual savings of approximately $60. However, there can be no assurance that any such pre-tax savings will be realized. The Company continues to identify cost reduction initiatives in its businesses and it is possible that the Company may record additional restructuring charges in the future.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PENSION AND POSTRETIREMENT</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pension and postretirement for the year ended December 31, 2021 included a $1,511 settlement charge for the Company's U.K. pension plan obligation.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from $253 in 2021 to $284 in 2022 primarily due to higher interest rates.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decreased from $290 in 2020 to $253 in 2021 primarily due to lower outstanding debt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TAXES ON INCOME</w:t>
            </w:r>
          </w:p>
        </w:tc>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5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1640" w:type="dxa"/>
            <w:vAlign w:val="bottom"/>
            <w:tcBorders>
              <w:bottom w:val="single" w:sz="8" w:color="CCEEFF"/>
            </w:tcBorders>
          </w:tcPr>
          <w:p>
            <w:pPr>
              <w:spacing w:after="0"/>
              <w:rPr>
                <w:sz w:val="22"/>
                <w:szCs w:val="22"/>
                <w:color w:val="auto"/>
              </w:rPr>
            </w:pPr>
          </w:p>
        </w:tc>
        <w:tc>
          <w:tcPr>
            <w:tcW w:w="50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 (benefit from) for income taxes</w:t>
            </w:r>
          </w:p>
        </w:tc>
        <w:tc>
          <w:tcPr>
            <w:tcW w:w="22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in 2022 was 23% and included an income tax charge of $11 for the sale of the Company's Transit Packaging segment's Kiwiplan business in 2022. The lower effective tax rate in 2021 included a tax benefit of $18 related to a deferred tax valuation allowance release resulting from improved profitability in a Transit Packaging corporate entity. Additionally, the Company also recorded income tax benefits of $8, primarily related to tax law changes in India, Turkey and the U.K.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effective tax rate in 2021 also included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 regarding the sale of the European Tinplate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income taxes, see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 xml:space="preserve"> to the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EARNINGS OF AFFILIATES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in net earnings of affiliates increased from $3 in 2021 to $42 in 2022 due to the 20% ownership interest received after the sale of the Company's European Tinplate business in August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NONCONTROLLING INTERESTS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 decreased from $148 in 2021 to $128 in 2022 primarily due to lower earnings in the Company's beverage can operations in Brazil and the Middle East.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 increased from $108 in 2020 to $148 in 2021 primarily due to higher earnings in the Company's beverage can operations in Brazil, including a favorable court ruling in a lawsuit brought by certain of the Company's Brazilian subsidiaries asserting they were overcharged by local tax authorities for direct and indirect taxes paid in prior years.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Cash provided by operating activities decreased from $905 in 2021 to $803 in 2022 primarily due to changes in working capital. Additionally, in 2021 operating activities included $236 of pension contributions, primarily related to the contribution required to fully settle the U.K. pension plan obligation. $77 was received in 2022 for partial reimbursement of the contribution.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more information regarding the settlement of the U.K. pension plan obligation.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decreased from $1,889 at December 31, 2021 to $1,843 at December 31, 2022 primarily due to increased securitization and factoring, partially offset by inflation and higher sales unit volumes. Days sales outstanding for trade receivables, excluding the impact of unbilled receivables, decreased from 37 at December 31, 2021 to 33 at December 31, 2022, primarily due to increased securitization and factoring.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increased from $1,735 at December 31, 2021 to $2,014 at December 31, 2022 primarily due to inventory builds in certain segments and inflation. Inventory turnover increased from 59 days at December 31, 2021 to 63 days at December 31, 2022.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payable decreased from $2,901 at December 31, 2021 to $2,773 at December 31, 2022 primarily due lower aluminum prices at the end of 2022. Days outstanding for trade payables decreased from 112 days at December 31, 2021 to 90 days at December 31, 2022, as prior year included the payables impact of inventory built in anticipation of market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provided cash of $1,507 in 2021 and used cash of $642 in 2022 primarily due to the proceeds received from the sale of the European Tinplate business in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2023 to be approximately $900.</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approximately $173 of capital commitments primarily related to its Americas Beverage segment. The Company expects to fund these commitments primarily through cash generated from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Cash used for financing activities decreased from $2,944 in 2021 to $25 in 2022 primarily due to higher net borrowings in 2022 primarily related to the refinancing of the Company's revolving credit and term loan facilities and the issuance of $500 principal amount of 5.250% senior unsecured notes due 2030. See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more information. Additionally, in 2022, the Company repurchased $722 of its shares of common stock and paid dividends to shareholders of $106.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$491 of the Company's $550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$396 was held by subsidiaries for which earnings are considered indefinitely reinvested.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revolving credit agreements provide capacity of $1,650. As of December 31, 2022, the Company had available capacity of $1,252 under its revolving credit facilities. The Company could have borrowed this amount at December 31, 2022 and still have been in compliance with its leverage ratio covenants.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3.3 to 1.0 at December 31, 2022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The required net total leverage ratio under the agreement reduces to 4.5 to 1.0 at December 31, 2023.</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current sources of liquidity also include a securitization facility with a program limit up to a maximum of $700 that expires in July 2023, a securitization facility with a program limit of $200 that expires in December 2023, and a securitization facility with a program limit of $160 that expires in November 2025. The Company accounts for transfers under these facilities as sales as further discussed in </w:t>
      </w:r>
      <w:r>
        <w:rPr>
          <w:rFonts w:ascii="Times New Roman" w:cs="Times New Roman" w:eastAsia="Times New Roman" w:hAnsi="Times New Roman"/>
          <w:sz w:val="18"/>
          <w:szCs w:val="18"/>
          <w:u w:val="single" w:color="auto"/>
          <w:color w:val="0000FF"/>
        </w:rPr>
        <w:t>Note D</w:t>
      </w:r>
      <w:r>
        <w:rPr>
          <w:rFonts w:ascii="Times New Roman" w:cs="Times New Roman" w:eastAsia="Times New Roman" w:hAnsi="Times New Roman"/>
          <w:sz w:val="18"/>
          <w:szCs w:val="18"/>
          <w:color w:val="auto"/>
        </w:rPr>
        <w:t xml:space="preserve"> to the consolidated statements.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Cash payments required for purchase obligations and projected pension contributions in effect at December 31, 2022, are summarized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Payments Due by Period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69"/>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2028 &amp;</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3"/>
        </w:trPr>
        <w:tc>
          <w:tcPr>
            <w:tcW w:w="3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after</w:t>
            </w: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pension contributions (2)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10,995</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amounts due in foreign currencies are translated at exchange rates as of December 31, 2022.</w:t>
      </w:r>
    </w:p>
    <w:p>
      <w:pPr>
        <w:spacing w:after="0" w:line="17" w:lineRule="exact"/>
        <w:rPr>
          <w:sz w:val="20"/>
          <w:szCs w:val="20"/>
          <w:color w:val="auto"/>
        </w:rPr>
      </w:pPr>
    </w:p>
    <w:p>
      <w:pPr>
        <w:ind w:right="2540" w:firstLine="8"/>
        <w:spacing w:after="0" w:line="259" w:lineRule="auto"/>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purchase commitments specify significant terms, including fixed or minimum quantities to be purchased; fixed, minimum or variable pricing provisions; and the approximate timing of transactions.</w:t>
      </w:r>
    </w:p>
    <w:p>
      <w:pPr>
        <w:ind w:left="180" w:right="2220" w:hanging="172"/>
        <w:spacing w:after="0" w:line="283" w:lineRule="auto"/>
        <w:tabs>
          <w:tab w:leader="none" w:pos="22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projections require the use of numerous estimates and assumptions such as discount rates, rates of return on plan assets, compensation increases, health care cost increases, mortality and employee turnover and therefore projected contributions been provided for only five years.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long term debt obligations, including fixed and variable rate debt, are further discussed in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The Company currently expects interest payments on long-term debt and securitization and factoring in 2023 to be approximately $400. This estimate is based on projected interest rates as of December 31, 2022, long-term debt balances, average borrowings under the revolving credit facility and securitization and factoring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certain guarantees and indemnification agreements that could require the payment of cash upon the occurrence of certain events.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guarantees and agreements are further discussed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and guarantees are senior unsecured obligations of the issuers and the guarantors, and are: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ind w:left="660" w:hanging="328"/>
        <w:spacing w:after="0" w:line="25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all existing and future secured indebtedness of the issuers and the guarantors to the extent of the value of the assets securing such indebtedness, including any borrowings under the Company’s senior secured credit facilities, to the extent of the value of the assets securing such indebtedness;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indebtedness of the Company’s non-guarantor subsidiaries, which include all of the Company’s foreign subsidiaries and any U.S. subsidiaries that are neither obligors nor guarantors of the Company’s senior secured credit facilities;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equal in right of payment to any existing or future senior indebtedness of the issuers and the guarantors;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ranked senior in right of payment to all existing and future subordinated indebtedness of the issuers and the guarantors.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of a guarantor is limited to an amount not to exceed the maximum amount that can be guaranteed that will not (after giving effect to all other contingent and fixed liabilities of such guarantor and after giving effect to any collections from, rights to receive contribution from or payments made by or on behalf of all other guarantors in respect of the obligations of such other guarantors under their respective guarantees of the guaranteed obligations) render the guarantee, as it relates to such guarantor, voidable under applicable law relating to fraudulent conveyances or fraudulent transfers.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guarantee of a guarantor other than the Parent will be unconditionally released and discharged upon any of the following:</w:t>
      </w:r>
    </w:p>
    <w:p>
      <w:pPr>
        <w:spacing w:after="0" w:line="252" w:lineRule="exact"/>
        <w:rPr>
          <w:sz w:val="20"/>
          <w:szCs w:val="20"/>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the Parent or any subsidiary of the Parent to any person or entity that is not the Parent or a subsidiary of the Parent of (1) all of the equity interests of, or all or substantially all of the properties and assets of, such guarantor; or (2) equity interests of such guarantor or any issuance by such guarantor of its equity interests, such that such guarantor ceases to be a subsidiary of the Parent; provided that such guarantor is also released from all of its obligations in respect of indebtedness under the Company’s senior secured credit facilities;</w:t>
      </w:r>
    </w:p>
    <w:p>
      <w:pPr>
        <w:spacing w:after="0" w:line="3"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the Company’s senior secured credit facilities, except to the extent such guarantor is otherwise required to provide a guarantee; or</w:t>
      </w:r>
    </w:p>
    <w:p>
      <w:pPr>
        <w:ind w:left="6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provide a guarantee under the applicable indenture.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77"/>
        </w:trPr>
        <w:tc>
          <w:tcPr>
            <w:tcW w:w="2020" w:type="dxa"/>
            <w:vAlign w:val="bottom"/>
            <w:tcBorders>
              <w:top w:val="single" w:sz="8" w:color="auto"/>
              <w:bottom w:val="single" w:sz="8" w:color="CCEEFF"/>
            </w:tcBorders>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8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from continuing operations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8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$30 of expense related to intercompany interest with non-guarantor subsidiaries.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2"/>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r>
    </w:tbl>
    <w:p>
      <w:pPr>
        <w:spacing w:after="0"/>
        <w:rPr>
          <w:sz w:val="20"/>
          <w:szCs w:val="20"/>
          <w:color w:val="auto"/>
        </w:rPr>
      </w:pPr>
      <w:r>
        <w:rPr>
          <w:rFonts w:ascii="Times New Roman" w:cs="Times New Roman" w:eastAsia="Times New Roman" w:hAnsi="Times New Roman"/>
          <w:sz w:val="14"/>
          <w:szCs w:val="14"/>
          <w:color w:val="auto"/>
        </w:rPr>
        <w:t>(1) Includes payables of $5,378 due to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140" w:type="dxa"/>
            <w:vAlign w:val="bottom"/>
            <w:gridSpan w:val="2"/>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080" w:type="dxa"/>
            <w:vAlign w:val="bottom"/>
          </w:tcPr>
          <w:p>
            <w:pPr>
              <w:spacing w:after="0"/>
              <w:rPr>
                <w:sz w:val="20"/>
                <w:szCs w:val="20"/>
                <w:color w:val="auto"/>
              </w:rPr>
            </w:pPr>
          </w:p>
        </w:tc>
      </w:tr>
      <w:tr>
        <w:trPr>
          <w:trHeight w:val="68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7"/>
        </w:trPr>
        <w:tc>
          <w:tcPr>
            <w:tcW w:w="2340" w:type="dxa"/>
            <w:vAlign w:val="bottom"/>
            <w:tcBorders>
              <w:top w:val="single" w:sz="8" w:color="auto"/>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48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40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48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r>
      <w:tr>
        <w:trPr>
          <w:trHeight w:val="230"/>
        </w:trPr>
        <w:tc>
          <w:tcPr>
            <w:tcW w:w="4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4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4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4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from continuing operations</w:t>
            </w:r>
            <w:r>
              <w:rPr>
                <w:rFonts w:ascii="Times New Roman" w:cs="Times New Roman" w:eastAsia="Times New Roman" w:hAnsi="Times New Roman"/>
                <w:sz w:val="23"/>
                <w:szCs w:val="23"/>
                <w:color w:val="auto"/>
                <w:vertAlign w:val="superscript"/>
              </w:rPr>
              <w:t>3</w:t>
            </w:r>
          </w:p>
        </w:tc>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40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4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72"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$518 of sales to non-guarantor subsidiaries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 of gross profit related to sales to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$31 of income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23"/>
        </w:trPr>
        <w:tc>
          <w:tcPr>
            <w:tcW w:w="8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8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29"/>
        </w:trPr>
        <w:tc>
          <w:tcPr>
            <w:tcW w:w="8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306"/>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r>
    </w:tbl>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$33 due from non-guarantor subsidiaries</w:t>
      </w:r>
    </w:p>
    <w:p>
      <w:pPr>
        <w:spacing w:after="0" w:line="2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$185 due from non-guarantor subsidiaries</w:t>
      </w:r>
    </w:p>
    <w:p>
      <w:pPr>
        <w:spacing w:after="0" w:line="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$37 due to non-guarantor subsidiaries</w:t>
      </w:r>
    </w:p>
    <w:p>
      <w:pPr>
        <w:spacing w:after="0" w:line="1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$1,314 due to non-guarantor subsidiaries</w:t>
      </w:r>
    </w:p>
    <w:p>
      <w:pPr>
        <w:spacing w:after="0" w:line="2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senior notes are structurally subordinated to all indebtedness of the Company’s non-guarantor subsidiaries. The non-guarantors are separate and distinct legal entities and have no obligation, contingent or otherwise, to pay any amounts due pursuant to the senior notes, or to make any funds available therefore, whether by dividends, loans, distributions or other payments. Any right that the Company or the guarantors have to receive any assets of any of the non-guarantors upon the liquidation or reorganization of any non-guarantor, and the consequent rights of holders of senior notes to realize proceeds from the sale of any of a non-guarantor’s assets, would be effectively subordinated to the claims of such non-guarantor’s creditors, including trade creditors and holders of preferred equity interests, if any, of such non-guarantor. Accordingly, in the event of a bankruptcy, liquidation or reorganization of any of the non-guarantors, the non-guarantors will pay the holders of their debts, holders of preferred equity interests, if any, and their trade creditors before they will be able to distribute any of their assets to the Company or any of the guarantors.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senior note guarantees by the guarantors could be voided, or claims in respect of such obligations could be subordinated to all of their other debts and other liabilities, if, among other things, at the time the guarantors issued the related senior note guarantees, the Company or the applicable guarantor intended to hinder, delay or defraud any present or future creditor, or received less than reasonably equivalent value or fair consideration for the incurrence of such indebtedness and either:</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Company’s or such guarantor’s remaining assets constituted unreasonably small capital;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guarantee provided by a guarantor includes a provision intended to limit the guarantor’s liability to the maximum amount that it could incur without causing the incurrence of obligations under its guarantee to be a fraudulent transfer or conveyance. This provision may not be effective to protect those guarantees from being avoided under fraudulent transfer or conveyance law, or it may reduce that guarantor’s obligation to an amount that effectively makes its guarantee worthless, and we cannot predict whether a court will ultimately find it to be effective.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RISK</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customers of changes in commodity prices and foreign exchange rates, to effectively achieve its goal of risk reduction. The Company’s objective in managing its exposure to market risk is to limit the impact on earnings and cash flow.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in U.S. dollars as of December 31, 2022 about the Company’s forward currency exchange contracts. The contracts primarily hedge anticipated transactions, unrecognized firm commitments and intercompany debt. The contracts with no amounts in the fair value column have a fair value of less than $1.</w:t>
      </w:r>
    </w:p>
    <w:tbl>
      <w:tblPr>
        <w:tblLayout w:type="fixed"/>
        <w:tblInd w:w="0" w:type="dxa"/>
        <w:tblCellMar>
          <w:top w:w="0" w:type="dxa"/>
          <w:left w:w="0" w:type="dxa"/>
          <w:bottom w:w="0" w:type="dxa"/>
          <w:right w:w="0" w:type="dxa"/>
        </w:tblCellMar>
      </w:tblPr>
      <w:tr>
        <w:trPr>
          <w:trHeight w:val="181"/>
        </w:trPr>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Contract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81" w:lineRule="exact"/>
              <w:rPr>
                <w:sz w:val="20"/>
                <w:szCs w:val="20"/>
                <w:color w:val="auto"/>
              </w:rPr>
            </w:pPr>
            <w:r>
              <w:rPr>
                <w:rFonts w:ascii="Times New Roman" w:cs="Times New Roman" w:eastAsia="Times New Roman" w:hAnsi="Times New Roman"/>
                <w:sz w:val="18"/>
                <w:szCs w:val="18"/>
                <w:color w:val="auto"/>
                <w:w w:val="99"/>
              </w:rPr>
              <w:t>Contract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Buy/Sell</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gain/(loss)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exchange 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Euro/Sterling</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Euro/U.S. dollars</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dollars/U.S. dollars</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dollars/Brazilian real</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dollars/Sterling</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dollars/Euro</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Euro/Danish krone</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Euro/Swedish krona</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dollars/Thai baht</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dollars/Malaysian ringgit</w:t>
            </w:r>
          </w:p>
        </w:tc>
        <w:tc>
          <w:tcPr>
            <w:tcW w:w="1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Euro/Polish zloty</w:t>
            </w: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Sterling/U.S. dollars</w:t>
            </w: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additional contracts with an aggregate notional value of $39 to purchase or sell other currencies, primarily Asian currencies, including the Malaysian ringgit, Indonesian rupiah, Thai baht and Singapore dollar; European currencies, including the Polish zloty; the Australian dollar; and the New Zealand dollar. The aggregate fair value of these contracts was a loss of $1.</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cross-currency swaps with an aggregate notional values of $875. The swaps are designated as hedges of the Company's net investment in a euro-based subsidiary and mature in 2026. The fair value of these contracts at December 31, 2022 was a net gain of $90.</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future payments of long-term debt obligations at December 31, 2022 include $4,220 of U.S. dollar-denominated debt, $2,578 of euro-denominated debt and $136 of debt denominated in other currencies.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 As of December 31, 2022, the Company had $2.8 billion principal floating interest rate debt and $1.3 billion of securitization and factoring. A change of 0.25% in these floating interest rates would change annual interest expense by approximately $10 million before tax. The actual effect of a 0.25% increase in these floating interest rates could be more than $10 million as the Company’s average borrowings on its variable rate debt and securitization and factoring may be higher during the year than the amount at December 31, 2022.</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uses various raw materials, such as aluminum and steel in its manufacturing operations, which expose it to risk from adverse fluctuations in commodity prices. In 2022, consumption of aluminum and steel represented 44% and 9% of the Company’s consolidated cost of products sold, excluding depreciation and amortization. The Company primarily manages its risk to adverse commodity price fluctuations and surcharges through contracts that pass through raw material costs to customers. The company also uses commodity forward contracts to manage its exposure to these raw material costs.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2022, the Company had forward commodity contracts to hedge aluminum price fluctuations with a notional value of $230 and a net loss of $16. The maturities of the commodity contracts closely correlate to the anticipated purchases of those commodities.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manufacturing facilities are dependent, to varying degrees, upon the availability of water and processed energy, such as natural gas and electricity.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xml:space="preserve"> to the consolidated financial statements for further information on the Company’s derivative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MATTERS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 for additional information on environmental matters including the Company's accrual for environmental remediation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Certain accounting policies, however, are considered to be critical in that (i) they are most important to the depiction of the Company’s financial condition and results of operations and (ii) their application requires management’s most subjective judgment in making estimates about the effect of matters that are inherently uncertain.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Liabilities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potential liability for asbestos cases is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 of state asbestos legislation (including the validity and applicability of the Pennsylvania legislation to non-Pennsylvania jurisdictions, where the substantial majority of the Company’s asbestos cases are filed). 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to the consolidated financial statements for additional information regarding the provision for asbestos-related costs.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 Company estimates its liability without limitation to a specified time period and provides for the estimated amounts expected to be paid related to outstanding claims, projected future claims and legal costs.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year, it is difficult to predict at any time during the year whether the number of claims or average settlement cost over the five year period ending December 31 of such year will increase compared to the prior five year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a higher percentage of Crown Cork’s settlements have related to claims alleging serious disease (primarily mesothelioma) which are settled at higher dollar amounts. Accordingly, a higher percentage of claims projected into the future relate to serious diseases and are therefore valued at higher dollar amounts. As of December 31, 2022, more than 90% of the projected future claims in the Company’s accrual calculation relate to claims alleging serious diseases such as mesothelioma.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five year average settlement cost per claim was $13,100 in 2020, $13,000 in 2021 and $14,300 in 2022. If Crown Cork continues to settle a high percentage of claims alleging serious disease at higher dollar amounts,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2022 by $22. A 10% increase in these two factors at the same time would increase the estimated liability at December 31, 2022 by $46. A 10% decrease in these two factors at the same time would decrease the estimated liability at December 31, 2022 by $42.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and changes in input costs that may affect revenue growth, gross margin percentages and cash flow trends over multiple periods.</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both market and income approaches.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utilizes significant assumptions relating to EBITDA and revenue multiples used in recent similar transactions, if any, and EBITDA and revenue multiples of similar type and size public companies. The appropriate multiple is applied to the respective financial results of the reporting unit to obtain an estimated fair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industries, which information is available through various sources, adjusted for specific risk premiums for each reporting unit.</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completed its annual review for 2022 and determined that no adjustments to the carrying value of goodwill were necessary. Although no goodwill impairment was recorded, there can be no assurances that future goodwill impairments will not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 Impairment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performs an impairment review of its long-lived assets, including 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performed a recoverability analysis for the long-lived asset group, which indicated that the carrying value of the asset group was recoverable as of December 31, 2022. Property, plant and equipment as of December 31 2022 was $56, including $25 of land and buildings and $31 of machinery and equipment.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and Postretirement Benefits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$25 in 2022 and currently projects its 2023 pension expense to be $56, using foreign currency exchange rates in effect at December 31, 2022.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projected future outlook of each asset class, inflation assumptions and the expected net value from active management of the assets based on actual results.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plan’s assumed rate of return was 6.60 % in 2022 and is 7.15 % for 2023. A 0.50% change in the expected rates of return would change 2023 pension expense by approximately $6.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Discount rates were selected using a method that matches projected payouts from the plans to an actuarial determined yield curve based on market observable AA bond yields in the respective plan jurisdictions and currencies. In certain jurisdictions, government securities were used along with corporate bonds to develop country-specific yield curves to the extent that the underlying markets were not deemed sufficiently developed. A 0.50% change in the discount rates from those used at December 31, 2022 would change 2023 pension expense by approximately $3 and postretirement expense by less than $1. A 0.50% change in the discount rates from those used at December 31, 2022 would have changed the pension benefit obligation by approximately $64 and the postretirement benefit obligation by approximately $4 as of December 31, 2022. 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to the consolidated financial statements for additional information on pension and postretirement benefit obligations and assumptions.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a pre-tax unrecognized net loss in accumulated other comprehensive income of $712 related to its pension plans and a pre-tax unrecognized net gain in accumulated other comprehensive income of $2 related to its other postretirement benefit plans. Unrecognized gains and losses arise each year primarily due to changes in discount rates, differences in actual plan asset returns compared to expected returns, and changes in actuarial assumptions such as mortality.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2022 included charges of $49 for the amortization of accumulated net losses, and the Company estimates charges of $46 in 2023. Amortizable losses are being recognized over either the average expected life of inactive employees or the remaining service life of active participants depending on the status of the individual plans. The weighted average amortization periods range between 6 - 16 years. An increase of 10% in the number of years used to amortize unrecognized losses in each plan would decrease estimated charges for 2023 by $4. A decrease of 10% in the number of years would increase the estimated 2023 charge by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GUIDANCE</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amendments are effective for fiscal years beginning after December 15, 2022, including interim periods within those fiscal years, except for the disclosure of rollforward information, which is effective for fiscal years beginning after December 15, 2023. Early adoption is permitted. The amendments should be applied retrospectively to each period in which a balance sheet is presented, except for disclosure of rollforward information, which should be applied prospectively. The Company is currently evaluating the impact of adopting this guidance on its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A</w:t>
      </w:r>
      <w:r>
        <w:rPr>
          <w:rFonts w:ascii="Times New Roman" w:cs="Times New Roman" w:eastAsia="Times New Roman" w:hAnsi="Times New Roman"/>
          <w:sz w:val="18"/>
          <w:szCs w:val="18"/>
          <w:color w:val="auto"/>
        </w:rPr>
        <w:t xml:space="preserve"> to the consolidated financial statements for information on recently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Statements in this Annual Report, including those in “Management’s Discussion and Analysis of Financial Condition and Results of Operations,” in the discussions of the provision for asbestos under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and other contingencies under </w:t>
      </w:r>
      <w:r>
        <w:rPr>
          <w:rFonts w:ascii="Times New Roman" w:cs="Times New Roman" w:eastAsia="Times New Roman" w:hAnsi="Times New Roman"/>
          <w:sz w:val="18"/>
          <w:szCs w:val="18"/>
          <w:u w:val="single" w:color="auto"/>
          <w:color w:val="0000FF"/>
        </w:rPr>
        <w:t>Note P</w:t>
      </w:r>
      <w:r>
        <w:rPr>
          <w:rFonts w:ascii="Times New Roman" w:cs="Times New Roman" w:eastAsia="Times New Roman" w:hAnsi="Times New Roman"/>
          <w:sz w:val="18"/>
          <w:szCs w:val="18"/>
          <w:color w:val="auto"/>
        </w:rPr>
        <w:t xml:space="preserve"> 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 (iii) the impact of an economic downturn or growth in particular regions, (iv) anticipated uses of cash, (v) cost reduction efforts and expected savings, (vi) the Company’s policies with respect to executive compensation, (vii) the Company's progress on sustainability and environmental matters and (viii) the expected outcome of contingencies, including with respect to asbestos-related litigation and pension and postretirement liabilities.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the Company to differ include, but are not necessarily limited to, the ability of the Company to expand successfully in international and emerging markets;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actual or potential dispositions, acquisitions or other strategic realignments (such as the Company's recently completed divestiture of its European Tinplate business),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jc w:val="both"/>
        <w:ind w:left="60"/>
        <w:spacing w:after="0" w:line="252" w:lineRule="auto"/>
        <w:rPr>
          <w:sz w:val="20"/>
          <w:szCs w:val="20"/>
          <w:color w:val="auto"/>
        </w:rPr>
      </w:pPr>
      <w:r>
        <w:rPr>
          <w:rFonts w:ascii="Times New Roman" w:cs="Times New Roman" w:eastAsia="Times New Roman" w:hAnsi="Times New Roman"/>
          <w:sz w:val="18"/>
          <w:szCs w:val="18"/>
          <w:color w:val="auto"/>
        </w:rPr>
        <w:t>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the impact of the COVID-19 pandemic, as well as the quarantines and other governmental and non-governmental restrictions which have been imposed throughout the world in an effort to contain, mitigate, or vaccinate against it;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impact of the Company's comprehensive Board-led review of its portfolio and capital allocation/return;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tariffs and potential limits on steel supply in the U.S. from certain foreign countries; and changes in the Company’s strategic areas of focus, which may impact the Company’s operations, financial profile or levels of indebtedness.</w:t>
      </w:r>
    </w:p>
    <w:p>
      <w:pPr>
        <w:spacing w:after="0" w:line="224"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Annual Report and prior Company filings with the SEC, including within Part I, Item 1A,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in this Annual Report. In addition, other factors have been or may be discussed from time to time in the Company’s SEC filings.</w:t>
      </w:r>
    </w:p>
    <w:p>
      <w:pPr>
        <w:spacing w:after="0" w:line="189" w:lineRule="exact"/>
        <w:rPr>
          <w:sz w:val="20"/>
          <w:szCs w:val="20"/>
          <w:color w:val="auto"/>
        </w:rPr>
      </w:pPr>
    </w:p>
    <w:p>
      <w:pPr>
        <w:jc w:val="both"/>
        <w:ind w:left="6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4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7A.</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185" w:lineRule="exact"/>
        <w:rPr>
          <w:sz w:val="20"/>
          <w:szCs w:val="20"/>
          <w:color w:val="auto"/>
        </w:rPr>
      </w:pPr>
    </w:p>
    <w:p>
      <w:pPr>
        <w:jc w:val="both"/>
        <w:ind w:left="60"/>
        <w:spacing w:after="0" w:line="282" w:lineRule="auto"/>
        <w:rPr>
          <w:sz w:val="20"/>
          <w:szCs w:val="20"/>
          <w:color w:val="auto"/>
        </w:rPr>
      </w:pPr>
      <w:r>
        <w:rPr>
          <w:rFonts w:ascii="Times New Roman" w:cs="Times New Roman" w:eastAsia="Times New Roman" w:hAnsi="Times New Roman"/>
          <w:sz w:val="18"/>
          <w:szCs w:val="18"/>
          <w:color w:val="auto"/>
        </w:rPr>
        <w:t>The information set forth within “Management’s Discussion and Analysis of Financial Condition and Results of Operations” under the captions “Market Risk” and "Forward Looking Statements" in this Annual Report is incorporated herein by reference.</w:t>
      </w:r>
    </w:p>
    <w:p>
      <w:pPr>
        <w:spacing w:after="0" w:line="283"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In July 2017, the Financial Conduct Authority (the authority that regulates LIBOR) announced it intended to stop compelling banks to submit rates for the calculation of LIBOR after 2021. The U.S. Federal Reserve, in conjunction with the Alternative Reference Rate Committee has announced the replacement of U.S. dollar LIBOR rates with a new index calculated by short-term repurchase agreements backed by U.S. Treasury securities called the Secured Overnight Financing Rate (SOFR). The first publication of SOFR was released in April 2018. In March 2021, the Financial Conduct Authority, and administrator, ICE Benchmark Administration, Limited, announced that the publication of the one-week and two-month USD LIBOR maturities and non-USD LIBOR maturities will cease immediately after December 31, 2021, with the remaining USD LIBOR maturities ceasing immediately after June 30, 2023. At December 31, 2022, the Company does not have contracts that are indexed to LIBOR. The LIBOR to SOFR transition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2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0" w:type="dxa"/>
            <w:vAlign w:val="bottom"/>
          </w:tcPr>
          <w:p>
            <w:pPr>
              <w:spacing w:after="0"/>
              <w:rPr>
                <w:sz w:val="24"/>
                <w:szCs w:val="24"/>
                <w:color w:val="auto"/>
              </w:rPr>
            </w:pPr>
          </w:p>
        </w:tc>
        <w:tc>
          <w:tcPr>
            <w:tcW w:w="1020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1200" w:type="dxa"/>
            <w:vAlign w:val="bottom"/>
            <w:tcBorders>
              <w:top w:val="single" w:sz="8" w:color="auto"/>
            </w:tcBorders>
            <w:gridSpan w:val="10"/>
          </w:tcPr>
          <w:p>
            <w:pPr>
              <w:spacing w:after="0"/>
              <w:rPr>
                <w:sz w:val="24"/>
                <w:szCs w:val="24"/>
                <w:color w:val="auto"/>
              </w:rPr>
            </w:pPr>
          </w:p>
        </w:tc>
        <w:tc>
          <w:tcPr>
            <w:tcW w:w="7160" w:type="dxa"/>
            <w:vAlign w:val="bottom"/>
            <w:gridSpan w:val="25"/>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Management’s Report on Internal Control Over Financial Reporting</w:t>
            </w:r>
          </w:p>
        </w:tc>
        <w:tc>
          <w:tcPr>
            <w:tcW w:w="4640" w:type="dxa"/>
            <w:vAlign w:val="bottom"/>
            <w:gridSpan w:val="8"/>
          </w:tcPr>
          <w:p>
            <w:pPr>
              <w:spacing w:after="0"/>
              <w:rPr>
                <w:sz w:val="24"/>
                <w:szCs w:val="24"/>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(PricewaterhouseCoopers LLP, Philadelphia, Pa, Auditor Firm ID:</w:t>
            </w:r>
          </w:p>
        </w:tc>
        <w:tc>
          <w:tcPr>
            <w:tcW w:w="9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auto"/>
              </w:rPr>
              <w:t>238)</w:t>
            </w:r>
          </w:p>
        </w:tc>
        <w:tc>
          <w:tcPr>
            <w:tcW w:w="2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40" w:type="dxa"/>
            <w:vAlign w:val="bottom"/>
            <w:gridSpan w:val="38"/>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9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2022, 2021 and 2020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76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780" w:type="dxa"/>
            <w:vAlign w:val="bottom"/>
            <w:gridSpan w:val="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2022, 2021 and 2020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0" w:type="dxa"/>
            <w:vAlign w:val="bottom"/>
            <w:tcBorders>
              <w:top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40" w:type="dxa"/>
            <w:vAlign w:val="bottom"/>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Note A. Summary of Significant Accounting Policies</w:t>
            </w:r>
          </w:p>
        </w:tc>
        <w:tc>
          <w:tcPr>
            <w:tcW w:w="5260" w:type="dxa"/>
            <w:vAlign w:val="bottom"/>
            <w:gridSpan w:val="10"/>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B. Divestitures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C. Cash, Cash Equivalents, and Restricted Cash</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 D. Receivables</w:t>
            </w:r>
          </w:p>
        </w:tc>
        <w:tc>
          <w:tcPr>
            <w:tcW w:w="2340" w:type="dxa"/>
            <w:vAlign w:val="bottom"/>
            <w:tcBorders>
              <w:top w:val="single" w:sz="8" w:color="0000FF"/>
            </w:tcBorders>
            <w:gridSpan w:val="18"/>
          </w:tcPr>
          <w:p>
            <w:pPr>
              <w:spacing w:after="0"/>
              <w:rPr>
                <w:sz w:val="18"/>
                <w:szCs w:val="18"/>
                <w:color w:val="auto"/>
              </w:rPr>
            </w:pPr>
          </w:p>
        </w:tc>
        <w:tc>
          <w:tcPr>
            <w:tcW w:w="5280" w:type="dxa"/>
            <w:vAlign w:val="bottom"/>
            <w:gridSpan w:val="11"/>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Note E. Inventories</w:t>
            </w:r>
          </w:p>
        </w:tc>
        <w:tc>
          <w:tcPr>
            <w:tcW w:w="7640" w:type="dxa"/>
            <w:vAlign w:val="bottom"/>
            <w:gridSpan w:val="30"/>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 F. Goodwill</w:t>
            </w:r>
          </w:p>
        </w:tc>
        <w:tc>
          <w:tcPr>
            <w:tcW w:w="7860" w:type="dxa"/>
            <w:vAlign w:val="bottom"/>
            <w:gridSpan w:val="32"/>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G. Intangible Assets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H. Property, Plant and Equipment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Note I. Leases</w:t>
            </w:r>
          </w:p>
        </w:tc>
        <w:tc>
          <w:tcPr>
            <w:tcW w:w="6300" w:type="dxa"/>
            <w:vAlign w:val="bottom"/>
            <w:gridSpan w:val="16"/>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J. Other Non-Current Assets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K. Accrued Liabilities</w:t>
            </w:r>
          </w:p>
        </w:tc>
        <w:tc>
          <w:tcPr>
            <w:tcW w:w="420" w:type="dxa"/>
            <w:vAlign w:val="bottom"/>
            <w:tcBorders>
              <w:top w:val="single" w:sz="8" w:color="0000FF"/>
            </w:tcBorders>
            <w:gridSpan w:val="3"/>
          </w:tcPr>
          <w:p>
            <w:pPr>
              <w:spacing w:after="0"/>
              <w:rPr>
                <w:sz w:val="18"/>
                <w:szCs w:val="18"/>
                <w:color w:val="auto"/>
              </w:rPr>
            </w:pPr>
          </w:p>
        </w:tc>
        <w:tc>
          <w:tcPr>
            <w:tcW w:w="6680" w:type="dxa"/>
            <w:vAlign w:val="bottom"/>
            <w:gridSpan w:val="20"/>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L. Restructuring and Other</w:t>
            </w:r>
          </w:p>
        </w:tc>
        <w:tc>
          <w:tcPr>
            <w:tcW w:w="6780" w:type="dxa"/>
            <w:vAlign w:val="bottom"/>
            <w:gridSpan w:val="21"/>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M. Debt</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N. Derivative and Other Financial Instruments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Note O. Asbestos-Related Liabilities</w:t>
            </w:r>
          </w:p>
        </w:tc>
        <w:tc>
          <w:tcPr>
            <w:tcW w:w="1020" w:type="dxa"/>
            <w:vAlign w:val="bottom"/>
            <w:tcBorders>
              <w:top w:val="single" w:sz="8" w:color="0000FF"/>
            </w:tcBorders>
            <w:gridSpan w:val="5"/>
          </w:tcPr>
          <w:p>
            <w:pPr>
              <w:spacing w:after="0"/>
              <w:rPr>
                <w:sz w:val="18"/>
                <w:szCs w:val="18"/>
                <w:color w:val="auto"/>
              </w:rPr>
            </w:pPr>
          </w:p>
        </w:tc>
        <w:tc>
          <w:tcPr>
            <w:tcW w:w="5380" w:type="dxa"/>
            <w:vAlign w:val="bottom"/>
            <w:gridSpan w:val="13"/>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Note P. Commitments and Contingent Liabilities</w:t>
            </w:r>
          </w:p>
        </w:tc>
        <w:tc>
          <w:tcPr>
            <w:tcW w:w="5600" w:type="dxa"/>
            <w:vAlign w:val="bottom"/>
            <w:gridSpan w:val="15"/>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Q. Other Non-Current Liabilities</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Note R. Pension and Other Postretirement Benefits</w:t>
            </w:r>
          </w:p>
        </w:tc>
        <w:tc>
          <w:tcPr>
            <w:tcW w:w="5440" w:type="dxa"/>
            <w:vAlign w:val="bottom"/>
            <w:gridSpan w:val="14"/>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 S. Income Taxes</w:t>
            </w:r>
          </w:p>
        </w:tc>
        <w:tc>
          <w:tcPr>
            <w:tcW w:w="7520" w:type="dxa"/>
            <w:vAlign w:val="bottom"/>
            <w:gridSpan w:val="27"/>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T. Capital Stock</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Note U. Accumulated Other Comprehensive Loss Attributable to Crown Holdings</w:t>
            </w:r>
          </w:p>
        </w:tc>
        <w:tc>
          <w:tcPr>
            <w:tcW w:w="3180" w:type="dxa"/>
            <w:vAlign w:val="bottom"/>
            <w:gridSpan w:val="6"/>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V. Revenue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0" w:type="dxa"/>
            <w:vAlign w:val="bottom"/>
            <w:gridSpan w:val="17"/>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Note W. Stock-Based Compensation</w:t>
            </w:r>
          </w:p>
        </w:tc>
        <w:tc>
          <w:tcPr>
            <w:tcW w:w="6480" w:type="dxa"/>
            <w:vAlign w:val="bottom"/>
            <w:gridSpan w:val="19"/>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Note X. Earnings Per Share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700" w:type="dxa"/>
            <w:vAlign w:val="bottom"/>
            <w:gridSpan w:val="2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Note Y. Segment Information</w:t>
            </w:r>
          </w:p>
        </w:tc>
        <w:tc>
          <w:tcPr>
            <w:tcW w:w="6980" w:type="dxa"/>
            <w:vAlign w:val="bottom"/>
            <w:gridSpan w:val="22"/>
          </w:tcPr>
          <w:p>
            <w:pPr>
              <w:spacing w:after="0"/>
              <w:rPr>
                <w:sz w:val="18"/>
                <w:szCs w:val="18"/>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9"/>
            <w:shd w:val="clear" w:color="auto" w:fill="000000"/>
          </w:tcPr>
          <w:p>
            <w:pPr>
              <w:spacing w:after="0" w:line="20" w:lineRule="exact"/>
              <w:rPr>
                <w:sz w:val="1"/>
                <w:szCs w:val="1"/>
                <w:color w:val="auto"/>
              </w:rPr>
            </w:pPr>
          </w:p>
        </w:tc>
        <w:tc>
          <w:tcPr>
            <w:tcW w:w="6460" w:type="dxa"/>
            <w:vAlign w:val="bottom"/>
            <w:gridSpan w:val="29"/>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6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 and Reserves for the years ended December 31, 2022, 2021 and 2020</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127"/>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80" w:type="dxa"/>
            <w:vAlign w:val="bottom"/>
            <w:tcBorders>
              <w:top w:val="single" w:sz="8" w:color="0000FF"/>
            </w:tcBorders>
            <w:gridSpan w:val="31"/>
          </w:tcPr>
          <w:p>
            <w:pPr>
              <w:ind w:left="482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2022.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its assessment, management has concluded that, as of December 31, 2022,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based on those criteria.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2022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Crown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Crown Holdings, Inc. and its subsidiaries (the “Company”) as of December 31, 2022 and 2021, and the related consolidated statements of operations, of comprehensive income, of changes in shareholders’ equity and of cash flows for each of the three years in the period ended December 31, 2022, including the related notes and financial statement schedule listed in the accompanying index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 - Transit Reporting Unit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A and F to the consolidated financial statements, the Company’s consolidated goodwill balance was $3.0 billion as of December 31, 2022, of which $1.4 billion relates to the Transit reporting unit. Management performs a goodwill impairment review in the fourth quarter of each year or when facts and circumstances indicate goodwill may be impaired. Management determines the estimated fair value of the reporting unit based on an average of the estimated fair values using an income and a market approach. The income approach utilizes significant assumptions relating to revenue and Adjusted EBITDA (defined by the Company as net customer sales, less cost of products sold excluding depreciation and amortization, less selling and administrative expenses) margin growth rates, discount rates, and terminal year exit multiples. As disclosed by management, under the market approach, management utilizes significant assumptions relating to EBITDA and revenue multiples used in recent similar transactions, if any, and EBITDA and revenue multiples of similar type and size public companies.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goodwill impairment assessment of the Transit reporting unit is a critical audit matter are (i) the significant judgment by management when determining the fair value of the Transit reporting unit; (ii) a high degree of auditor judgment, subjectivity, and effort in performing procedures and evaluating management’s significant assumptions related to revenue and Adjusted EBITDA margin growth rates, discount rate, terminal year exit multiple and EBITDA and revenue multiples; and (iii) the audit effort involved the use of professionals with specialized skill and knowledge.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determination of the fair value of the Transit reporting unit. These procedures also included, among others (i) testing management’s process for determining the fair value of the Transit reporting unit; (ii) evaluating the appropriateness of the income and market approaches; (iii) testing the completeness and accuracy of the underlying data used in the income and market approaches; and (iv) evaluating the reasonableness of the aforementioned significant assumptions used by management. Evaluating management’s significant assumptions related to revenue and Adjusted EBITDA margin growth rates involved evaluating whether the significant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appropriateness of the Company’s income and market approaches and the evaluation of the reasonableness of the discount rate, terminal year exit multiple and EBITDA and revenue multiple significant assumptions.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1928.</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56"/>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 (loss) from continuing operations before income taxes and equity in net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of affiliates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 income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 attributable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noncontrolling interests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attributable to Crown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 attributable to Crown Holdings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income from discontinued operations attributable to Crown Holdings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attributable to Crown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 earnings per common share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8"/>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 earnings per common share from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6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ind w:left="44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6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66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other comprehensive income / (loss)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other postretirement benefits attributable to noncontrolling interests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0"/>
        </w:trPr>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660" w:top="117" w:right="1159" w:bottom="1440" w:gutter="0" w:footer="0" w:header="0"/>
        </w:sectPr>
      </w:pPr>
    </w:p>
    <w:bookmarkStart w:id="48" w:name="page49"/>
    <w:bookmarkEnd w:id="48"/>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7060" w:type="dxa"/>
            <w:vAlign w:val="bottom"/>
            <w:tcBorders>
              <w:top w:val="single" w:sz="8" w:color="auto"/>
              <w:bottom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7060" w:type="dxa"/>
            <w:vAlign w:val="bottom"/>
            <w:tcBorders>
              <w:top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70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8"/>
        </w:trPr>
        <w:tc>
          <w:tcPr>
            <w:tcW w:w="7060" w:type="dxa"/>
            <w:vAlign w:val="bottom"/>
            <w:tcBorders>
              <w:bottom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230"/>
        </w:trPr>
        <w:tc>
          <w:tcPr>
            <w:tcW w:w="7060" w:type="dxa"/>
            <w:vAlign w:val="bottom"/>
            <w:gridSpan w:val="7"/>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706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060" w:type="dxa"/>
            <w:vAlign w:val="bottom"/>
            <w:tcBorders>
              <w:top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23"/>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189"/>
        </w:trPr>
        <w:tc>
          <w:tcPr>
            <w:tcW w:w="70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color w:val="0000FF"/>
              </w:rPr>
              <w:t>(Note P)</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0"/>
        </w:trPr>
        <w:tc>
          <w:tcPr>
            <w:tcW w:w="1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89"/>
        </w:trPr>
        <w:tc>
          <w:tcPr>
            <w:tcW w:w="70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xml:space="preserve">Preferred stock, authorized: 30,000,000; none issued </w:t>
            </w:r>
            <w:r>
              <w:rPr>
                <w:rFonts w:ascii="Times New Roman" w:cs="Times New Roman" w:eastAsia="Times New Roman" w:hAnsi="Times New Roman"/>
                <w:sz w:val="18"/>
                <w:szCs w:val="18"/>
                <w:color w:val="0000FF"/>
              </w:rPr>
              <w:t>(Note T)</w:t>
            </w:r>
          </w:p>
        </w:tc>
        <w:tc>
          <w:tcPr>
            <w:tcW w:w="3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 par value: $5.00; 500,000,000 shares authorized;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75"/>
        </w:trPr>
        <w:tc>
          <w:tcPr>
            <w:tcW w:w="7060" w:type="dxa"/>
            <w:vAlign w:val="bottom"/>
            <w:gridSpan w:val="7"/>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185,744,072 shares issued; 119,945,302 and 126,131,799 shares outstanding</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7060" w:type="dxa"/>
            <w:vAlign w:val="bottom"/>
            <w:gridSpan w:val="7"/>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in 2022 and 2021 (</w:t>
            </w:r>
            <w:r>
              <w:rPr>
                <w:rFonts w:ascii="Times New Roman" w:cs="Times New Roman" w:eastAsia="Times New Roman" w:hAnsi="Times New Roman"/>
                <w:sz w:val="18"/>
                <w:szCs w:val="18"/>
                <w:color w:val="0000FF"/>
              </w:rPr>
              <w:t>Note T</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600</w:t>
            </w: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630</w:t>
            </w: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229"/>
        </w:trPr>
        <w:tc>
          <w:tcPr>
            <w:tcW w:w="7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30"/>
        </w:trPr>
        <w:tc>
          <w:tcPr>
            <w:tcW w:w="706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3"/>
        </w:trPr>
        <w:tc>
          <w:tcPr>
            <w:tcW w:w="70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23"/>
        </w:trPr>
        <w:tc>
          <w:tcPr>
            <w:tcW w:w="7060" w:type="dxa"/>
            <w:vAlign w:val="bottom"/>
            <w:tcBorders>
              <w:bottom w:val="single" w:sz="8" w:color="CCEEFF"/>
            </w:tcBorders>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48"/>
        </w:trPr>
        <w:tc>
          <w:tcPr>
            <w:tcW w:w="7060" w:type="dxa"/>
            <w:vAlign w:val="bottom"/>
            <w:tcBorders>
              <w:bottom w:val="single" w:sz="8" w:color="CCEEFF"/>
            </w:tcBorders>
            <w:gridSpan w:val="7"/>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7" w:right="739" w:bottom="1440" w:gutter="0" w:footer="0" w:header="0"/>
        </w:sectPr>
      </w:pPr>
    </w:p>
    <w:bookmarkStart w:id="49" w:name="page50"/>
    <w:bookmarkEnd w:id="49"/>
    <w:p>
      <w:pPr>
        <w:spacing w:after="0" w:line="196" w:lineRule="auto"/>
        <w:framePr w:w="1720" w:h="160" w:wrap="auto" w:vAnchor="page" w:hAnchor="page" w:x="5080" w:y="142"/>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Crown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(in millions)</w:t>
      </w:r>
    </w:p>
    <w:p>
      <w:pPr>
        <w:spacing w:after="0" w:line="38" w:lineRule="exact"/>
        <w:rPr>
          <w:rFonts w:ascii="Times New Roman" w:cs="Times New Roman" w:eastAsia="Times New Roman" w:hAnsi="Times New Roman"/>
          <w:sz w:val="17"/>
          <w:szCs w:val="17"/>
          <w:b w:val="1"/>
          <w:bCs w:val="1"/>
          <w:color w:val="auto"/>
        </w:rPr>
      </w:pPr>
    </w:p>
    <w:tbl>
      <w:tblPr>
        <w:tblLayout w:type="fixed"/>
        <w:tblInd w:w="20" w:type="dxa"/>
        <w:tblCellMar>
          <w:top w:w="0" w:type="dxa"/>
          <w:left w:w="0" w:type="dxa"/>
          <w:bottom w:w="0" w:type="dxa"/>
          <w:right w:w="0" w:type="dxa"/>
        </w:tblCellMar>
      </w:tblPr>
      <w:tr>
        <w:trPr>
          <w:trHeight w:val="243"/>
        </w:trPr>
        <w:tc>
          <w:tcPr>
            <w:tcW w:w="7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from disposal of discontinued operations</w:t>
            </w:r>
          </w:p>
        </w:tc>
        <w:tc>
          <w:tcPr>
            <w:tcW w:w="2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Asbestos payments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earnings, net of distributions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sale of businesses, net of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Acquisitions of businesses, net of cash</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investment hedges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Net cash (used for) / provided by investing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Premiums paid to retire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8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December 31</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rFonts w:ascii="Times New Roman" w:cs="Times New Roman" w:eastAsia="Times New Roman" w:hAnsi="Times New Roman"/>
          <w:sz w:val="17"/>
          <w:szCs w:val="17"/>
          <w:b w:val="1"/>
          <w:bCs w:val="1"/>
          <w:color w:val="auto"/>
        </w:rPr>
      </w:pPr>
    </w:p>
    <w:p>
      <w:pPr>
        <w:spacing w:after="0" w:line="354" w:lineRule="exact"/>
        <w:rPr>
          <w:rFonts w:ascii="Times New Roman" w:cs="Times New Roman" w:eastAsia="Times New Roman" w:hAnsi="Times New Roman"/>
          <w:sz w:val="17"/>
          <w:szCs w:val="17"/>
          <w:b w:val="1"/>
          <w:bCs w:val="1"/>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0" w:name="page51"/>
    <w:bookmarkEnd w:id="50"/>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Disposition of subsidiary with noncontrolling</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500" w:firstLine="8"/>
        <w:spacing w:after="0" w:line="287" w:lineRule="auto"/>
        <w:tabs>
          <w:tab w:leader="none" w:pos="165"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Relates to the sale of the European Tinplate business. See </w:t>
      </w:r>
      <w:r>
        <w:rPr>
          <w:rFonts w:ascii="Times New Roman" w:cs="Times New Roman" w:eastAsia="Times New Roman" w:hAnsi="Times New Roman"/>
          <w:sz w:val="16"/>
          <w:szCs w:val="16"/>
          <w:u w:val="single" w:color="auto"/>
          <w:color w:val="0000FF"/>
        </w:rPr>
        <w:t>Note B</w:t>
      </w:r>
      <w:r>
        <w:rPr>
          <w:rFonts w:ascii="Times New Roman" w:cs="Times New Roman" w:eastAsia="Times New Roman" w:hAnsi="Times New Roman"/>
          <w:sz w:val="16"/>
          <w:szCs w:val="16"/>
          <w:color w:val="auto"/>
        </w:rPr>
        <w:t xml:space="preserve"> for further details. The accompanying notes are an integral part of these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share, per share, employee and statistical data)</w:t>
      </w:r>
    </w:p>
    <w:p>
      <w:pPr>
        <w:spacing w:after="0" w:line="230"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Business and Principles of Consolidation</w:t>
      </w:r>
      <w:r>
        <w:rPr>
          <w:rFonts w:ascii="Times New Roman" w:cs="Times New Roman" w:eastAsia="Times New Roman" w:hAnsi="Times New Roman"/>
          <w:sz w:val="18"/>
          <w:szCs w:val="18"/>
          <w:color w:val="auto"/>
        </w:rPr>
        <w:t>. The consolidated financial statements include the accounts of Crown Holdings, Inc.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subsidiary companies (where the context requires, the “Company” shall include reference to the Company and its consolidated subsidiary companies).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subsidiaries, is a leading global supplier of rigid packaging products to consumer marketing companies, as well as transit and protective packaging products, equipment and services to a broad range of end markets. The Company's consumer packaging solutions primarily support the beverage and food industries, along with the personal care and household industries, through the development and sale of aluminum and steel cans. The Company's transit and protective packaging products include steel and plastic consumables and equipment, paper-based protective packaging, and plastic film consumables and equipment, which are sold into the metals, food and beverage, construction, agricultural, corrugated and general industries.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Investments in companies in which the Company does not have control, but has the ability to exercise significant influence over operating and financial policies, are accounted for by the equity method. The proportionate share of the net income resulting from these investments is reported in Equity in net earnings of affiliates in the Consolidated Statements of Operations. The carrying values of the Company's equity method investments are reported in Other non-current assets in the Consolidated Balance Sheets. Equity method investments are reported at cost and adjusted each period for the Company's share of the investee's income or loss and dividends paid, if any. The Company classifies distributions received from equity method investees using the cumulative earnings approach. The Company assesses investments for impairment whenever events or changes in circumstances indicate that the carrying value of an investment may not be recoverable.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Foreign Currency Translation</w:t>
      </w:r>
      <w:r>
        <w:rPr>
          <w:rFonts w:ascii="Times New Roman" w:cs="Times New Roman" w:eastAsia="Times New Roman" w:hAnsi="Times New Roman"/>
          <w:sz w:val="18"/>
          <w:szCs w:val="18"/>
          <w:color w:val="auto"/>
        </w:rPr>
        <w:t>. For non-U.S. subsidiaries which operate in a local currency environment, assets and liabilities are translated into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dollars 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 The majority of the Company’s revenues from metal packaging products are derived from multi-year requirement contracts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Transit Packaging are generally derived from individual purchase orders which may include multiple goods and services which are separate performance obligations because they are distinct and separately identifiable.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The timing of revenue recognition for the Company’s other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including beverage ends and three-piece products, which includes food cans and ends and aerosol cans and ends, may vary as these products may be printed or customized depending upon customer preferences which can vary by geographic market. Revenue that is recognized over time for the Company’s three-piece products and equipment business is generally recognized 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included in receivables in the Consolidated Balance Sheet with a corresponding decrease to inventory.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 For awards with a service or market condition, compensation expense is recognized over the vesting period on a straight-line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using the grant date fair value of the award and the estimated number of awards that are expected to vest. For awards with a performance condition, the Company assesses the probability of vesting at each reporting period and adjusts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 Cash equivalents represent highly liquid investments with maturities of three months or less from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purchase and 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Trade accounts receivable are recorded at the invoiced amount and do not bear interest.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of expected credit losses is based on past events, including historical experience, current conditions and forecasts that affect the collectability of accounts receivable.</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 Inventories are stated at the lower of cost or net realizable value, with cost principally determined under the first-in, first-out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(“FIFO”) or average cost method.</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Property, Plant and Equipment</w:t>
      </w:r>
      <w:r>
        <w:rPr>
          <w:rFonts w:ascii="Times New Roman" w:cs="Times New Roman" w:eastAsia="Times New Roman" w:hAnsi="Times New Roman"/>
          <w:sz w:val="18"/>
          <w:szCs w:val="18"/>
          <w:color w:val="auto"/>
        </w:rPr>
        <w:t>. Property, plant and equipment (“PP&amp;E”) is carried at cost less accumulated depreciation and includes expenditures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facilities and equipment and those costs which substantially increase the useful lives or capacity of existing PP&amp;E. Cost of constructed assets includes capitalized interest incurred during the construction and development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 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spacing w:after="0" w:line="2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Goodwill and Intangible Assets</w:t>
      </w:r>
      <w:r>
        <w:rPr>
          <w:rFonts w:ascii="Times New Roman" w:cs="Times New Roman" w:eastAsia="Times New Roman" w:hAnsi="Times New Roman"/>
          <w:sz w:val="18"/>
          <w:szCs w:val="18"/>
          <w:color w:val="auto"/>
        </w:rPr>
        <w:t>. Assets and liabilities of acquired businesses are recorded under the acquisition method of accounting at their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is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The quantitative assessment involves a number of assumptions and judgments, including the calculation of fair value for the Company’s identified reporting units. The Company determines the estimated fair value of each reporting unit based on an average of the estimated fair values using an income and a market approach. The income approach utilizes significant assumptions, including revenue and Adjusted EBITDA (a non-GAAP item defined by the Company as net customer sales, less cost of products sold excluding depreciation and amortization, less selling and administrative expenses) margin growth rates, discount rates and terminal year exit multiples. If the carrying value of a reporting unit exceeds its fair value, any impairment loss is measured by comparing the carrying value of the reporting unit to its fair value, not to exceed the carrying amount of goodwill.</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Finite-lived intangible assets are carried at cost less accumulated amortization. Finite-lived intangibles are amortized on a straight-line basis over their estimated useful lives described below (in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- 27</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6 - 8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supply contracts</w:t>
            </w:r>
          </w:p>
        </w:tc>
        <w:tc>
          <w:tcPr>
            <w:tcW w:w="4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4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3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Impairment or Disposal of Long-Lived Assets</w:t>
      </w:r>
      <w:r>
        <w:rPr>
          <w:rFonts w:ascii="Times New Roman" w:cs="Times New Roman" w:eastAsia="Times New Roman" w:hAnsi="Times New Roman"/>
          <w:sz w:val="18"/>
          <w:szCs w:val="18"/>
          <w:color w:val="auto"/>
        </w:rPr>
        <w:t>. In the event that facts and circumstances indicate that the carrying value of long-lived assets,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PP&amp;E and finite-lived intangible assets, may be impaired, the Company performs a recoverability evaluation. If the evaluation indicates that the carrying value of an asset group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has operating and finance leases for land and buildings related to certain manufacturing facilities, warehouses and corporate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the currency in which lease payments are made. The Company's leases do not contain any material residual value guarantees or material restrictive covenants.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Taxes on Income</w:t>
      </w:r>
      <w:r>
        <w:rPr>
          <w:rFonts w:ascii="Times New Roman" w:cs="Times New Roman" w:eastAsia="Times New Roman" w:hAnsi="Times New Roman"/>
          <w:sz w:val="18"/>
          <w:szCs w:val="18"/>
          <w:color w:val="auto"/>
        </w:rPr>
        <w:t>. The provision for income taxes is determined using the asset and liability approach. Deferred taxes represent the future expected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differences between the financial reporting and tax bases of assets and liabilities based upon enacted tax rates and laws. The Company has made an accounting policy election to treat taxes due on future U.S. inclusions of certain intangible income of foreign subsidiaries as a current period expense when incurred.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Derivatives and Hedging</w:t>
      </w:r>
      <w:r>
        <w:rPr>
          <w:rFonts w:ascii="Times New Roman" w:cs="Times New Roman" w:eastAsia="Times New Roman" w:hAnsi="Times New Roman"/>
          <w:sz w:val="18"/>
          <w:szCs w:val="18"/>
          <w:color w:val="auto"/>
        </w:rPr>
        <w:t>. All outstanding derivative financial instruments are recognized in the balance sheet at their fair values. The impact on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forecasted transactions become probable of not occurring.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development and engineering costs of $34 in 2022, $47 in 2021, and $48 in 2020 were expensed as incurred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Certain reclassifications of prior years’ data have been made to conform to the current year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and Reporting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amendments are effective for fiscal years beginning after December 15, 2022, including interim periods within those fiscal years, except for the disclosure of rollforward information, which is effective for fiscal years beginning after December 15, 2023. Early adoption is permitted. The amendments should be applied retrospectively to each period in which a balance sheet is presented, except for disclosure of rollforward information, which should be applied prospectively. The Company is currently evaluating the impact of adopting this guidance on its disclosures.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Divestitures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31, 2021, the Company completed the sale (the “Transaction”) of its European Tinplate business (the “Business”) to Kouti B.V., an affiliate of KPS Capital Partners LP. The Business comprised the Company’s European Food segment and its European Aerosol and Promotional Packaging reporting unit which was previously reported in Other. The Company received pre-tax proceeds of approximately €1.9 billion ($2.3 billion) from the Transaction and received a 20% minority interest in the Business. For the year ended December 31, 2021, the Company recorded a pre-tax loss of $101 and tax charges of $81 related to taxable gains on the sale of the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components of net (loss) / income from discontinued operations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Pr>
          <w:p>
            <w:pPr>
              <w:spacing w:after="0"/>
              <w:rPr>
                <w:sz w:val="19"/>
                <w:szCs w:val="19"/>
                <w:color w:val="auto"/>
              </w:rPr>
            </w:pPr>
          </w:p>
        </w:tc>
        <w:tc>
          <w:tcPr>
            <w:tcW w:w="18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discontinued businesses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income from discontinued operations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 income from discontinued operations attributable to Crown Holdings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had capital expenditures of $29 and $33 for the years ended December 31, 2021 and 2020.</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the minority interest received in the Business under the equity method. The Company's share of income of the Business was $34 for the year ended December 31, 2022 and a loss of $8 for the year ended December 31, 2021 and is reported in Equity in net earnings of affiliates in the Consolidated Statements of Operations. Additionally, the Company received a dividend payment from the Business of $26 in the year ended December 31,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2022, the Company completed the sale of the Transit Packaging segment's Kiwiplan business and received pre-tax proceeds of $180. The Company recorded a pre-tax gain of $113 ($102, net of tax) on the sale, which is reported in Restructuring and other, net in the Consolidated Statements of Operations. The transaction did not represent a strategic shift that had a major effect on the Company's operations and financial results, and therefore did not qualify for reporting as a discontinued operation.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Cash, Cash Equivalents, and Restricted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Statements of Cash Flows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70"/>
        </w:trPr>
        <w:tc>
          <w:tcPr>
            <w:tcW w:w="7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060" w:type="dxa"/>
            <w:vAlign w:val="bottom"/>
          </w:tcPr>
          <w:p>
            <w:pPr>
              <w:spacing w:after="0"/>
              <w:rPr>
                <w:sz w:val="19"/>
                <w:szCs w:val="19"/>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744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Receivables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74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0"/>
        </w:trPr>
        <w:tc>
          <w:tcPr>
            <w:tcW w:w="7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receivables securitization and factoring facilities in the normal course of business as part of managing its cash flows. The Company primarily accounts for transfers under these facilities as sales because it has met the criteria for control of the receivables to be considered transferred. The Company’s continuing involvement in the transfers is limited to servicing the receivables. The Company receives adequate compensation for servicing the receivables and no servicing asset or liability is recorded.</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 derecognized receivables of $1,342 and $1,011 related to the facilities. The Company recorded expenses of $41 for the year ended December 31, 2022 and $13 for the years ended December 31, 2021 and 2020 as interest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Company's Bowling Green plant sustained tornado damage, resulting in curtailment of operations. The Company resumed operations in March 2022. However, it continued to incur incremental costs, including freight and warehousing expenses, to meet customer demand as the plant returned to full operational capacity in 2022. The Company has property and business interruption insurance policies for weather related events that include these incremental expenses. The Company recognizes insurance recoveries for losses incurred as the recoveries become probable. Insurance recoveries for lost profits are not recognized until they are realizable.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insurance proceeds of $94 for business interruption, including incremental expenses, and $22 for property damage. As of December 31, 2022, the Company has recorded an insurance receivable, within miscellaneous receivables, of $23 for incremental expenses incurred that the Company expects to be reimbursed under the terms of its insurance policy.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02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69"/>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 Inventories</w:t>
            </w:r>
          </w:p>
        </w:tc>
        <w:tc>
          <w:tcPr>
            <w:tcW w:w="4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3400" w:type="dxa"/>
            <w:vAlign w:val="bottom"/>
          </w:tcPr>
          <w:p>
            <w:pPr>
              <w:spacing w:after="0"/>
              <w:rPr>
                <w:sz w:val="22"/>
                <w:szCs w:val="22"/>
                <w:color w:val="auto"/>
              </w:rPr>
            </w:pP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0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4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340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1"/>
        </w:trPr>
        <w:tc>
          <w:tcPr>
            <w:tcW w:w="3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December 31, 2022 and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European</w:t>
            </w:r>
          </w:p>
        </w:tc>
        <w:tc>
          <w:tcPr>
            <w:tcW w:w="180" w:type="dxa"/>
            <w:vAlign w:val="bottom"/>
          </w:tcPr>
          <w:p>
            <w:pPr>
              <w:spacing w:after="0"/>
              <w:rPr>
                <w:sz w:val="17"/>
                <w:szCs w:val="17"/>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Transit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4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Beverage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Beverage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Packaging</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for sale reclassification</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Goodwill reclassified to current assets held for sale during 2021 related to the sale of the Transit Packaging segment's Kiwiplan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 December 31, 2022 and 2021 was net of the following accumulated impairments: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European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4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Beverage</w:t>
            </w:r>
          </w:p>
        </w:tc>
        <w:tc>
          <w:tcPr>
            <w:tcW w:w="2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2021</w:t>
            </w: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69"/>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43"/>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Gross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2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Pr>
          <w:p>
            <w:pPr>
              <w:spacing w:after="0"/>
              <w:rPr>
                <w:sz w:val="21"/>
                <w:szCs w:val="21"/>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1"/>
                <w:szCs w:val="21"/>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5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2022, 2021, and 2020 was $159, $165 and $162.</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During the year-ended December 31, 2021, $13 of intangible assets related to the sale of the Transit Packaging segment's Kiwiplan business were reclassified to current assets held for sale.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amortization expense is estimated to be $157 for 2023, $146 for 2024, $141 for 2025, $132 for 2026 and $129 for 2027.</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60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6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 Property, Plant and Equipment</w:t>
            </w:r>
          </w:p>
        </w:tc>
        <w:tc>
          <w:tcPr>
            <w:tcW w:w="3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7"/>
        </w:trPr>
        <w:tc>
          <w:tcPr>
            <w:tcW w:w="4180" w:type="dxa"/>
            <w:vAlign w:val="bottom"/>
            <w:tcBorders>
              <w:bottom w:val="single" w:sz="8" w:color="CCEEFF"/>
            </w:tcBorders>
          </w:tcPr>
          <w:p>
            <w:pPr>
              <w:spacing w:after="0"/>
              <w:rPr>
                <w:sz w:val="22"/>
                <w:szCs w:val="22"/>
                <w:color w:val="auto"/>
              </w:rPr>
            </w:pPr>
          </w:p>
        </w:tc>
        <w:tc>
          <w:tcPr>
            <w:tcW w:w="3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418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r>
      <w:tr>
        <w:trPr>
          <w:trHeight w:val="248"/>
        </w:trPr>
        <w:tc>
          <w:tcPr>
            <w:tcW w:w="41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interest related to construction in progress was $28 and $22 for the years ended December 31, 2022 and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2022, 2021 and 2020 were as follows: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spacing w:after="0"/>
              <w:rPr>
                <w:sz w:val="19"/>
                <w:szCs w:val="19"/>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Variable operating lease cost was $4 for the year ended December 31, 2022 and $3 for the years ended December 31, 2021 and 2020. Interest on finance lease liabilities was less than $1 for each of the years ended December 31, 2022,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53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40" w:type="dxa"/>
            <w:vAlign w:val="bottom"/>
          </w:tcPr>
          <w:p>
            <w:pPr>
              <w:ind w:left="47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7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finance leases was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2"/>
                <w:szCs w:val="22"/>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2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9"/>
                <w:szCs w:val="19"/>
                <w:color w:val="auto"/>
              </w:rPr>
            </w:pPr>
          </w:p>
        </w:tc>
        <w:tc>
          <w:tcPr>
            <w:tcW w:w="12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0"/>
        </w:trPr>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for each year were as follows: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2"/>
                <w:szCs w:val="22"/>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20"/>
                <w:szCs w:val="20"/>
                <w:color w:val="auto"/>
              </w:rPr>
            </w:pPr>
          </w:p>
        </w:tc>
      </w:tr>
      <w:tr>
        <w:trPr>
          <w:trHeight w:val="481"/>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2022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23"/>
        </w:trPr>
        <w:tc>
          <w:tcPr>
            <w:tcW w:w="20" w:type="dxa"/>
            <w:vAlign w:val="bottom"/>
          </w:tcPr>
          <w:p>
            <w:pPr>
              <w:spacing w:after="0"/>
              <w:rPr>
                <w:sz w:val="19"/>
                <w:szCs w:val="19"/>
                <w:color w:val="auto"/>
              </w:rPr>
            </w:pPr>
          </w:p>
        </w:tc>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Company did not have material lease commitments that had not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 Other Non-Current Assets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assets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474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77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 Accrued Liabilities</w:t>
            </w: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3760" w:type="dxa"/>
            <w:vAlign w:val="bottom"/>
          </w:tcPr>
          <w:p>
            <w:pPr>
              <w:spacing w:after="0"/>
              <w:rPr>
                <w:sz w:val="22"/>
                <w:szCs w:val="22"/>
                <w:color w:val="auto"/>
              </w:rPr>
            </w:pPr>
          </w:p>
        </w:tc>
        <w:tc>
          <w:tcPr>
            <w:tcW w:w="4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6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other than on income</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3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
        </w:trPr>
        <w:tc>
          <w:tcPr>
            <w:tcW w:w="3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 Restructuring and Other</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7"/>
        </w:trPr>
        <w:tc>
          <w:tcPr>
            <w:tcW w:w="64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 (income)</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Asset sales and impairments primarily relates to the $113 gain on sale of the Kiwiplan business. See </w:t>
      </w:r>
      <w:r>
        <w:rPr>
          <w:rFonts w:ascii="Times New Roman" w:cs="Times New Roman" w:eastAsia="Times New Roman" w:hAnsi="Times New Roman"/>
          <w:sz w:val="18"/>
          <w:szCs w:val="18"/>
          <w:u w:val="single" w:color="auto"/>
          <w:color w:val="0000FF"/>
        </w:rPr>
        <w:t>Note B</w:t>
      </w:r>
      <w:r>
        <w:rPr>
          <w:rFonts w:ascii="Times New Roman" w:cs="Times New Roman" w:eastAsia="Times New Roman" w:hAnsi="Times New Roman"/>
          <w:sz w:val="18"/>
          <w:szCs w:val="18"/>
          <w:color w:val="auto"/>
        </w:rPr>
        <w:t xml:space="preserve"> for more information on the sale.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Restructuring included charges of $29 related to an overhead cost reduction program initiated by the Company's Transit Packaging segment. The Company expects to reduce headcount by approximately 600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O</w:t>
      </w:r>
      <w:r>
        <w:rPr>
          <w:rFonts w:ascii="Times New Roman" w:cs="Times New Roman" w:eastAsia="Times New Roman" w:hAnsi="Times New Roman"/>
          <w:sz w:val="18"/>
          <w:szCs w:val="18"/>
          <w:color w:val="auto"/>
        </w:rPr>
        <w:t xml:space="preserve"> for more information on the Company's provision for asbestos.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2021 Activity</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costs / (income) included gains of $30 arising from a favorable court ruling in a lawsuit brought by certain of the Company's Brazilian subsidiaries asserting they were overcharged by local tax authorities for indirect taxes paid in prior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sales and impairments included gains on various asset sales.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primarily includes charges related to relocation of the Transit Packaging headquarters and headcount reductions across segments.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Activity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included charges of $19 related to an internal reorganization and headcount reductions within the Transit Packaging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by segment were as follows:</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type were as follows:</w:t>
            </w: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24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had a restructuring accrual of $20, primarily related to the headcount reductions and other internal reorganizations within the Transit Packaging segment. The Company expects to pay these amounts over the next twelve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Debt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18"/>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Principal</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outstanding</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amount</w:t>
            </w:r>
          </w:p>
        </w:tc>
        <w:tc>
          <w:tcPr>
            <w:tcW w:w="1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7"/>
              </w:rPr>
              <w:t>outstanding</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76</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75</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Long-term debt</w:t>
            </w:r>
          </w:p>
        </w:tc>
        <w:tc>
          <w:tcPr>
            <w:tcW w:w="3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 dollar due 2024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660"/>
              <w:spacing w:after="0" w:line="230" w:lineRule="exact"/>
              <w:rPr>
                <w:sz w:val="20"/>
                <w:szCs w:val="20"/>
                <w:color w:val="auto"/>
              </w:rPr>
            </w:pPr>
            <w:r>
              <w:rPr>
                <w:rFonts w:ascii="Times New Roman" w:cs="Times New Roman" w:eastAsia="Times New Roman" w:hAnsi="Times New Roman"/>
                <w:sz w:val="18"/>
                <w:szCs w:val="18"/>
                <w:color w:val="auto"/>
              </w:rPr>
              <w:t>Euro due 2024</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€335 at 2.25% due 2023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€550 at 0.75% due 2023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Fixed rate with rates in 2022 from 2.7% to 14.4% due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4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through 2027</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175"/>
        </w:trPr>
        <w:tc>
          <w:tcPr>
            <w:tcW w:w="20" w:type="dxa"/>
            <w:vAlign w:val="bottom"/>
          </w:tcPr>
          <w:p>
            <w:pPr>
              <w:spacing w:after="0"/>
              <w:rPr>
                <w:sz w:val="15"/>
                <w:szCs w:val="15"/>
                <w:color w:val="auto"/>
              </w:rPr>
            </w:pPr>
          </w:p>
        </w:tc>
        <w:tc>
          <w:tcPr>
            <w:tcW w:w="444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Variable rate with an average rate in 2022 of 1.5% due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1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33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€540 at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€303 at December 31, 2021</w:t>
      </w:r>
    </w:p>
    <w:p>
      <w:pPr>
        <w:sectPr>
          <w:pgSz w:w="11900" w:h="16838" w:orient="portrait"/>
          <w:cols w:equalWidth="0" w:num="1">
            <w:col w:w="10940"/>
          </w:cols>
          <w:pgMar w:left="320" w:top="117" w:right="6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7" w:right="63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long-term borrowings, using a market approach incorporating level 2 inputs such as quoted market prices for the same or similar issues, was $6,922 at December 31, 2022 and $6,548 at December 31,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2022, the Company issued $500 principal amount of 5.250% senior unsecured notes due 2030. The notes were issued at par by Crown Americas LLC, a subsidiary of the Company, and are unconditionally guaranteed by the Company and substantially all of its U.S. subsidiaries.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amended the credit agreement governing its senior secured credit facilities. The amendment extended the agreement’s maturity to August 2027 and increased the commitments under several of the Company’s existing facilities. The Company’s commitments under its credit agreement include $800 million in U.S. dollar denominated revolving commitments, $800 million in multicurrency revolving commitments, $50 million in Canadian dollar-denominated revolving commitments, $1.8 billion in Term Loan A commitments, and €540 million in Term Euro commitments.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2022, the Company redeemed all of its €335 2.25% senior notes due 2023 and its €550 0.75% senior notes due 2023. In connection with the amended credit agreement and early redemption of senior notes, the Company recorded a loss from early extinguishment of debt of $11 in 2022 for premium payments and the write-off of deferred financing fees.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facilities include provisions for letters of credit up to $310 that reduce the amount of borrowing capacity otherwise available. At December 31, 2022, the Company’s available borrowing capacity under the credit facilities was $1,252 equal to the facilities’ aggregate capacity of $1,650 less $69 of outstanding letters of credit and $329 of credit facility borrowings. The interest rates on the facilities can vary from SOFR or EURIBOR, with a floor of zero, plus a margin of up to 1.60%, depending on the facility, based on the Company's leverage ratio. The revolving credit facilities and term loan facilities required the Company to maintain a leverage ratio of no greater than 5.00 times at December 31, 2022.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 was in compliance with all covenants as of December 31, 2022.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U.S. dollar term loan interest rate was SOFR plus 1.35% and the Euro term loan interest rate was EURIBOR plus 1.25%.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weighted average interest rates were as follows: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99"/>
        </w:trPr>
        <w:tc>
          <w:tcPr>
            <w:tcW w:w="7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maturities of long-term debt, excluding unamortized discounts and debt issuance costs, for the five years subsequent to 2022 are $109, $852, $779, $2,315 and $2,339. Cash payments for interest during 2022, 2021 and 2020 were $270, $294, and $302.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Derivative and Other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below. In addition, see </w:t>
      </w:r>
      <w:r>
        <w:rPr>
          <w:rFonts w:ascii="Times New Roman" w:cs="Times New Roman" w:eastAsia="Times New Roman" w:hAnsi="Times New Roman"/>
          <w:sz w:val="18"/>
          <w:szCs w:val="18"/>
          <w:u w:val="single" w:color="auto"/>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fair value disclosures related to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jc w:val="both"/>
        <w:spacing w:after="0" w:line="260" w:lineRule="auto"/>
        <w:rPr>
          <w:sz w:val="20"/>
          <w:szCs w:val="20"/>
          <w:color w:val="auto"/>
        </w:rPr>
      </w:pPr>
      <w:r>
        <w:rPr>
          <w:rFonts w:ascii="Times New Roman" w:cs="Times New Roman" w:eastAsia="Times New Roman" w:hAnsi="Times New Roman"/>
          <w:sz w:val="18"/>
          <w:szCs w:val="18"/>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other comprehensive income is the same as that of the underlying exposure. Contracts outstanding at December 31, 2022 mature between one and twenty-four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including natural gas and electricity, and these exposures are hedged by a central treasury unit.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uses interest rate swaps to convert interest on floating rate debt to a fixed-rate.</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related to derivative instruments designated as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Crown Holdings, Inc.</w:t>
            </w:r>
          </w:p>
        </w:tc>
      </w:tr>
      <w:tr>
        <w:trPr>
          <w:trHeight w:val="769"/>
        </w:trPr>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Amount of gain / (loss) recognized in</w:t>
            </w:r>
          </w:p>
        </w:tc>
      </w:tr>
      <w:tr>
        <w:trPr>
          <w:trHeight w:val="239"/>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AOCI</w:t>
            </w:r>
          </w:p>
        </w:tc>
        <w:tc>
          <w:tcPr>
            <w:tcW w:w="1160" w:type="dxa"/>
            <w:vAlign w:val="bottom"/>
            <w:tcBorders>
              <w:bottom w:val="single" w:sz="8" w:color="auto"/>
            </w:tcBorders>
          </w:tcPr>
          <w:p>
            <w:pPr>
              <w:spacing w:after="0"/>
              <w:rPr>
                <w:sz w:val="20"/>
                <w:szCs w:val="20"/>
                <w:color w:val="auto"/>
              </w:rPr>
            </w:pPr>
          </w:p>
        </w:tc>
      </w:tr>
      <w:tr>
        <w:trPr>
          <w:trHeight w:val="52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8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180" w:type="dxa"/>
            <w:vAlign w:val="bottom"/>
          </w:tcPr>
          <w:p>
            <w:pPr>
              <w:spacing w:after="0"/>
              <w:rPr>
                <w:sz w:val="19"/>
                <w:szCs w:val="19"/>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Amount of gain / (loss) reclassified from</w:t>
      </w:r>
    </w:p>
    <w:p>
      <w:pPr>
        <w:jc w:val="center"/>
        <w:ind w:right="1020"/>
        <w:spacing w:after="0"/>
        <w:rPr>
          <w:sz w:val="20"/>
          <w:szCs w:val="20"/>
          <w:color w:val="auto"/>
        </w:rPr>
      </w:pPr>
      <w:r>
        <w:rPr>
          <w:rFonts w:ascii="Times New Roman" w:cs="Times New Roman" w:eastAsia="Times New Roman" w:hAnsi="Times New Roman"/>
          <w:sz w:val="18"/>
          <w:szCs w:val="18"/>
          <w:color w:val="auto"/>
        </w:rPr>
        <w:t>AOCI into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1300"/>
              <w:spacing w:after="0" w:line="182"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1"/>
                <w:szCs w:val="21"/>
                <w:color w:val="auto"/>
              </w:rPr>
            </w:pPr>
          </w:p>
        </w:tc>
        <w:tc>
          <w:tcPr>
            <w:tcW w:w="44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223"/>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6"/>
        </w:trPr>
        <w:tc>
          <w:tcPr>
            <w:tcW w:w="3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76"/>
        </w:trPr>
        <w:tc>
          <w:tcPr>
            <w:tcW w:w="3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 depreciation and</w:t>
            </w:r>
          </w:p>
        </w:tc>
      </w:tr>
      <w:tr>
        <w:trPr>
          <w:trHeight w:val="243"/>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21"/>
                <w:szCs w:val="21"/>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r>
      <w:tr>
        <w:trPr>
          <w:trHeight w:val="156"/>
        </w:trPr>
        <w:tc>
          <w:tcPr>
            <w:tcW w:w="3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 (loss) from continuing operations before income</w:t>
            </w:r>
          </w:p>
        </w:tc>
      </w:tr>
      <w:tr>
        <w:trPr>
          <w:trHeight w:val="243"/>
        </w:trPr>
        <w:tc>
          <w:tcPr>
            <w:tcW w:w="3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1"/>
                <w:szCs w:val="21"/>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and equity in net earnings of affiliates</w:t>
            </w:r>
          </w:p>
        </w:tc>
      </w:tr>
      <w:tr>
        <w:trPr>
          <w:trHeight w:val="223"/>
        </w:trPr>
        <w:tc>
          <w:tcPr>
            <w:tcW w:w="3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r>
      <w:tr>
        <w:trPr>
          <w:trHeight w:val="223"/>
        </w:trPr>
        <w:tc>
          <w:tcPr>
            <w:tcW w:w="3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w:t>
            </w:r>
          </w:p>
        </w:tc>
      </w:tr>
      <w:tr>
        <w:trPr>
          <w:trHeight w:val="223"/>
        </w:trPr>
        <w:tc>
          <w:tcPr>
            <w:tcW w:w="3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 income from discontinued operations</w:t>
            </w:r>
          </w:p>
        </w:tc>
      </w:tr>
      <w:tr>
        <w:trPr>
          <w:trHeight w:val="248"/>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2023, a net loss of $13 ($11, net of tax) is expected to be reclassified to earnings for commodity and foreign exchange contracts. No material amounts were reclassified during the years ended December 31, 2022 and 2021 in connection with anticipated transactions that were no longer considered probable.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December 31, 2021, the Company recorded a loss of $19 and a gain of $3 from foreign exchange contracts designated as fair value hedges. These adjustments were reported within foreign exchange in the Consolidated Statements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770"/>
        </w:trPr>
        <w:tc>
          <w:tcPr>
            <w:tcW w:w="69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following table sets forth the impact on earnings from derivatives not designated as hedges.</w:t>
            </w:r>
          </w:p>
        </w:tc>
        <w:tc>
          <w:tcPr>
            <w:tcW w:w="4140" w:type="dxa"/>
            <w:vAlign w:val="bottom"/>
          </w:tcPr>
          <w:p>
            <w:pPr>
              <w:spacing w:after="0"/>
              <w:rPr>
                <w:sz w:val="24"/>
                <w:szCs w:val="24"/>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auto"/>
              </w:rPr>
              <w:t>Pre-tax amount of gain / (loss) recognized</w:t>
            </w:r>
          </w:p>
        </w:tc>
        <w:tc>
          <w:tcPr>
            <w:tcW w:w="4140" w:type="dxa"/>
            <w:vAlign w:val="bottom"/>
          </w:tcPr>
          <w:p>
            <w:pPr>
              <w:spacing w:after="0"/>
              <w:rPr>
                <w:sz w:val="17"/>
                <w:szCs w:val="17"/>
                <w:color w:val="auto"/>
              </w:rPr>
            </w:pPr>
          </w:p>
        </w:tc>
      </w:tr>
      <w:tr>
        <w:trPr>
          <w:trHeight w:val="236"/>
        </w:trPr>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in earnings</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162"/>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1160"/>
              <w:spacing w:after="0" w:line="162" w:lineRule="exact"/>
              <w:rPr>
                <w:sz w:val="20"/>
                <w:szCs w:val="20"/>
                <w:color w:val="auto"/>
              </w:rPr>
            </w:pPr>
            <w:r>
              <w:rPr>
                <w:rFonts w:ascii="Times New Roman" w:cs="Times New Roman" w:eastAsia="Times New Roman" w:hAnsi="Times New Roman"/>
                <w:sz w:val="18"/>
                <w:szCs w:val="18"/>
                <w:color w:val="auto"/>
              </w:rPr>
              <w:t>Affected line item in the</w:t>
            </w:r>
          </w:p>
        </w:tc>
      </w:tr>
      <w:tr>
        <w:trPr>
          <w:trHeight w:val="24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4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Statements of Operations</w:t>
            </w: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3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w:t>
            </w:r>
          </w:p>
        </w:tc>
        <w:tc>
          <w:tcPr>
            <w:tcW w:w="140" w:type="dxa"/>
            <w:vAlign w:val="bottom"/>
            <w:shd w:val="clear" w:color="auto" w:fill="CCEEFF"/>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23"/>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(33)</w:t>
            </w:r>
          </w:p>
        </w:tc>
        <w:tc>
          <w:tcPr>
            <w:tcW w:w="14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1"/>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recorded a gain of $32 ($19, net of tax) and a gain of $103 ($103, net of tax) in other comprehensive income for certain debt instruments that are designated as hedges of its net investment in a euro-based subsidiary. As of December 31, 2022 and December 31, 2021, cumulative gains of $101 ($111, net of tax) and $69 ($92, net of tax) were recognized in accumulated other comprehensive income related to these net investment hedges and the carrying amount of the hedging instrument was approximately €538 ($576) at December 31, 2022.</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Amount of gain / (loss) recognized in AOCI</w:t>
            </w:r>
          </w:p>
        </w:tc>
      </w:tr>
      <w:tr>
        <w:trPr>
          <w:trHeight w:val="22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December 31, 2022 and December 31, 2021, respectively. The fair value of these financial instruments were reported under Level 2 of the fair value hierarchy.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Balance Sheet</w:t>
      </w:r>
    </w:p>
    <w:p>
      <w:pPr>
        <w:ind w:left="2260"/>
        <w:spacing w:after="0"/>
        <w:rPr>
          <w:sz w:val="20"/>
          <w:szCs w:val="20"/>
          <w:color w:val="auto"/>
        </w:rPr>
      </w:pPr>
      <w:r>
        <w:rPr>
          <w:rFonts w:ascii="Times New Roman" w:cs="Times New Roman" w:eastAsia="Times New Roman" w:hAnsi="Times New Roman"/>
          <w:sz w:val="18"/>
          <w:szCs w:val="18"/>
          <w:color w:val="auto"/>
        </w:rPr>
        <w:t>classification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Derivatives designated as hedging instruments</w:t>
      </w:r>
    </w:p>
    <w:tbl>
      <w:tblPr>
        <w:tblLayout w:type="fixed"/>
        <w:tblInd w:w="20" w:type="dxa"/>
        <w:tblCellMar>
          <w:top w:w="0" w:type="dxa"/>
          <w:left w:w="0" w:type="dxa"/>
          <w:bottom w:w="0" w:type="dxa"/>
          <w:right w:w="0" w:type="dxa"/>
        </w:tblCellMar>
      </w:tblPr>
      <w:tr>
        <w:trPr>
          <w:trHeight w:val="203"/>
        </w:trPr>
        <w:tc>
          <w:tcPr>
            <w:tcW w:w="17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Foreign exchange</w:t>
            </w:r>
          </w:p>
        </w:tc>
        <w:tc>
          <w:tcPr>
            <w:tcW w:w="166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Prepaid expenses and</w:t>
            </w: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cash flow</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184"/>
        </w:trPr>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r>
      <w:tr>
        <w:trPr>
          <w:trHeight w:val="234"/>
        </w:trPr>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r>
      <w:tr>
        <w:trPr>
          <w:trHeight w:val="184"/>
        </w:trPr>
        <w:tc>
          <w:tcPr>
            <w:tcW w:w="17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Foreign exchange</w:t>
            </w:r>
          </w:p>
        </w:tc>
        <w:tc>
          <w:tcPr>
            <w:tcW w:w="16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w w:val="98"/>
              </w:rPr>
              <w:t>Prepaid expenses and</w:t>
            </w: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fair value</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184"/>
        </w:trPr>
        <w:tc>
          <w:tcPr>
            <w:tcW w:w="17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Commodities contracts</w:t>
            </w:r>
          </w:p>
        </w:tc>
        <w:tc>
          <w:tcPr>
            <w:tcW w:w="16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w w:val="98"/>
              </w:rPr>
              <w:t>Prepaid expenses and</w:t>
            </w: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r>
      <w:tr>
        <w:trPr>
          <w:trHeight w:val="184"/>
        </w:trPr>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r>
      <w:tr>
        <w:trPr>
          <w:trHeight w:val="234"/>
        </w:trPr>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r>
      <w:tr>
        <w:trPr>
          <w:trHeight w:val="184"/>
        </w:trPr>
        <w:tc>
          <w:tcPr>
            <w:tcW w:w="17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Net investment hedge</w:t>
            </w:r>
          </w:p>
        </w:tc>
        <w:tc>
          <w:tcPr>
            <w:tcW w:w="166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Other non-current</w:t>
            </w:r>
          </w:p>
        </w:tc>
      </w:tr>
      <w:tr>
        <w:trPr>
          <w:trHeight w:val="234"/>
        </w:trPr>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assets</w:t>
            </w:r>
          </w:p>
        </w:tc>
      </w:tr>
      <w:tr>
        <w:trPr>
          <w:trHeight w:val="441"/>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not designated as hedging</w:t>
            </w:r>
          </w:p>
        </w:tc>
      </w:tr>
      <w:tr>
        <w:trPr>
          <w:trHeight w:val="155"/>
        </w:trPr>
        <w:tc>
          <w:tcPr>
            <w:tcW w:w="178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instruments</w:t>
            </w:r>
          </w:p>
        </w:tc>
        <w:tc>
          <w:tcPr>
            <w:tcW w:w="96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210"/>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Prepaid expenses and</w:t>
            </w:r>
          </w:p>
        </w:tc>
      </w:t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r>
    </w:tbl>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 Carrying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756"/>
        </w:trPr>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24"/>
                <w:szCs w:val="24"/>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6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641"/>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0"/>
        </w:trPr>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80"/>
        </w:trPr>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8"/>
        </w:trPr>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0"/>
        </w:trPr>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Other non-current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81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-2373630</wp:posOffset>
            </wp:positionV>
            <wp:extent cx="7106285"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-1842770</wp:posOffset>
            </wp:positionV>
            <wp:extent cx="7106285"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-1311275</wp:posOffset>
            </wp:positionV>
            <wp:extent cx="7106285"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-890905</wp:posOffset>
            </wp:positionV>
            <wp:extent cx="7106285" cy="265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-359410</wp:posOffset>
            </wp:positionV>
            <wp:extent cx="71062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-2794000</wp:posOffset>
            </wp:positionV>
            <wp:extent cx="710628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3039"/>
        <w:spacing w:after="0"/>
        <w:rPr>
          <w:sz w:val="20"/>
          <w:szCs w:val="20"/>
          <w:color w:val="auto"/>
        </w:rPr>
      </w:pPr>
      <w:r>
        <w:rPr>
          <w:rFonts w:ascii="Times New Roman" w:cs="Times New Roman" w:eastAsia="Times New Roman" w:hAnsi="Times New Roman"/>
          <w:sz w:val="18"/>
          <w:szCs w:val="18"/>
          <w:color w:val="auto"/>
        </w:rPr>
        <w:t>Carrying amount of the hedged assets and</w:t>
      </w:r>
    </w:p>
    <w:p>
      <w:pPr>
        <w:jc w:val="center"/>
        <w:ind w:left="-3039"/>
        <w:spacing w:after="0"/>
        <w:rPr>
          <w:sz w:val="20"/>
          <w:szCs w:val="20"/>
          <w:color w:val="auto"/>
        </w:rPr>
      </w:pPr>
      <w:r>
        <w:rPr>
          <w:rFonts w:ascii="Times New Roman" w:cs="Times New Roman" w:eastAsia="Times New Roman" w:hAnsi="Times New Roman"/>
          <w:sz w:val="18"/>
          <w:szCs w:val="18"/>
          <w:color w:val="auto"/>
        </w:rPr>
        <w:t>liabilities</w:t>
      </w:r>
    </w:p>
    <w:p>
      <w:pPr>
        <w:spacing w:after="0" w:line="7" w:lineRule="exact"/>
        <w:rPr>
          <w:sz w:val="20"/>
          <w:szCs w:val="20"/>
          <w:color w:val="auto"/>
        </w:rPr>
      </w:pPr>
    </w:p>
    <w:p>
      <w:pPr>
        <w:sectPr>
          <w:pgSz w:w="11900" w:h="16838" w:orient="portrait"/>
          <w:cols w:equalWidth="0" w:num="2">
            <w:col w:w="3460" w:space="220"/>
            <w:col w:w="756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2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2022</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306"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cumulative amounts of fair value hedging adjustments included in the carrying amount of the hedged assets and liabilities were net gains of $1,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75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120" w:type="dxa"/>
            <w:vAlign w:val="bottom"/>
          </w:tcPr>
          <w:p>
            <w:pPr>
              <w:spacing w:after="0"/>
              <w:rPr>
                <w:sz w:val="24"/>
                <w:szCs w:val="24"/>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Gross amounts not offset in the</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Balance Sheet</w:t>
            </w:r>
          </w:p>
        </w:tc>
        <w:tc>
          <w:tcPr>
            <w:tcW w:w="120" w:type="dxa"/>
            <w:vAlign w:val="bottom"/>
          </w:tcPr>
          <w:p>
            <w:pPr>
              <w:spacing w:after="0"/>
              <w:rPr>
                <w:sz w:val="21"/>
                <w:szCs w:val="21"/>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 Sheet</w:t>
            </w:r>
          </w:p>
        </w:tc>
        <w:tc>
          <w:tcPr>
            <w:tcW w:w="360" w:type="dxa"/>
            <w:vAlign w:val="bottom"/>
          </w:tcPr>
          <w:p>
            <w:pPr>
              <w:spacing w:after="0"/>
              <w:rPr>
                <w:sz w:val="21"/>
                <w:szCs w:val="21"/>
                <w:color w:val="auto"/>
              </w:rPr>
            </w:pP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3"/>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2021</w:t>
            </w:r>
          </w:p>
        </w:tc>
        <w:tc>
          <w:tcPr>
            <w:tcW w:w="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Commodities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O.</w:t>
        <w:tab/>
        <w:t>Asbestos-Related Liabilities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2010, the Texas Supreme Court reversed a lower court decision, Barbara Robinson v. Crown Cork &amp; Seal Company, Inc., No. 14-04-00658-CV, Fourteenth Court of Appeals, Texas, which had upheld the dismissal of an asbestos-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approximate claims activity for the years ended 2022, 2021 and 2020 was as follows:</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64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1"/>
        </w:trPr>
        <w:tc>
          <w:tcPr>
            <w:tcW w:w="64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made cash payments of $21, $19, and $21 to settle asbestos claims and pay related legal and defense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by year of exposure and state filed.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December 31, 2021, the Company's outstanding claims were: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ind w:left="8020"/>
              <w:spacing w:after="0"/>
              <w:rPr>
                <w:sz w:val="20"/>
                <w:szCs w:val="20"/>
                <w:color w:val="auto"/>
              </w:rPr>
            </w:pPr>
            <w:r>
              <w:rPr>
                <w:rFonts w:ascii="Times New Roman" w:cs="Times New Roman" w:eastAsia="Times New Roman" w:hAnsi="Times New Roman"/>
                <w:sz w:val="18"/>
                <w:szCs w:val="18"/>
                <w:color w:val="auto"/>
                <w:w w:val="94"/>
              </w:rPr>
              <w:t>2022</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17,000</w:t>
            </w:r>
          </w:p>
        </w:tc>
        <w:tc>
          <w:tcPr>
            <w:tcW w:w="6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30"/>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Texas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Pennsylvania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states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20,000</w:t>
            </w:r>
          </w:p>
        </w:tc>
        <w:tc>
          <w:tcPr>
            <w:tcW w:w="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r>
      <w:tr>
        <w:trPr>
          <w:trHeight w:val="248"/>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57,500</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the percentage of outstanding claims related to claimants alleging serious diseases (primarily mesothelioma and other malignancies)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1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4"/>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2022.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82% of the claims outstanding at the end of 2022 were filed by plaintiffs who do not claim a specific amount of damages or claim a minimum amount as established by court rules relating to jurisdiction; approximately 15% were filed by plaintiffs who claim damages of less than $5; approximately 3% were filed by plaintiffs who claim damages from $5 to less than $100 (36% of whom claim damages less than $25) and 14 claims were filed by plaintiffs who claim damages in excess of $100.</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Company’s accrual for pending and future asbestos-related claims and related legal costs was $220, including $178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58"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7, 2021, the French </w:t>
      </w:r>
      <w:r>
        <w:rPr>
          <w:rFonts w:ascii="Times New Roman" w:cs="Times New Roman" w:eastAsia="Times New Roman" w:hAnsi="Times New Roman"/>
          <w:sz w:val="18"/>
          <w:szCs w:val="18"/>
          <w:i w:val="1"/>
          <w:iCs w:val="1"/>
          <w:color w:val="auto"/>
        </w:rPr>
        <w:t>Autorité de la concurrence</w:t>
      </w:r>
      <w:r>
        <w:rPr>
          <w:rFonts w:ascii="Times New Roman" w:cs="Times New Roman" w:eastAsia="Times New Roman" w:hAnsi="Times New Roman"/>
          <w:sz w:val="18"/>
          <w:szCs w:val="18"/>
          <w:color w:val="auto"/>
        </w:rPr>
        <w:t xml:space="preserv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objectives.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2022,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 Other Non-Current Liabilities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74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Asbestos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Postemployment benefits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74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taxes payable includes unrecognized tax benefits as discussed in </w:t>
      </w:r>
      <w:r>
        <w:rPr>
          <w:rFonts w:ascii="Times New Roman" w:cs="Times New Roman" w:eastAsia="Times New Roman" w:hAnsi="Times New Roman"/>
          <w:sz w:val="18"/>
          <w:szCs w:val="18"/>
          <w:u w:val="single" w:color="auto"/>
          <w:color w:val="0000FF"/>
        </w:rPr>
        <w:t>Note 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 Pension and Other Postretirement Benefits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Pensions. </w:t>
      </w:r>
      <w:r>
        <w:rPr>
          <w:rFonts w:ascii="Times New Roman" w:cs="Times New Roman" w:eastAsia="Times New Roman" w:hAnsi="Times New Roman"/>
          <w:sz w:val="18"/>
          <w:szCs w:val="18"/>
          <w:color w:val="auto"/>
        </w:rPr>
        <w:t>The Company sponsors various pension plans covering certain U.S. and non-U.S. employees, and participates in certain multi-employer pension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The benefits under the Company plans are based primarily on years of service and either the employees’ remuneration near retirement or a fixed dollar multiple.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measurement date of December 31 was used for all plans presented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pension expense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Plans</w:t>
            </w:r>
          </w:p>
        </w:tc>
        <w:tc>
          <w:tcPr>
            <w:tcW w:w="30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Curtailments and special termination 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Non-U.S. Plans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30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20" w:type="dxa"/>
            <w:vAlign w:val="bottom"/>
            <w:shd w:val="clear" w:color="auto" w:fill="CCEEFF"/>
          </w:tcPr>
          <w:p>
            <w:pPr>
              <w:spacing w:after="0"/>
              <w:rPr>
                <w:sz w:val="19"/>
                <w:szCs w:val="19"/>
                <w:color w:val="auto"/>
              </w:rPr>
            </w:pPr>
          </w:p>
        </w:tc>
        <w:tc>
          <w:tcPr>
            <w:tcW w:w="6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settlement charge in 2021 arose from the irrevocable transfer of the Company's U.K. defined benefit pension plan (the "Plan") to an insurer. In 2021, the Company made a cash contribution of £196 to enable the Plan to purchase a bulk annuity insurance contract for the benefit of the Plan participants. The Company expects £127 ($153 using December 31, 2022 exchange rate) of the cash contribution to be repaid as the Plan sells its remaining illiquid assets, of which £101 ($122 using December 31, 2022 exchange rate) has been received to date, including $77 in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charge in 2020 arose from the payment of lump sum buy-outs to settle certain pension obligations using plan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pension expense of $5 in each of 2022, 2021 and 2020 was recognized for multi-employer plans.</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projected benefit obligations, accumulated benefit obligations, plan assets and funded status of the Company's U.S. and non-U.S. plans were as follows: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3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U.S. Plans</w:t>
            </w:r>
          </w:p>
        </w:tc>
        <w:tc>
          <w:tcPr>
            <w:tcW w:w="9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Non-U.S. Plans</w:t>
            </w:r>
          </w:p>
        </w:tc>
        <w:tc>
          <w:tcPr>
            <w:tcW w:w="86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69"/>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Projected Benefit Obligations</w:t>
            </w: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Curtailments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Actuarial (gain) / loss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8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4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169"/>
        </w:trPr>
        <w:tc>
          <w:tcPr>
            <w:tcW w:w="20" w:type="dxa"/>
            <w:vAlign w:val="bottom"/>
          </w:tcPr>
          <w:p>
            <w:pPr>
              <w:spacing w:after="0"/>
              <w:rPr>
                <w:sz w:val="14"/>
                <w:szCs w:val="14"/>
                <w:color w:val="auto"/>
              </w:rPr>
            </w:pPr>
          </w:p>
        </w:tc>
        <w:tc>
          <w:tcPr>
            <w:tcW w:w="416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Plan Assets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196"/>
        </w:trPr>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benefit obligations at December 31</w:t>
            </w:r>
          </w:p>
        </w:tc>
        <w:tc>
          <w:tcPr>
            <w:tcW w:w="8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actuarial gains for the Company’s U.S. and non-U.S. pension plans totaled $46. Actuarial gains and losses arise each year primarily due to changes in discount rates, differences in actual plan asset returns compared to expected returns, and changes in actuarial assumptions such as mortality. The gain in 2022 is primarily due to higher discount rates at the end of 2022 compared to 2021, partially offset by actual asset returns lower than expected returns.</w:t>
      </w:r>
    </w:p>
    <w:p>
      <w:pPr>
        <w:sectPr>
          <w:pgSz w:w="11900" w:h="16838" w:orient="portrait"/>
          <w:cols w:equalWidth="0" w:num="1">
            <w:col w:w="11240"/>
          </w:cols>
          <w:pgMar w:left="320" w:top="117"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pension plans with accumulated benefit obligations and projected benefit obligations in excess of plan assets were as follows:</w:t>
      </w:r>
    </w:p>
    <w:p>
      <w:pPr>
        <w:spacing w:after="0" w:line="3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2056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55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Non-U.S. pension plans with accumulated benefit obligations in excess of plan assets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8"/>
        </w:trPr>
        <w:tc>
          <w:tcPr>
            <w:tcW w:w="74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54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Non-U.S. pension plans with projected benefit obligations in excess of plan assets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8"/>
        </w:trPr>
        <w:tc>
          <w:tcPr>
            <w:tcW w:w="7420" w:type="dxa"/>
            <w:vAlign w:val="bottom"/>
            <w:vMerge w:val="continue"/>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02056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05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02056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056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02056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05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02056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05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02056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2021</w:t>
      </w:r>
    </w:p>
    <w:p>
      <w:pPr>
        <w:spacing w:after="0" w:line="36" w:lineRule="exact"/>
        <w:rPr>
          <w:sz w:val="20"/>
          <w:szCs w:val="20"/>
          <w:color w:val="auto"/>
        </w:rPr>
      </w:pPr>
    </w:p>
    <w:p>
      <w:pPr>
        <w:ind w:left="929" w:hanging="929"/>
        <w:spacing w:after="0"/>
        <w:tabs>
          <w:tab w:leader="none" w:pos="9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w:t>
      </w:r>
    </w:p>
    <w:p>
      <w:pPr>
        <w:spacing w:after="0" w:line="27" w:lineRule="exact"/>
        <w:rPr>
          <w:rFonts w:ascii="Times New Roman" w:cs="Times New Roman" w:eastAsia="Times New Roman" w:hAnsi="Times New Roman"/>
          <w:sz w:val="18"/>
          <w:szCs w:val="18"/>
          <w:color w:val="auto"/>
        </w:rPr>
      </w:pPr>
    </w:p>
    <w:p>
      <w:pPr>
        <w:ind w:left="9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1,361</w:t>
      </w:r>
    </w:p>
    <w:p>
      <w:pPr>
        <w:spacing w:after="0" w:line="22" w:lineRule="exact"/>
        <w:rPr>
          <w:rFonts w:ascii="Times New Roman" w:cs="Times New Roman" w:eastAsia="Times New Roman" w:hAnsi="Times New Roman"/>
          <w:sz w:val="18"/>
          <w:szCs w:val="18"/>
          <w:color w:val="auto"/>
        </w:rPr>
      </w:pPr>
    </w:p>
    <w:p>
      <w:pPr>
        <w:ind w:left="9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1,177</w:t>
      </w:r>
    </w:p>
    <w:p>
      <w:pPr>
        <w:spacing w:after="0" w:line="200" w:lineRule="exact"/>
        <w:rPr>
          <w:sz w:val="20"/>
          <w:szCs w:val="20"/>
          <w:color w:val="auto"/>
        </w:rPr>
      </w:pPr>
    </w:p>
    <w:p>
      <w:pPr>
        <w:spacing w:after="0" w:line="398"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2021</w:t>
      </w:r>
    </w:p>
    <w:p>
      <w:pPr>
        <w:spacing w:after="0" w:line="36" w:lineRule="exact"/>
        <w:rPr>
          <w:sz w:val="20"/>
          <w:szCs w:val="20"/>
          <w:color w:val="auto"/>
        </w:rPr>
      </w:pPr>
    </w:p>
    <w:p>
      <w:pPr>
        <w:ind w:left="1069" w:hanging="1069"/>
        <w:spacing w:after="0"/>
        <w:tabs>
          <w:tab w:leader="none" w:pos="10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w:t>
      </w:r>
    </w:p>
    <w:p>
      <w:pPr>
        <w:spacing w:after="0" w:line="22"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w:t>
      </w:r>
    </w:p>
    <w:p>
      <w:pPr>
        <w:spacing w:after="0" w:line="200" w:lineRule="exact"/>
        <w:rPr>
          <w:sz w:val="20"/>
          <w:szCs w:val="20"/>
          <w:color w:val="auto"/>
        </w:rPr>
      </w:pPr>
    </w:p>
    <w:p>
      <w:pPr>
        <w:spacing w:after="0" w:line="385" w:lineRule="exact"/>
        <w:rPr>
          <w:sz w:val="20"/>
          <w:szCs w:val="20"/>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2021</w:t>
      </w:r>
    </w:p>
    <w:p>
      <w:pPr>
        <w:spacing w:after="0" w:line="36" w:lineRule="exact"/>
        <w:rPr>
          <w:sz w:val="20"/>
          <w:szCs w:val="20"/>
          <w:color w:val="auto"/>
        </w:rPr>
      </w:pPr>
    </w:p>
    <w:p>
      <w:pPr>
        <w:ind w:left="1069" w:hanging="1069"/>
        <w:spacing w:after="0"/>
        <w:tabs>
          <w:tab w:leader="none" w:pos="10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w:t>
      </w:r>
    </w:p>
    <w:p>
      <w:pPr>
        <w:spacing w:after="0" w:line="22"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w:t>
      </w:r>
    </w:p>
    <w:p>
      <w:pPr>
        <w:spacing w:after="0" w:line="222" w:lineRule="exact"/>
        <w:rPr>
          <w:sz w:val="20"/>
          <w:szCs w:val="20"/>
          <w:color w:val="auto"/>
        </w:rPr>
      </w:pPr>
    </w:p>
    <w:p>
      <w:pPr>
        <w:sectPr>
          <w:pgSz w:w="11900" w:h="16838" w:orient="portrait"/>
          <w:cols w:equalWidth="0" w:num="2">
            <w:col w:w="9420" w:space="231"/>
            <w:col w:w="1589"/>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The strategic ranges for asset allocation in the U.S. plans are as follows:</w:t>
            </w: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equities</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equities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Balanced funds</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 Investments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2 Investments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 Investments</w:t>
      </w:r>
    </w:p>
    <w:p>
      <w:pPr>
        <w:spacing w:after="0" w:line="2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 Measured Using NAV per Share Practical Expedient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measured using NAV per share as a practical expedient include investment funds that invest in global equity, emerging markets and fixed income. The global equity funds invest in equity securities of various market sectors including industrial materials, consumer discretionary goods and services, financial infrastructure, technology, and health care. The emerging markets funds invest in equity markets within financial services, consumer goods and services, energy, and technology.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2022 and 2021 are summarized in the tables below: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3</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auto"/>
              </w:rPr>
              <w:t>U.S. plan</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Non-U.S. plan</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assets</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assets</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9"/>
              </w:rPr>
              <w:t>Level 1</w:t>
            </w:r>
          </w:p>
        </w:tc>
        <w:tc>
          <w:tcPr>
            <w:tcW w:w="37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large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large cap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mid/small cap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 – U.S. equity</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169"/>
        </w:trPr>
        <w:tc>
          <w:tcPr>
            <w:tcW w:w="20" w:type="dxa"/>
            <w:vAlign w:val="bottom"/>
          </w:tcPr>
          <w:p>
            <w:pPr>
              <w:spacing w:after="0"/>
              <w:rPr>
                <w:sz w:val="14"/>
                <w:szCs w:val="14"/>
                <w:color w:val="auto"/>
              </w:rPr>
            </w:pPr>
          </w:p>
        </w:tc>
        <w:tc>
          <w:tcPr>
            <w:tcW w:w="43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Level 2</w:t>
            </w: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issued debt securities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33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Level 3</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 direct</w:t>
            </w:r>
          </w:p>
        </w:tc>
        <w:tc>
          <w:tcPr>
            <w:tcW w:w="2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assets in fair value hierarchy</w:t>
            </w:r>
          </w:p>
        </w:tc>
        <w:tc>
          <w:tcPr>
            <w:tcW w:w="2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196"/>
        </w:trPr>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3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Investments measured at NAV Practical Expedient (a)</w:t>
            </w:r>
          </w:p>
        </w:tc>
        <w:tc>
          <w:tcPr>
            <w:tcW w:w="2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20" w:type="dxa"/>
            <w:vAlign w:val="bottom"/>
          </w:tcPr>
          <w:p>
            <w:pPr>
              <w:spacing w:after="0"/>
              <w:rPr>
                <w:sz w:val="19"/>
                <w:szCs w:val="19"/>
                <w:color w:val="auto"/>
              </w:rPr>
            </w:pPr>
          </w:p>
        </w:tc>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2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2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Certain investments that are measured at fair value using the NAV per share practical expedient have not been classified in the fair value hierarchy.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income excluded from the tables above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 assets</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plan assets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include $265 and $357 of the Company’s common stock at December 31, 2022 and 2021.</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69"/>
        </w:trPr>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reconcile the beginning and ending balances of plan assets measured using significant unobservable inputs (Level 3).</w:t>
            </w:r>
          </w:p>
        </w:tc>
        <w:tc>
          <w:tcPr>
            <w:tcW w:w="1060" w:type="dxa"/>
            <w:vAlign w:val="bottom"/>
          </w:tcPr>
          <w:p>
            <w:pPr>
              <w:spacing w:after="0"/>
              <w:rPr>
                <w:sz w:val="24"/>
                <w:szCs w:val="24"/>
                <w:color w:val="auto"/>
              </w:rPr>
            </w:pPr>
          </w:p>
        </w:tc>
      </w:tr>
      <w:tr>
        <w:trPr>
          <w:trHeight w:val="203"/>
        </w:trPr>
        <w:tc>
          <w:tcPr>
            <w:tcW w:w="4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Hedge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Private</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color w:val="auto"/>
              </w:rPr>
              <w:t>Real</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4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funds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estate</w:t>
            </w:r>
          </w:p>
        </w:tc>
        <w:tc>
          <w:tcPr>
            <w:tcW w:w="32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4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14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returns – assets held at reporting date</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returns – assets sold during the period</w:t>
            </w:r>
          </w:p>
        </w:tc>
        <w:tc>
          <w:tcPr>
            <w:tcW w:w="1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 net</w:t>
            </w: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pension plan assets valued using net asset value as a practical expedient:</w:t>
      </w:r>
    </w:p>
    <w:p>
      <w:pPr>
        <w:spacing w:after="0" w:line="3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Redemption Notice</w:t>
      </w:r>
    </w:p>
    <w:tbl>
      <w:tblPr>
        <w:tblLayout w:type="fixed"/>
        <w:tblInd w:w="0" w:type="dxa"/>
        <w:tblCellMar>
          <w:top w:w="0" w:type="dxa"/>
          <w:left w:w="0" w:type="dxa"/>
          <w:bottom w:w="0" w:type="dxa"/>
          <w:right w:w="0" w:type="dxa"/>
        </w:tblCellMar>
      </w:tblPr>
      <w:tr>
        <w:trPr>
          <w:trHeight w:val="228"/>
        </w:trPr>
        <w:tc>
          <w:tcPr>
            <w:tcW w:w="3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4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Redemption Frequency</w:t>
            </w: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Period</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1- 5 days</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real estate</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03"/>
        </w:trPr>
        <w:tc>
          <w:tcPr>
            <w:tcW w:w="3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fixed income</w:t>
            </w:r>
          </w:p>
        </w:tc>
        <w:tc>
          <w:tcPr>
            <w:tcW w:w="16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Semi-monthly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1- 5 days</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funds – global equity</w:t>
            </w:r>
          </w:p>
        </w:tc>
        <w:tc>
          <w:tcPr>
            <w:tcW w:w="16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days</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funds – emerging markets</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Daily</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days</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pension plan assets valued using net asset value as a practical expedient do not have any unfunded commitments.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assets and liabilities included in the Consolidated Balance Sheets were:</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7"/>
        </w:trPr>
        <w:tc>
          <w:tcPr>
            <w:tcW w:w="76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current liability at December 31, 2022, represents the expected required payments to be made for unfunded plans over the next twelve months. Total estimated 2023 employer contributions are $16 for the Company’s pension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Changes in the net loss and prior service cost (credit) for the Company’s pension plans were: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4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900" w:type="dxa"/>
            <w:vAlign w:val="bottom"/>
            <w:tcBorders>
              <w:bottom w:val="single" w:sz="8" w:color="auto"/>
            </w:tcBorders>
          </w:tcPr>
          <w:p>
            <w:pPr>
              <w:spacing w:after="0"/>
              <w:rPr>
                <w:sz w:val="22"/>
                <w:szCs w:val="22"/>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Prior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Prior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r>
      <w:tr>
        <w:trPr>
          <w:trHeight w:val="243"/>
        </w:trPr>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service</w:t>
            </w:r>
          </w:p>
        </w:tc>
        <w:tc>
          <w:tcPr>
            <w:tcW w:w="18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service</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loss / (gain)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benefit payments as of December 31, 2022 are:</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U.S.</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Non-U.S.</w:t>
            </w:r>
          </w:p>
        </w:tc>
      </w:tr>
      <w:tr>
        <w:trPr>
          <w:trHeight w:val="239"/>
        </w:trPr>
        <w:tc>
          <w:tcPr>
            <w:tcW w:w="43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plans</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plans</w:t>
            </w:r>
          </w:p>
        </w:tc>
      </w:tr>
      <w:tr>
        <w:trPr>
          <w:trHeight w:val="227"/>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2028 - 2032</w:t>
            </w: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the benefit obligations at December 31 were:</w:t>
            </w: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18"/>
                <w:szCs w:val="18"/>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24"/>
                <w:szCs w:val="2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40" w:type="dxa"/>
            <w:vAlign w:val="bottom"/>
          </w:tcPr>
          <w:p>
            <w:pPr>
              <w:spacing w:after="0"/>
              <w:rPr>
                <w:sz w:val="20"/>
                <w:szCs w:val="20"/>
                <w:color w:val="auto"/>
              </w:rPr>
            </w:pPr>
          </w:p>
        </w:tc>
      </w:tr>
      <w:tr>
        <w:trPr>
          <w:trHeight w:val="549"/>
        </w:trPr>
        <w:tc>
          <w:tcPr>
            <w:tcW w:w="78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weighted average actuarial assumptions used to calculate pension expense for each year were:</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U.S. Plans</w:t>
            </w: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Long-term rate of return</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4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Non-U.S. Plans</w:t>
            </w: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 - service cost</w:t>
            </w: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Discount rate - interest cost</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6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increase</w:t>
            </w: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Long-term rate of return</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60" w:type="dxa"/>
            <w:vAlign w:val="bottom"/>
          </w:tcPr>
          <w:p>
            <w:pPr>
              <w:spacing w:after="0"/>
              <w:rPr>
                <w:sz w:val="20"/>
                <w:szCs w:val="20"/>
                <w:color w:val="auto"/>
              </w:rPr>
            </w:pP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 Plans. </w:t>
      </w:r>
      <w:r>
        <w:rPr>
          <w:rFonts w:ascii="Times New Roman" w:cs="Times New Roman" w:eastAsia="Times New Roman" w:hAnsi="Times New Roman"/>
          <w:sz w:val="18"/>
          <w:szCs w:val="18"/>
          <w:color w:val="auto"/>
        </w:rPr>
        <w:t>The Company sponsors unfunded plans to provide health care and life insurance benefits to certain retirees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credit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benefit obligations were: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(gain) / loss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gridSpan w:val="3"/>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9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Changes in the net (gain)/ loss and prior service credit for the Company’s postretirement benefit plans were:</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Net (gain) /</w:t>
            </w:r>
          </w:p>
        </w:tc>
        <w:tc>
          <w:tcPr>
            <w:tcW w:w="200" w:type="dxa"/>
            <w:vAlign w:val="bottom"/>
          </w:tcPr>
          <w:p>
            <w:pPr>
              <w:spacing w:after="0"/>
              <w:rPr>
                <w:sz w:val="14"/>
                <w:szCs w:val="14"/>
                <w:color w:val="auto"/>
              </w:rPr>
            </w:pPr>
          </w:p>
        </w:tc>
        <w:tc>
          <w:tcPr>
            <w:tcW w:w="920" w:type="dxa"/>
            <w:vAlign w:val="bottom"/>
            <w:gridSpan w:val="2"/>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8"/>
                <w:szCs w:val="18"/>
                <w:color w:val="auto"/>
              </w:rPr>
              <w:t>Net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Prior</w:t>
            </w:r>
          </w:p>
        </w:tc>
        <w:tc>
          <w:tcPr>
            <w:tcW w:w="120" w:type="dxa"/>
            <w:vAlign w:val="bottom"/>
          </w:tcPr>
          <w:p>
            <w:pPr>
              <w:spacing w:after="0"/>
              <w:rPr>
                <w:sz w:val="14"/>
                <w:szCs w:val="14"/>
                <w:color w:val="auto"/>
              </w:rPr>
            </w:pPr>
          </w:p>
        </w:tc>
        <w:tc>
          <w:tcPr>
            <w:tcW w:w="760" w:type="dxa"/>
            <w:vAlign w:val="bottom"/>
            <w:gridSpan w:val="4"/>
          </w:tcPr>
          <w:p>
            <w:pPr>
              <w:ind w:left="400"/>
              <w:spacing w:after="0" w:line="169" w:lineRule="exact"/>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290"/>
              <w:spacing w:after="0" w:line="169" w:lineRule="exact"/>
              <w:rPr>
                <w:sz w:val="20"/>
                <w:szCs w:val="20"/>
                <w:color w:val="auto"/>
              </w:rPr>
            </w:pPr>
            <w:r>
              <w:rPr>
                <w:rFonts w:ascii="Times New Roman" w:cs="Times New Roman" w:eastAsia="Times New Roman" w:hAnsi="Times New Roman"/>
                <w:sz w:val="18"/>
                <w:szCs w:val="18"/>
                <w:color w:val="auto"/>
              </w:rPr>
              <w:t>Prior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Pr>
          <w:p>
            <w:pPr>
              <w:spacing w:after="0"/>
              <w:rPr>
                <w:sz w:val="20"/>
                <w:szCs w:val="20"/>
                <w:color w:val="auto"/>
              </w:rPr>
            </w:pP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service</w:t>
            </w:r>
          </w:p>
        </w:tc>
        <w:tc>
          <w:tcPr>
            <w:tcW w:w="7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27"/>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to net periodic benefit cost</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(gain) / loss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Expected future benefit payments are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0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Benefit Payments</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assumed health care cost trend rates at December 31, 2022 were as follows: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2022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that the cost trend rate gradually declines to</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rate it is assumed to remain</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4"/>
        </w:trPr>
        <w:tc>
          <w:tcPr>
            <w:tcW w:w="10340" w:type="dxa"/>
            <w:vAlign w:val="bottom"/>
            <w:gridSpan w:val="26"/>
          </w:tcPr>
          <w:p>
            <w:pPr>
              <w:spacing w:after="0"/>
              <w:rPr>
                <w:sz w:val="20"/>
                <w:szCs w:val="20"/>
                <w:color w:val="auto"/>
              </w:rPr>
            </w:pPr>
            <w:r>
              <w:rPr>
                <w:rFonts w:ascii="Times New Roman" w:cs="Times New Roman" w:eastAsia="Times New Roman" w:hAnsi="Times New Roman"/>
                <w:sz w:val="18"/>
                <w:szCs w:val="18"/>
                <w:color w:val="auto"/>
                <w:w w:val="99"/>
              </w:rPr>
              <w:t>Weighted average discount rates used to calculate the benefit obligations at the end of each year and the cost for each year are presented below:</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2022</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5.9 %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Defined Contribution Benefit Plans. </w:t>
      </w:r>
      <w:r>
        <w:rPr>
          <w:rFonts w:ascii="Times New Roman" w:cs="Times New Roman" w:eastAsia="Times New Roman" w:hAnsi="Times New Roman"/>
          <w:sz w:val="18"/>
          <w:szCs w:val="18"/>
          <w:color w:val="auto"/>
        </w:rPr>
        <w:t>The Company also sponsors defined contribution benefit plans in certain jurisdictions including the 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The Company recognized expense of $13, $12, and $13 in 2022, 2021 and 2020 related to these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  Income Taxes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U.S. statutory federal income tax rate to pre-tax income as a result of the following items: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rate at 21%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foreign income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taxes on foreign income, net of credits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contingencies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law changes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 (benefit)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benefits from certain incentives in Brazil which allow it to pay reduced income taxes. The incentives expire at various dates beginning in December 2025. These incentives increased net income attributable to the Company by $21 in 2022 and 2021 and $17 in 2020.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taxes of $223, $253 and $189 in 2022, 2021 and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taxes on foreign income includes income tax charges of $11 for the sale of the Company's Transit Packaging segment's Kiwiplan business in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year-ended December 31, 2022, the Company recorded a deferred tax asset of $21 for goodwill amortization and net operating loss carryforwards in Switzerland. The Company believes that it is more likely than not that these deferred tax assets will not be utilized prior to their expiration and has recorded a full valuation allowance.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8, 2022, Pennsylvania enacted a corporate net income tax rate reduction over a nine year period. The income tax rate for the 2022 and 2023 tax years are 9.99% and 8.99%, respectively. Starting with the 2024 tax year, the income tax rate is reduced by 0.50% annually until it reaches 4.99% for the 2031 tax year. The remeasurement of the Company's deferred taxes had a $78 impact on the Company's state net operating loss carryforward and corresponding valuation allowance.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2021, tax on foreign income includes income tax charges of $42 in continuing operations for reorganizations and other transactions required to prepare the European Tinplate business for sale. Additionally, the Company recorded an income tax charge of $44 to establish a valuation allowance for deferred tax assets related to tax loss carryforwards in France. The Company believes that it is more likely than not that these tax loss carryforwards will not be utilized after the sale of the European Tinplate business.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the Company also recorded a tax benefit of $18 related to a deferred tax valuation allowance release resulting from improved profitability in a Transit Packaging corporate entity. Additionally, the Company also recorded income tax benefits related to tax law changes in India, Turkey and the U.K.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not provided deferred taxes on approximately $1,700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at December 31 were: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2021</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Liabilities</w:t>
            </w: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Asbestos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and postemployment benefits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Tax carryforwards expire as follows:</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5"/>
              </w:rPr>
              <w:t>Year</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Unlimited</w:t>
            </w: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 carryforwards expiring after 2027 include $54 of U.S. state tax loss carryforwards. The unlimited category includes $33 of Luxembourg tax loss carryforwards and $68 of French tax loss carryforwards.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valuation allowances at December 31, 2022 include $84 primarily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dates, limitations imposed by certain states on the amount of loss carryforwards that can be used in a given year to offset taxable income and whether the state permits the Company to file a combined return.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estimate of the appropriate valuation allowance in any jurisdiction involves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unrecognized tax benefits follows:</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7"/>
        </w:trPr>
        <w:tc>
          <w:tcPr>
            <w:tcW w:w="60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include potential liabilities related to transfer pricing, foreign withholding taxes, and non-deductibility of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interest and penalties recorded in income tax expense was less than $1 in 2022, 2021 and 2020. As of December 31, 2022, unrecognized tax benefits of $46, if recognized, would affect the Company's effective tax rate.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tax years that remained subject to examination by major tax jurisdictions as of December 31, 2022 were, 2010 and subsequent years for Germany; 2013 and subsequent years for India; 2016 and subsequent years for Italy and the U.K.; 2017 and subsequent years for Mexico; 2018 and subsequent years for Spain, France, Brazil and Canada; and 2019 and subsequent years for the U.S. The U.S. also remains subject to exam for 2017 and 2018, specifically as it relates to the transition tax incurred related to the 2017 Tax Act. In addition, tax authorities in certain jurisdictions, including France, Belgium and the U.S., may examine earlier years when tax carryforwards that were generated in those years are subsequently utilized.</w:t>
      </w:r>
    </w:p>
    <w:p>
      <w:pPr>
        <w:spacing w:after="0" w:line="22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common share activity for the years ended December 31 follows (in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January 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126,131,799</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134,801,030</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135,577,878</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(6,574,610)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(9,121,328)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(1,240,328)</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issued to employees, net of forfeitures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370,178</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435,129</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439,700</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non-employee directors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4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23,780</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at December 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119,945,302</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126,131,799</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134,801,030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declared and paid dividends of $0.88 per share in 2022. Additionally, on February 23, 2023, the Company's Board of Directors declared a dividend of $0.24 per share payable on March 23, 2023, to shareholders of record as of March 9, 2023.</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uses the par value method of accounting for its stock repurchases.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excess of the fair value over par value is first charged to paid-in capital, if any, and then to retained earnings. The Company repurchased $722 of its shares during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are payable when declared by the Company's Board of Directors and in accordance with the restrictions set forth in the Company's debt agreements. While the Company's debt agreements impose restrictions on the Company's ability to pay dividends and repurchase common stock, the debt agreements generally permit dividends and common stock repurchases provided that the Company is in compliance with applicable financial and other covenants and meets certain liquidity requirements.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 Accumulated Other Comprehensive Loss Attributable to Crown Holdings</w:t>
      </w:r>
    </w:p>
    <w:p>
      <w:pPr>
        <w:spacing w:after="0" w:line="25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 (loss) for the years ended December 31, 2022 and 2021.</w:t>
      </w:r>
    </w:p>
    <w:tbl>
      <w:tblPr>
        <w:tblLayout w:type="fixed"/>
        <w:tblInd w:w="0" w:type="dxa"/>
        <w:tblCellMar>
          <w:top w:w="0" w:type="dxa"/>
          <w:left w:w="0" w:type="dxa"/>
          <w:bottom w:w="0" w:type="dxa"/>
          <w:right w:w="0" w:type="dxa"/>
        </w:tblCellMar>
      </w:tblPr>
      <w:tr>
        <w:trPr>
          <w:trHeight w:val="182"/>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120" w:type="dxa"/>
            <w:vAlign w:val="bottom"/>
          </w:tcPr>
          <w:p>
            <w:pPr>
              <w:spacing w:after="0"/>
              <w:rPr>
                <w:sz w:val="15"/>
                <w:szCs w:val="15"/>
                <w:color w:val="auto"/>
              </w:rPr>
            </w:pPr>
          </w:p>
        </w:tc>
        <w:tc>
          <w:tcPr>
            <w:tcW w:w="1200" w:type="dxa"/>
            <w:vAlign w:val="bottom"/>
            <w:gridSpan w:val="2"/>
          </w:tcPr>
          <w:p>
            <w:pPr>
              <w:jc w:val="center"/>
              <w:ind w:right="320"/>
              <w:spacing w:after="0" w:line="182" w:lineRule="exact"/>
              <w:rPr>
                <w:sz w:val="20"/>
                <w:szCs w:val="20"/>
                <w:color w:val="auto"/>
              </w:rPr>
            </w:pPr>
            <w:r>
              <w:rPr>
                <w:rFonts w:ascii="Times New Roman" w:cs="Times New Roman" w:eastAsia="Times New Roman" w:hAnsi="Times New Roman"/>
                <w:sz w:val="18"/>
                <w:szCs w:val="18"/>
                <w:color w:val="auto"/>
                <w:w w:val="99"/>
              </w:rPr>
              <w:t>Gains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1320" w:type="dxa"/>
            <w:vAlign w:val="bottom"/>
            <w:gridSpan w:val="3"/>
          </w:tcPr>
          <w:p>
            <w:pPr>
              <w:jc w:val="center"/>
              <w:ind w:right="180"/>
              <w:spacing w:after="0" w:line="176" w:lineRule="exact"/>
              <w:rPr>
                <w:sz w:val="20"/>
                <w:szCs w:val="20"/>
                <w:color w:val="auto"/>
              </w:rPr>
            </w:pPr>
            <w:r>
              <w:rPr>
                <w:rFonts w:ascii="Times New Roman" w:cs="Times New Roman" w:eastAsia="Times New Roman" w:hAnsi="Times New Roman"/>
                <w:sz w:val="18"/>
                <w:szCs w:val="18"/>
                <w:color w:val="auto"/>
                <w:w w:val="99"/>
              </w:rPr>
              <w:t>losses on cash</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tcPr>
          <w:p>
            <w:pPr>
              <w:spacing w:after="0"/>
              <w:rPr>
                <w:sz w:val="21"/>
                <w:szCs w:val="21"/>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benefit plans</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flow hedges</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 income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 income before reclassifications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details of amounts reclassified from accumulated other comprehensive income related to cash flow hedges and defined benefit plans.</w:t>
      </w:r>
    </w:p>
    <w:p>
      <w:pPr>
        <w:spacing w:after="0" w:line="17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During the year-ended December 31, 2021, the Company reclassified $553 of foreign currency translation as a result of the sale of the European Tinplate business.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Company recognized revenue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Y</w:t>
      </w:r>
      <w:r>
        <w:rPr>
          <w:rFonts w:ascii="Times New Roman" w:cs="Times New Roman" w:eastAsia="Times New Roman" w:hAnsi="Times New Roman"/>
          <w:sz w:val="18"/>
          <w:szCs w:val="18"/>
          <w:color w:val="auto"/>
        </w:rPr>
        <w:t xml:space="preserve"> for further disaggregation of the Company's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$18 and $23 as of December 31, 2022 and 2021 included in prepaid and other current assets. For the year ended December 31, 2022, the Company satisfied performance obligations related to contract assets at December 31, 2021 related to the Company's equipment business and also recorded new contract assets primarily related to work in process for the equipment business.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W. Stock-Based Compensation</w:t>
      </w:r>
    </w:p>
    <w:p>
      <w:pPr>
        <w:spacing w:after="0" w:line="256"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In April 2022, the Company's shareholders approved the 2022 Stock-Based Incentive Plan (the "Plan") which allowed for a total of 2.8 million shares to be issued under future awards. At December 31, 2022, there were 4.6 million authorized shares available for future awards.</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Restricted and Deferred Stock</w:t>
      </w:r>
    </w:p>
    <w:p>
      <w:pPr>
        <w:spacing w:after="0" w:line="252"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Annually, the Company awards shares of restricted stock to certain senior executives in the form of time-vesting restricted stock and performance-based shares. The time-vesting restricted stock vests ratably over three years.</w:t>
      </w:r>
    </w:p>
    <w:p>
      <w:pPr>
        <w:spacing w:after="0" w:line="18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207"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disability, death or, subject to Company approval, retirement, receive accelerated vesting of their service condition to the date of termination and, if approved, performance restrictions laps on the original vesting date.</w:t>
      </w:r>
    </w:p>
    <w:p>
      <w:pPr>
        <w:spacing w:after="0" w:line="207"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also issues shares of time-vesting restricted stock to U.S. employees and deferred stock to non-U.S. employees which vest ratably over three to five years.</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and deferred stock activity follows:</w:t>
            </w:r>
          </w:p>
        </w:tc>
        <w:tc>
          <w:tcPr>
            <w:tcW w:w="1760" w:type="dxa"/>
            <w:vAlign w:val="bottom"/>
          </w:tcPr>
          <w:p>
            <w:pPr>
              <w:spacing w:after="0"/>
              <w:rPr>
                <w:sz w:val="20"/>
                <w:szCs w:val="20"/>
                <w:color w:val="auto"/>
              </w:rPr>
            </w:pPr>
          </w:p>
        </w:tc>
      </w:tr>
      <w:tr>
        <w:trPr>
          <w:trHeight w:val="256"/>
        </w:trPr>
        <w:tc>
          <w:tcPr>
            <w:tcW w:w="926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January 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1,284,206</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760" w:type="dxa"/>
            <w:vAlign w:val="bottom"/>
          </w:tcPr>
          <w:p>
            <w:pPr>
              <w:spacing w:after="0"/>
              <w:rPr>
                <w:sz w:val="19"/>
                <w:szCs w:val="19"/>
                <w:color w:val="auto"/>
              </w:rPr>
            </w:pPr>
          </w:p>
        </w:tc>
      </w:tr>
      <w:tr>
        <w:trPr>
          <w:trHeight w:val="230"/>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190,442</w:t>
            </w:r>
          </w:p>
        </w:tc>
      </w:tr>
      <w:tr>
        <w:trPr>
          <w:trHeight w:val="229"/>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207,212</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760" w:type="dxa"/>
            <w:vAlign w:val="bottom"/>
            <w:shd w:val="clear" w:color="auto" w:fill="CCEEFF"/>
          </w:tcPr>
          <w:p>
            <w:pPr>
              <w:spacing w:after="0"/>
              <w:rPr>
                <w:sz w:val="19"/>
                <w:szCs w:val="19"/>
                <w:color w:val="auto"/>
              </w:rPr>
            </w:pPr>
          </w:p>
        </w:tc>
      </w:tr>
      <w:tr>
        <w:trPr>
          <w:trHeight w:val="230"/>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(348,062)</w:t>
            </w:r>
          </w:p>
        </w:tc>
      </w:tr>
      <w:tr>
        <w:trPr>
          <w:trHeight w:val="230"/>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(305,492)</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60" w:type="dxa"/>
            <w:vAlign w:val="bottom"/>
          </w:tcPr>
          <w:p>
            <w:pPr>
              <w:spacing w:after="0"/>
              <w:rPr>
                <w:sz w:val="19"/>
                <w:szCs w:val="19"/>
                <w:color w:val="auto"/>
              </w:rPr>
            </w:pPr>
          </w:p>
        </w:tc>
      </w:tr>
      <w:tr>
        <w:trPr>
          <w:trHeight w:val="230"/>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Time-vesting</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(73,188)</w:t>
            </w:r>
          </w:p>
        </w:tc>
      </w:tr>
      <w:tr>
        <w:trPr>
          <w:trHeight w:val="230"/>
        </w:trPr>
        <w:tc>
          <w:tcPr>
            <w:tcW w:w="9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outstanding at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942,835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grant-date fair value of restricted stock awarded in 2022, 2021 and 2020 follows:</w:t>
      </w:r>
    </w:p>
    <w:p>
      <w:pPr>
        <w:sectPr>
          <w:pgSz w:w="11900" w:h="16838" w:orient="portrait"/>
          <w:cols w:equalWidth="0" w:num="1">
            <w:col w:w="11320"/>
          </w:cols>
          <w:pgMar w:left="2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810"/>
        </w:trPr>
        <w:tc>
          <w:tcPr>
            <w:tcW w:w="31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Time-vesting</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bl>
    <w:p>
      <w:pPr>
        <w:spacing w:after="0" w:line="314" w:lineRule="exact"/>
        <w:rPr>
          <w:sz w:val="20"/>
          <w:szCs w:val="20"/>
          <w:color w:val="auto"/>
        </w:rPr>
      </w:pPr>
    </w:p>
    <w:p>
      <w:pPr>
        <w:ind w:left="80" w:right="220"/>
        <w:spacing w:after="0" w:line="273" w:lineRule="auto"/>
        <w:rPr>
          <w:sz w:val="20"/>
          <w:szCs w:val="20"/>
          <w:color w:val="auto"/>
        </w:rPr>
      </w:pPr>
      <w:r>
        <w:rPr>
          <w:rFonts w:ascii="Times New Roman" w:cs="Times New Roman" w:eastAsia="Times New Roman" w:hAnsi="Times New Roman"/>
          <w:sz w:val="18"/>
          <w:szCs w:val="18"/>
          <w:color w:val="auto"/>
        </w:rPr>
        <w:t>The fair values of the performance-based awards that include a market condition were calculated using a Monte Carlo valuation model and the following weighted average assumptions:</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2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306"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At December 31, 2022, unrecognized compensation cost related to outstanding restricted and deferred stock was $42. The weighted average period over which the expense is expected to be recognized is 2.0 years. The aggregate market value of the shares released on the vesting dates was $70 in 2022.</w:t>
      </w:r>
    </w:p>
    <w:p>
      <w:pPr>
        <w:spacing w:after="0" w:line="200" w:lineRule="exact"/>
        <w:rPr>
          <w:sz w:val="20"/>
          <w:szCs w:val="20"/>
          <w:color w:val="auto"/>
        </w:rPr>
      </w:pPr>
    </w:p>
    <w:p>
      <w:pPr>
        <w:spacing w:after="0" w:line="228" w:lineRule="exact"/>
        <w:rPr>
          <w:sz w:val="20"/>
          <w:szCs w:val="20"/>
          <w:color w:val="auto"/>
        </w:rPr>
      </w:pPr>
    </w:p>
    <w:p>
      <w:pPr>
        <w:ind w:left="8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stock options and restricted stock, when dilutive, as calculated under the treasury stock method.</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from continuing operations attributable to Crown Holdings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 (loss) from discontinued operations attributable to Crown Holdings</w:t>
            </w:r>
          </w:p>
        </w:tc>
        <w:tc>
          <w:tcPr>
            <w:tcW w:w="2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(loss) attributable to Crown Holdings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dilutive stock options and restricted stock</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Crown Holdings: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continuing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 (loss) per common share from discontinued operations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 (loss) per common share from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 (loss) per share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1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Contingently issuable shares excluded from the computation of diluted earnings per</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because the effect would have been anti-dilutive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1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is generally organized by product line and geography. The Company has determined that it has the following reportable segments: Americas Beverage, European Beverage, Asia Pacific and Transit Packaging. Other includes the Company's food can, aerosol can and closures businesses in North America, and beverage tooling and equipment operations in the U.S. and U.K.</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Segment income, which is not a defined term under GAAP, is defined by the Company as income from operations adjusted to exclude intangibles amortization charges, Restructuring and other, net and the impact of fair value adjustments related to inventory acquired in an acquisition. Segment income should not be considered in isolation or as a substitute for net income data prepared in accordance with GAAP and may not be comparable to calculations of similarly titled measures by other companies.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operating segments reported as continuing operations for the three years ended December 31, 2022, 2021 and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6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Inter-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External</w:t>
            </w:r>
          </w:p>
        </w:tc>
        <w:tc>
          <w:tcPr>
            <w:tcW w:w="240" w:type="dxa"/>
            <w:vAlign w:val="bottom"/>
          </w:tcPr>
          <w:p>
            <w:pPr>
              <w:spacing w:after="0"/>
              <w:rPr>
                <w:sz w:val="21"/>
                <w:szCs w:val="21"/>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segment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Capital</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Segment</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sales</w:t>
            </w:r>
          </w:p>
        </w:tc>
        <w:tc>
          <w:tcPr>
            <w:tcW w:w="24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expenditures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income</w:t>
            </w: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0"/>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disclose total assets by segment as it is not provided to the chief operating decision maker.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sales primarily include sales of cans, ends and parts and equipment used in the manufacturing process.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technology costs, and unallocated items such as stock-based compensation.</w:t>
      </w:r>
    </w:p>
    <w:p>
      <w:pPr>
        <w:spacing w:after="0" w:line="25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for the three years ended December 31, 2022, 2021 and 2020 follows:</w:t>
      </w:r>
    </w:p>
    <w:p>
      <w:pPr>
        <w:sectPr>
          <w:pgSz w:w="11900" w:h="16838" w:orient="portrait"/>
          <w:cols w:equalWidth="0" w:num="1">
            <w:col w:w="11240"/>
          </w:cols>
          <w:pgMar w:left="320" w:top="117" w:right="339" w:bottom="1440" w:gutter="0" w:footer="0" w:header="0"/>
        </w:sectPr>
      </w:pPr>
    </w:p>
    <w:p>
      <w:pPr>
        <w:spacing w:after="0" w:line="231" w:lineRule="exact"/>
        <w:rPr>
          <w:sz w:val="20"/>
          <w:szCs w:val="20"/>
          <w:color w:val="auto"/>
        </w:rPr>
      </w:pPr>
    </w:p>
    <w:p>
      <w:pPr>
        <w:ind w:left="20" w:right="2480"/>
        <w:spacing w:after="0" w:line="276" w:lineRule="auto"/>
        <w:rPr>
          <w:sz w:val="20"/>
          <w:szCs w:val="20"/>
          <w:color w:val="auto"/>
        </w:rPr>
      </w:pPr>
      <w:r>
        <w:rPr>
          <w:rFonts w:ascii="Times New Roman" w:cs="Times New Roman" w:eastAsia="Times New Roman" w:hAnsi="Times New Roman"/>
          <w:sz w:val="18"/>
          <w:szCs w:val="18"/>
          <w:color w:val="auto"/>
        </w:rPr>
        <w:t>Segment income of reportable segments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665226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665226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from early extinguishments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5226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52260" cy="266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52260" cy="266065"/>
                    </a:xfrm>
                    <a:prstGeom prst="rect">
                      <a:avLst/>
                    </a:prstGeom>
                    <a:noFill/>
                  </pic:spPr>
                </pic:pic>
              </a:graphicData>
            </a:graphic>
          </wp:anchor>
        </w:drawing>
      </w:r>
    </w:p>
    <w:p>
      <w:pPr>
        <w:spacing w:after="0" w:line="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Income / (loss) from continuing operations before income taxes and equity in net earnings of affiliates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4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4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91"/>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460" w:type="dxa"/>
            <w:vAlign w:val="bottom"/>
          </w:tcPr>
          <w:p>
            <w:pPr>
              <w:spacing w:after="0"/>
              <w:rPr>
                <w:sz w:val="24"/>
                <w:szCs w:val="2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81"/>
        </w:trPr>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0" w:space="140"/>
            <w:col w:w="5700"/>
          </w:cols>
          <w:pgMar w:left="320" w:top="117"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years ended December 31, 2022, 2021 and 2020, intercompany profit of $19, $8 and $9 was eliminated within segment income of other.</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two customers each accounted for 12% and 11%, of the Company's consolidated net sales. For the year ended December 31, 2020 the same two customers accounted for 11% and 10%, of the Company's consolidated net sales. These customers are global beverage companies served by the Company's beverage operations in the Americas, Europe and Asia.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Sales by major product were: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55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beverage cans and ends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 food cans and 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metal packaging</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4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4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following table provides sales and long-lived asset information for the major countries in which the Company operates. Long-lived assets comprises property, plant and equipment.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Long-Lived Assets</w:t>
            </w:r>
          </w:p>
        </w:tc>
      </w:tr>
      <w:tr>
        <w:trPr>
          <w:trHeight w:val="223"/>
        </w:trPr>
        <w:tc>
          <w:tcPr>
            <w:tcW w:w="49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tcPr>
          <w:p>
            <w:pPr>
              <w:spacing w:after="0"/>
              <w:rPr>
                <w:sz w:val="19"/>
                <w:szCs w:val="19"/>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700" w:type="dxa"/>
            <w:vAlign w:val="bottom"/>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700" w:type="dxa"/>
            <w:vAlign w:val="bottom"/>
          </w:tcPr>
          <w:p>
            <w:pPr>
              <w:spacing w:after="0"/>
              <w:rPr>
                <w:sz w:val="19"/>
                <w:szCs w:val="19"/>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70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700" w:type="dxa"/>
            <w:vAlign w:val="bottom"/>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0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700" w:type="dxa"/>
            <w:vAlign w:val="bottom"/>
          </w:tcPr>
          <w:p>
            <w:pPr>
              <w:spacing w:after="0"/>
              <w:rPr>
                <w:sz w:val="19"/>
                <w:szCs w:val="19"/>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7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858"/>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6" w:lineRule="exact"/>
        <w:rPr>
          <w:sz w:val="20"/>
          <w:szCs w:val="20"/>
          <w:color w:val="auto"/>
        </w:rPr>
      </w:pPr>
    </w:p>
    <w:tbl>
      <w:tblPr>
        <w:tblLayout w:type="fixed"/>
        <w:tblInd w:w="50" w:type="dxa"/>
        <w:tblCellMar>
          <w:top w:w="0" w:type="dxa"/>
          <w:left w:w="0" w:type="dxa"/>
          <w:bottom w:w="0" w:type="dxa"/>
          <w:right w:w="0" w:type="dxa"/>
        </w:tblCellMar>
      </w:tblPr>
      <w:tr>
        <w:trPr>
          <w:trHeight w:val="203"/>
        </w:trPr>
        <w:tc>
          <w:tcPr>
            <w:tcW w:w="980" w:type="dxa"/>
            <w:vAlign w:val="bottom"/>
            <w:tcBorders>
              <w:top w:val="single" w:sz="8" w:color="auto"/>
              <w:lef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COLUMN A</w:t>
            </w:r>
          </w:p>
        </w:tc>
        <w:tc>
          <w:tcPr>
            <w:tcW w:w="212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COLUMN B</w:t>
            </w:r>
          </w:p>
        </w:tc>
        <w:tc>
          <w:tcPr>
            <w:tcW w:w="880" w:type="dxa"/>
            <w:vAlign w:val="bottom"/>
            <w:tcBorders>
              <w:top w:val="single" w:sz="8" w:color="auto"/>
            </w:tcBorders>
          </w:tcPr>
          <w:p>
            <w:pPr>
              <w:spacing w:after="0"/>
              <w:rPr>
                <w:sz w:val="17"/>
                <w:szCs w:val="17"/>
                <w:color w:val="auto"/>
              </w:rPr>
            </w:pPr>
          </w:p>
        </w:tc>
        <w:tc>
          <w:tcPr>
            <w:tcW w:w="1880" w:type="dxa"/>
            <w:vAlign w:val="bottom"/>
            <w:tcBorders>
              <w:top w:val="single" w:sz="8" w:color="auto"/>
              <w:right w:val="single" w:sz="8" w:color="auto"/>
            </w:tcBorders>
            <w:gridSpan w:val="3"/>
          </w:tcPr>
          <w:p>
            <w:pPr>
              <w:jc w:val="center"/>
              <w:ind w:right="920"/>
              <w:spacing w:after="0" w:line="202" w:lineRule="exact"/>
              <w:rPr>
                <w:sz w:val="20"/>
                <w:szCs w:val="20"/>
                <w:color w:val="auto"/>
              </w:rPr>
            </w:pPr>
            <w:r>
              <w:rPr>
                <w:rFonts w:ascii="Times New Roman" w:cs="Times New Roman" w:eastAsia="Times New Roman" w:hAnsi="Times New Roman"/>
                <w:sz w:val="18"/>
                <w:szCs w:val="18"/>
                <w:color w:val="auto"/>
              </w:rPr>
              <w:t>COLUMN C</w:t>
            </w:r>
          </w:p>
        </w:tc>
        <w:tc>
          <w:tcPr>
            <w:tcW w:w="1360" w:type="dxa"/>
            <w:vAlign w:val="bottom"/>
            <w:tcBorders>
              <w:top w:val="single" w:sz="8" w:color="auto"/>
              <w:right w:val="single" w:sz="8" w:color="auto"/>
            </w:tcBorders>
            <w:gridSpan w:val="3"/>
          </w:tcPr>
          <w:p>
            <w:pPr>
              <w:ind w:left="180"/>
              <w:spacing w:after="0" w:line="202" w:lineRule="exact"/>
              <w:rPr>
                <w:sz w:val="20"/>
                <w:szCs w:val="20"/>
                <w:color w:val="auto"/>
              </w:rPr>
            </w:pPr>
            <w:r>
              <w:rPr>
                <w:rFonts w:ascii="Times New Roman" w:cs="Times New Roman" w:eastAsia="Times New Roman" w:hAnsi="Times New Roman"/>
                <w:sz w:val="18"/>
                <w:szCs w:val="18"/>
                <w:color w:val="auto"/>
              </w:rPr>
              <w:t>COLUMN D</w:t>
            </w:r>
          </w:p>
        </w:tc>
        <w:tc>
          <w:tcPr>
            <w:tcW w:w="1260" w:type="dxa"/>
            <w:vAlign w:val="bottom"/>
            <w:tcBorders>
              <w:top w:val="single" w:sz="8" w:color="auto"/>
              <w:right w:val="single" w:sz="8" w:color="auto"/>
            </w:tcBorders>
            <w:gridSpan w:val="3"/>
          </w:tcPr>
          <w:p>
            <w:pPr>
              <w:jc w:val="center"/>
              <w:ind w:right="40"/>
              <w:spacing w:after="0" w:line="202" w:lineRule="exact"/>
              <w:rPr>
                <w:sz w:val="20"/>
                <w:szCs w:val="20"/>
                <w:color w:val="auto"/>
              </w:rPr>
            </w:pPr>
            <w:r>
              <w:rPr>
                <w:rFonts w:ascii="Times New Roman" w:cs="Times New Roman" w:eastAsia="Times New Roman" w:hAnsi="Times New Roman"/>
                <w:sz w:val="18"/>
                <w:szCs w:val="18"/>
                <w:color w:val="auto"/>
              </w:rPr>
              <w:t>COLUMN 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9"/>
              </w:rPr>
              <w:t>COLUMN F</w:t>
            </w:r>
          </w:p>
        </w:tc>
        <w:tc>
          <w:tcPr>
            <w:tcW w:w="0" w:type="dxa"/>
            <w:vAlign w:val="bottom"/>
          </w:tcPr>
          <w:p>
            <w:pPr>
              <w:spacing w:after="0"/>
              <w:rPr>
                <w:sz w:val="1"/>
                <w:szCs w:val="1"/>
                <w:color w:val="auto"/>
              </w:rPr>
            </w:pPr>
          </w:p>
        </w:tc>
      </w:tr>
      <w:tr>
        <w:trPr>
          <w:trHeight w:val="250"/>
        </w:trPr>
        <w:tc>
          <w:tcPr>
            <w:tcW w:w="980" w:type="dxa"/>
            <w:vAlign w:val="bottom"/>
            <w:tcBorders>
              <w:top w:val="single" w:sz="8" w:color="auto"/>
              <w:left w:val="single" w:sz="8" w:color="auto"/>
              <w:bottom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Borders>
              <w:bottom w:val="single" w:sz="8" w:color="auto"/>
              <w:right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80" w:type="dxa"/>
            <w:vAlign w:val="bottom"/>
            <w:tcBorders>
              <w:left w:val="single" w:sz="8" w:color="auto"/>
            </w:tcBorders>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right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Charged to costs</w:t>
            </w:r>
          </w:p>
        </w:tc>
        <w:tc>
          <w:tcPr>
            <w:tcW w:w="1380" w:type="dxa"/>
            <w:vAlign w:val="bottom"/>
            <w:tcBorders>
              <w:right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Charged to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right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Deductions</w:t>
            </w:r>
          </w:p>
        </w:tc>
        <w:tc>
          <w:tcPr>
            <w:tcW w:w="200" w:type="dxa"/>
            <w:vAlign w:val="bottom"/>
          </w:tcPr>
          <w:p>
            <w:pPr>
              <w:spacing w:after="0"/>
              <w:rPr>
                <w:sz w:val="14"/>
                <w:szCs w:val="14"/>
                <w:color w:val="auto"/>
              </w:rPr>
            </w:pPr>
          </w:p>
        </w:tc>
        <w:tc>
          <w:tcPr>
            <w:tcW w:w="116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5"/>
        </w:trPr>
        <w:tc>
          <w:tcPr>
            <w:tcW w:w="980" w:type="dxa"/>
            <w:vAlign w:val="bottom"/>
            <w:tcBorders>
              <w:lef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380" w:type="dxa"/>
            <w:vAlign w:val="bottom"/>
            <w:tcBorders>
              <w:right w:val="single" w:sz="8" w:color="auto"/>
            </w:tcBorders>
            <w:gridSpan w:val="2"/>
            <w:vMerge w:val="continue"/>
          </w:tcPr>
          <w:p>
            <w:pPr>
              <w:spacing w:after="0"/>
              <w:rPr>
                <w:sz w:val="15"/>
                <w:szCs w:val="15"/>
                <w:color w:val="auto"/>
              </w:rPr>
            </w:pPr>
          </w:p>
        </w:tc>
        <w:tc>
          <w:tcPr>
            <w:tcW w:w="138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period</w:t>
            </w: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and expense</w:t>
            </w:r>
          </w:p>
        </w:tc>
        <w:tc>
          <w:tcPr>
            <w:tcW w:w="138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other accounts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write-offs</w:t>
            </w:r>
          </w:p>
        </w:tc>
        <w:tc>
          <w:tcPr>
            <w:tcW w:w="13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end of period</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00" w:val="left"/>
          <w:tab w:leader="none" w:pos="6960" w:val="left"/>
          <w:tab w:leader="none" w:pos="8320" w:val="left"/>
          <w:tab w:leader="none" w:pos="96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80" w:val="left"/>
          <w:tab w:leader="none" w:pos="6960" w:val="left"/>
          <w:tab w:leader="none" w:pos="8320" w:val="left"/>
          <w:tab w:leader="none" w:pos="95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Allowances deducted from assets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7106285" cy="265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which they apply:</w:t>
      </w:r>
    </w:p>
    <w:p>
      <w:pPr>
        <w:spacing w:after="0" w:line="273" w:lineRule="exact"/>
        <w:rPr>
          <w:sz w:val="20"/>
          <w:szCs w:val="20"/>
          <w:color w:val="auto"/>
        </w:rPr>
      </w:pPr>
    </w:p>
    <w:p>
      <w:pPr>
        <w:ind w:left="40"/>
        <w:spacing w:after="0"/>
        <w:tabs>
          <w:tab w:leader="none" w:pos="4120" w:val="left"/>
          <w:tab w:leader="none" w:pos="5500" w:val="left"/>
          <w:tab w:leader="none" w:pos="7040" w:val="left"/>
          <w:tab w:leader="none" w:pos="8320" w:val="left"/>
          <w:tab w:leader="none" w:pos="9500" w:val="left"/>
          <w:tab w:leader="none" w:pos="10860" w:val="left"/>
        </w:tabs>
        <w:rPr>
          <w:sz w:val="20"/>
          <w:szCs w:val="20"/>
          <w:color w:val="auto"/>
        </w:rPr>
      </w:pPr>
      <w:r>
        <w:rPr>
          <w:rFonts w:ascii="Times New Roman" w:cs="Times New Roman" w:eastAsia="Times New Roman" w:hAnsi="Times New Roman"/>
          <w:sz w:val="18"/>
          <w:szCs w:val="18"/>
          <w:color w:val="auto"/>
        </w:rPr>
        <w:t>Deferred tax assets</w:t>
      </w:r>
      <w:r>
        <w:rPr>
          <w:sz w:val="20"/>
          <w:szCs w:val="20"/>
          <w:color w:val="auto"/>
        </w:rPr>
        <w:tab/>
      </w: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180340</wp:posOffset>
            </wp:positionV>
            <wp:extent cx="71062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w:t>
      </w:r>
      <w:r>
        <w:rPr>
          <w:sz w:val="20"/>
          <w:szCs w:val="20"/>
          <w:color w:val="auto"/>
        </w:rPr>
        <w:tab/>
      </w:r>
      <w:r>
        <w:rPr>
          <w:rFonts w:ascii="Times New Roman" w:cs="Times New Roman" w:eastAsia="Times New Roman" w:hAnsi="Times New Roman"/>
          <w:sz w:val="17"/>
          <w:szCs w:val="17"/>
          <w:u w:val="single" w:color="auto"/>
          <w:color w:val="auto"/>
        </w:rPr>
        <w:t>CHANGES IN AND DISAGREEMENTS WITH ACCOUNTANTS ON ACCOUNTING AND FINANCIAL DISCLOSURE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9A.</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 on internal control over financial reporting is included in Part II, Item 8 of this Annual Report on Form 10-K.</w:t>
      </w:r>
    </w:p>
    <w:p>
      <w:pPr>
        <w:spacing w:after="0" w:line="25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that occurred during the quarter ended December 31,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9B.</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3"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9C.</w:t>
      </w:r>
      <w:r>
        <w:rPr>
          <w:sz w:val="20"/>
          <w:szCs w:val="20"/>
          <w:color w:val="auto"/>
        </w:rPr>
        <w:tab/>
      </w:r>
      <w:r>
        <w:rPr>
          <w:rFonts w:ascii="Times New Roman" w:cs="Times New Roman" w:eastAsia="Times New Roman" w:hAnsi="Times New Roman"/>
          <w:sz w:val="17"/>
          <w:szCs w:val="17"/>
          <w:u w:val="single" w:color="auto"/>
          <w:color w:val="auto"/>
        </w:rPr>
        <w:t>DISCLOSURE REGARDING FOREIGN JURISDICTIONS THAT PREVENT INSPECTIONS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54"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10.</w:t>
      </w:r>
      <w:r>
        <w:rPr>
          <w:sz w:val="20"/>
          <w:szCs w:val="20"/>
          <w:color w:val="auto"/>
        </w:rPr>
        <w:tab/>
      </w:r>
      <w:r>
        <w:rPr>
          <w:rFonts w:ascii="Times New Roman" w:cs="Times New Roman" w:eastAsia="Times New Roman" w:hAnsi="Times New Roman"/>
          <w:sz w:val="17"/>
          <w:szCs w:val="17"/>
          <w:u w:val="single" w:color="auto"/>
          <w:color w:val="auto"/>
        </w:rPr>
        <w:t>DIRECTORS, EXECUTIVE OFFICERS AND CORPORATE GOVERNANCE</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the principal executive officers of the Company, including their ages and positions.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Year Assumed</w:t>
            </w: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400" w:type="dxa"/>
            <w:vAlign w:val="bottom"/>
          </w:tcPr>
          <w:p>
            <w:pPr>
              <w:spacing w:after="0"/>
              <w:rPr>
                <w:sz w:val="17"/>
                <w:szCs w:val="17"/>
                <w:color w:val="auto"/>
              </w:rPr>
            </w:pPr>
          </w:p>
        </w:tc>
        <w:tc>
          <w:tcPr>
            <w:tcW w:w="5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3"/>
              </w:rPr>
              <w:t>Age</w:t>
            </w:r>
          </w:p>
        </w:tc>
        <w:tc>
          <w:tcPr>
            <w:tcW w:w="2760" w:type="dxa"/>
            <w:vAlign w:val="bottom"/>
          </w:tcPr>
          <w:p>
            <w:pPr>
              <w:spacing w:after="0"/>
              <w:rPr>
                <w:sz w:val="17"/>
                <w:szCs w:val="17"/>
                <w:color w:val="auto"/>
              </w:rPr>
            </w:pPr>
          </w:p>
        </w:tc>
        <w:tc>
          <w:tcPr>
            <w:tcW w:w="2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Title</w:t>
            </w:r>
          </w:p>
        </w:tc>
        <w:tc>
          <w:tcPr>
            <w:tcW w:w="122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Present Title</w:t>
            </w:r>
          </w:p>
        </w:tc>
      </w:tr>
      <w:tr>
        <w:trPr>
          <w:trHeight w:val="20"/>
        </w:trPr>
        <w:tc>
          <w:tcPr>
            <w:tcW w:w="4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6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H. Gifford</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2017</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Djalma Novaes, Jr.</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Americas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2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Hock Huat Goh</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Asia Pacific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2018</w:t>
            </w:r>
          </w:p>
        </w:tc>
      </w:t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Madeksza</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President – Transit Packaging Division</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22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360"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11.</w:t>
      </w:r>
      <w:r>
        <w:rPr>
          <w:sz w:val="20"/>
          <w:szCs w:val="20"/>
          <w:color w:val="auto"/>
        </w:rPr>
        <w:tab/>
      </w:r>
      <w:r>
        <w:rPr>
          <w:rFonts w:ascii="Times New Roman" w:cs="Times New Roman" w:eastAsia="Times New Roman" w:hAnsi="Times New Roman"/>
          <w:sz w:val="17"/>
          <w:szCs w:val="17"/>
          <w:u w:val="single" w:color="auto"/>
          <w:color w:val="auto"/>
        </w:rPr>
        <w:t>EXECUTIVE COMPENSATION</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40" w:right="520" w:hanging="1322"/>
        <w:spacing w:after="0" w:line="237" w:lineRule="auto"/>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12.</w:t>
      </w:r>
      <w:r>
        <w:rPr>
          <w:sz w:val="20"/>
          <w:szCs w:val="20"/>
          <w:color w:val="auto"/>
        </w:rPr>
        <w:tab/>
      </w:r>
      <w:r>
        <w:rPr>
          <w:rFonts w:ascii="Times New Roman" w:cs="Times New Roman" w:eastAsia="Times New Roman" w:hAnsi="Times New Roman"/>
          <w:sz w:val="18"/>
          <w:szCs w:val="18"/>
          <w:u w:val="single" w:color="auto"/>
          <w:color w:val="auto"/>
        </w:rPr>
        <w:t>SECURITY OWNERSHIP OF CERTAIN BENEFICIAL OWNERS AND MANAGEMENT AND RELATED STOCKHOLDER MATTERS</w:t>
      </w: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is set forth in the Company’s Proxy Statement within the sections entitled “Proxy Statement – Meeting, April 27, 2023” and “Common Stock Ownership of Certain Beneficial Owners, Directors and Executive Officers” and is incorporated herein by reference.</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with respect to shares of the Company’s Common Stock that may be issued under its equity compensation plans:</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Equity Compensation Plan Information</w:t>
            </w: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8"/>
              </w:rPr>
              <w:t>Remaining Available</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000" w:type="dxa"/>
            <w:vAlign w:val="bottom"/>
          </w:tcPr>
          <w:p>
            <w:pPr>
              <w:jc w:val="center"/>
              <w:ind w:left="50"/>
              <w:spacing w:after="0" w:line="181"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8"/>
              </w:rPr>
              <w:t>Weighted average Exercise</w:t>
            </w:r>
          </w:p>
        </w:tc>
        <w:tc>
          <w:tcPr>
            <w:tcW w:w="198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to be Issued Upon</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vMerge w:val="continue"/>
          </w:tcPr>
          <w:p>
            <w:pPr>
              <w:spacing w:after="0"/>
              <w:rPr>
                <w:sz w:val="15"/>
                <w:szCs w:val="15"/>
                <w:color w:val="auto"/>
              </w:rPr>
            </w:pP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Exercise of Outstanding</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rPr>
              <w:t>Price of</w:t>
            </w:r>
          </w:p>
        </w:tc>
        <w:tc>
          <w:tcPr>
            <w:tcW w:w="19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Plans (Excluding</w:t>
            </w: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200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Options, Warrants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3"/>
          </w:tcPr>
          <w:p>
            <w:pPr>
              <w:jc w:val="center"/>
              <w:ind w:right="460"/>
              <w:spacing w:after="0" w:line="189"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98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200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rPr>
              <w:t>and Rights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center"/>
              <w:ind w:right="460"/>
              <w:spacing w:after="0" w:line="176" w:lineRule="exact"/>
              <w:rPr>
                <w:sz w:val="20"/>
                <w:szCs w:val="20"/>
                <w:color w:val="auto"/>
              </w:rPr>
            </w:pPr>
            <w:r>
              <w:rPr>
                <w:rFonts w:ascii="Times New Roman" w:cs="Times New Roman" w:eastAsia="Times New Roman" w:hAnsi="Times New Roman"/>
                <w:sz w:val="18"/>
                <w:szCs w:val="18"/>
                <w:color w:val="auto"/>
                <w:w w:val="98"/>
              </w:rPr>
              <w:t>Warrants and Rights</w:t>
            </w:r>
          </w:p>
        </w:tc>
        <w:tc>
          <w:tcPr>
            <w:tcW w:w="1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w w:val="99"/>
              </w:rPr>
              <w:t>In Column (a))</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(b)</w:t>
            </w:r>
          </w:p>
        </w:tc>
        <w:tc>
          <w:tcPr>
            <w:tcW w:w="1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w:t>
            </w:r>
          </w:p>
        </w:tc>
        <w:tc>
          <w:tcPr>
            <w:tcW w:w="2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162,674</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5,303,240</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162,674</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5,303,240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720" w:hanging="388"/>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2013 and 2022 Stock-Based Incentive Compensation Plans.</w:t>
      </w:r>
    </w:p>
    <w:p>
      <w:pPr>
        <w:spacing w:after="0" w:line="252" w:lineRule="exact"/>
        <w:rPr>
          <w:rFonts w:ascii="Times New Roman" w:cs="Times New Roman" w:eastAsia="Times New Roman" w:hAnsi="Times New Roman"/>
          <w:sz w:val="18"/>
          <w:szCs w:val="18"/>
          <w:color w:val="auto"/>
        </w:rPr>
      </w:pPr>
    </w:p>
    <w:p>
      <w:pPr>
        <w:ind w:left="820" w:hanging="488"/>
        <w:spacing w:after="0" w:line="266" w:lineRule="auto"/>
        <w:tabs>
          <w:tab w:leader="none" w:pos="6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162,674 shares of deferred stock awarded from the 2013 and 2022 Stock-Based Incentive Compensation Plans during each year from 2018 through 2022. The shares are time-vesting and will be issued up to four years from their grant date. The weighted-average exercise price in the table does not include these shares.</w:t>
      </w:r>
    </w:p>
    <w:p>
      <w:pPr>
        <w:spacing w:after="0" w:line="202" w:lineRule="exact"/>
        <w:rPr>
          <w:rFonts w:ascii="Times New Roman" w:cs="Times New Roman" w:eastAsia="Times New Roman" w:hAnsi="Times New Roman"/>
          <w:sz w:val="18"/>
          <w:szCs w:val="18"/>
          <w:color w:val="auto"/>
        </w:rPr>
      </w:pPr>
    </w:p>
    <w:p>
      <w:pPr>
        <w:ind w:left="820" w:hanging="488"/>
        <w:spacing w:after="0" w:line="282" w:lineRule="auto"/>
        <w:tabs>
          <w:tab w:leader="none" w:pos="60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4,756,499, 688,735 and 20,680 shares available for issuance at December 31, 2022 under the 2013 and 2022 Stock Based Incentive Compensation Plans, the Company’s Employee Stock Purchase Plan, and the Stock Compensation Plan for Non-Employee Directors.</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13.</w:t>
      </w:r>
      <w:r>
        <w:rPr>
          <w:sz w:val="20"/>
          <w:szCs w:val="20"/>
          <w:color w:val="auto"/>
        </w:rPr>
        <w:tab/>
      </w:r>
      <w:r>
        <w:rPr>
          <w:rFonts w:ascii="Times New Roman" w:cs="Times New Roman" w:eastAsia="Times New Roman" w:hAnsi="Times New Roman"/>
          <w:sz w:val="17"/>
          <w:szCs w:val="17"/>
          <w:u w:val="single" w:color="auto"/>
          <w:color w:val="auto"/>
        </w:rPr>
        <w:t>CERTAIN RELATIONSHIPS AND RELATED TRANSACTIONS, AND DIRECTOR INDEPENDENCE</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229"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ITEM 14.</w:t>
      </w:r>
      <w:r>
        <w:rPr>
          <w:sz w:val="20"/>
          <w:szCs w:val="20"/>
          <w:color w:val="auto"/>
        </w:rPr>
        <w:tab/>
      </w:r>
      <w:r>
        <w:rPr>
          <w:rFonts w:ascii="Times New Roman" w:cs="Times New Roman" w:eastAsia="Times New Roman" w:hAnsi="Times New Roman"/>
          <w:sz w:val="17"/>
          <w:szCs w:val="17"/>
          <w:u w:val="single" w:color="auto"/>
          <w:color w:val="auto"/>
        </w:rPr>
        <w:t>PRINCIPAL ACCOUNTING FEES AND SERVICES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5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15.</w:t>
      </w:r>
      <w:r>
        <w:rPr>
          <w:sz w:val="20"/>
          <w:szCs w:val="20"/>
          <w:color w:val="auto"/>
        </w:rPr>
        <w:tab/>
      </w:r>
      <w:r>
        <w:rPr>
          <w:rFonts w:ascii="Times New Roman" w:cs="Times New Roman" w:eastAsia="Times New Roman" w:hAnsi="Times New Roman"/>
          <w:sz w:val="17"/>
          <w:szCs w:val="17"/>
          <w:u w:val="single" w:color="auto"/>
          <w:color w:val="auto"/>
        </w:rPr>
        <w:t>EXHIBITS AND FINANCIAL STATEMENT SCHEDULES</w:t>
      </w:r>
    </w:p>
    <w:p>
      <w:pPr>
        <w:spacing w:after="0" w:line="144" w:lineRule="exact"/>
        <w:rPr>
          <w:sz w:val="20"/>
          <w:szCs w:val="20"/>
          <w:color w:val="auto"/>
        </w:rPr>
      </w:pPr>
    </w:p>
    <w:p>
      <w:pPr>
        <w:ind w:left="660" w:hanging="654"/>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90" w:lineRule="exact"/>
        <w:rPr>
          <w:rFonts w:ascii="Times New Roman" w:cs="Times New Roman" w:eastAsia="Times New Roman" w:hAnsi="Times New Roman"/>
          <w:sz w:val="18"/>
          <w:szCs w:val="18"/>
          <w:color w:val="auto"/>
        </w:rPr>
      </w:pPr>
    </w:p>
    <w:p>
      <w:pPr>
        <w:ind w:left="540" w:hanging="309"/>
        <w:spacing w:after="0"/>
        <w:tabs>
          <w:tab w:leader="none" w:pos="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(see Part II, Item 8)</w:t>
      </w:r>
    </w:p>
    <w:p>
      <w:pPr>
        <w:spacing w:after="0" w:line="252" w:lineRule="exact"/>
        <w:rPr>
          <w:rFonts w:ascii="Times New Roman" w:cs="Times New Roman" w:eastAsia="Times New Roman" w:hAnsi="Times New Roman"/>
          <w:sz w:val="18"/>
          <w:szCs w:val="18"/>
          <w:color w:val="auto"/>
        </w:rPr>
      </w:pPr>
    </w:p>
    <w:p>
      <w:pPr>
        <w:ind w:left="560" w:right="57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Management’s Report on Internal Control Over Financial Reporting Report of Independent Registered Public Accounting Firm</w:t>
      </w:r>
    </w:p>
    <w:p>
      <w:pPr>
        <w:ind w:left="560" w:right="28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2022, 2021 and 2020 Consolidated Statements of Comprehensive Income for the years ended December 31, 2022, 2021 and 2020 Consolidated Balance Sheets as of December 31, 2022 and 2021</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252" w:lineRule="exact"/>
        <w:rPr>
          <w:rFonts w:ascii="Times New Roman" w:cs="Times New Roman" w:eastAsia="Times New Roman" w:hAnsi="Times New Roman"/>
          <w:sz w:val="18"/>
          <w:szCs w:val="18"/>
          <w:color w:val="auto"/>
        </w:rPr>
      </w:pPr>
    </w:p>
    <w:p>
      <w:pPr>
        <w:ind w:left="560" w:right="226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for the years ended December 31, 2022, 2021 and 2020 Notes to Consolidated Financial Statements</w:t>
      </w:r>
    </w:p>
    <w:p>
      <w:pPr>
        <w:spacing w:after="0" w:line="41" w:lineRule="exact"/>
        <w:rPr>
          <w:rFonts w:ascii="Times New Roman" w:cs="Times New Roman" w:eastAsia="Times New Roman" w:hAnsi="Times New Roman"/>
          <w:sz w:val="18"/>
          <w:szCs w:val="18"/>
          <w:color w:val="auto"/>
        </w:rPr>
      </w:pPr>
    </w:p>
    <w:p>
      <w:pPr>
        <w:ind w:left="480" w:hanging="249"/>
        <w:spacing w:after="0"/>
        <w:tabs>
          <w:tab w:leader="none" w:pos="4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2022, 2021 and 2020</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included in the Consolidated Financial Statements.</w:t>
      </w:r>
    </w:p>
    <w:p>
      <w:pPr>
        <w:spacing w:after="0" w:line="252" w:lineRule="exact"/>
        <w:rPr>
          <w:sz w:val="20"/>
          <w:szCs w:val="20"/>
          <w:color w:val="auto"/>
        </w:rPr>
      </w:pPr>
    </w:p>
    <w:p>
      <w:pPr>
        <w:ind w:left="540" w:hanging="309"/>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rFonts w:ascii="Times New Roman" w:cs="Times New Roman" w:eastAsia="Times New Roman" w:hAnsi="Times New Roman"/>
          <w:sz w:val="18"/>
          <w:szCs w:val="18"/>
          <w:color w:val="auto"/>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3.a </w:t>
      </w:r>
      <w:hyperlink r:id="rId135">
        <w:r>
          <w:rPr>
            <w:rFonts w:ascii="Times New Roman" w:cs="Times New Roman" w:eastAsia="Times New Roman" w:hAnsi="Times New Roman"/>
            <w:sz w:val="18"/>
            <w:szCs w:val="18"/>
            <w:u w:val="single" w:color="auto"/>
            <w:color w:val="0000FF"/>
          </w:rPr>
          <w:t>Articles of Incorporation of Crown Holdings, Inc., as amended (incorporated by reference to Exhibit 3.a of the Registrant’s Annual Report on</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0000FF"/>
          </w:rPr>
          <w:t>Form 10-K for the year ended December 31, 2004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3.b Amended and Restated By-Laws of Crown Holdings, Inc. (incorporated by reference to Exhibit 3.1 of the Registrant's Current Report on Form 8-K dated December 13, 2022 (File No. 001-41550)).</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4.a Specimen certificate of Registrant’s Common Stock (incorporated by reference to Exhibit 4.a of the Registrant’s Annual Report on Form 10-K for the year ended December 31, 1995 (File No. 1-2227)).</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66"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4.b 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202"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4.c Form of the Registrant's 7-3/8% Debentures Due 2026 (incorporated by reference to Exhibit 99.1 of the Registrant's Current Report on Form 8-K dated December 17, 1996 (File No. 1-2227)).</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4.d Officers' Certificate for 7-3/8% Debentures Due 2026 (incorporated by reference to Exhibit 99.6 of the Registrant's Current Report on Form 8-K dated December 17, 1996 (File No. 1-2227)).</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4.e Form of the Registrant's 7-1/2% Debentures Due 2096 (incorporated by reference to Exhibit 99.2 of the Registrant's Current Report on Form 8-K dated December 17, 1996 (File No. 1-2227)).</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4.f Officers' Certificate for 7-1/2% Debentures Due 2096 (incorporated by reference to Exhibit 99.7 of the Registrant's Current Report on From 8-K dated December 17, 1996 (File No. 1-2227)).</w:t>
      </w:r>
    </w:p>
    <w:p>
      <w:pPr>
        <w:spacing w:after="0" w:line="188" w:lineRule="exact"/>
        <w:rPr>
          <w:rFonts w:ascii="Times New Roman" w:cs="Times New Roman" w:eastAsia="Times New Roman" w:hAnsi="Times New Roman"/>
          <w:sz w:val="18"/>
          <w:szCs w:val="18"/>
          <w:u w:val="single" w:color="auto"/>
          <w:color w:val="0000FF"/>
        </w:rPr>
      </w:pPr>
    </w:p>
    <w:p>
      <w:pPr>
        <w:ind w:left="1120" w:hanging="56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4.g Terms Agreement, dated December 12, 1996 (incorporated by reference to Exhibit 1.1 of the Registrant's Current Report on Form 8-K dated December 17, 1996 (File No. 1-2227)).</w:t>
      </w:r>
    </w:p>
    <w:p>
      <w:pPr>
        <w:sectPr>
          <w:pgSz w:w="11900" w:h="16838" w:orient="portrait"/>
          <w:cols w:equalWidth="0" w:num="1">
            <w:col w:w="11220"/>
          </w:cols>
          <w:pgMar w:left="340" w:top="117" w:right="339"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9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type w:val="continuous"/>
        </w:sectPr>
      </w:pPr>
    </w:p>
    <w:bookmarkStart w:id="91" w:name="page92"/>
    <w:bookmarkEnd w:id="91"/>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425" w:hanging="566"/>
        <w:spacing w:after="0" w:line="282" w:lineRule="auto"/>
        <w:tabs>
          <w:tab w:leader="none" w:pos="405" w:val="left"/>
        </w:tabs>
        <w:rPr>
          <w:sz w:val="20"/>
          <w:szCs w:val="20"/>
          <w:color w:val="auto"/>
        </w:rPr>
      </w:pPr>
      <w:r>
        <w:rPr>
          <w:rFonts w:ascii="Times New Roman" w:cs="Times New Roman" w:eastAsia="Times New Roman" w:hAnsi="Times New Roman"/>
          <w:sz w:val="18"/>
          <w:szCs w:val="18"/>
          <w:color w:val="auto"/>
        </w:rPr>
        <w:t>4.h</w:t>
        <w:tab/>
        <w:t>Form of Bearer Security Depositary Agreement (incorporated by reference to Exhibit 4.2 of the Registrant's Registration Statement on Form S-3, dated November 26, 1996, amended December 5 and 10, 1996 (File No. 333-16869)).</w:t>
      </w:r>
    </w:p>
    <w:p>
      <w:pPr>
        <w:spacing w:after="0" w:line="189" w:lineRule="exact"/>
        <w:rPr>
          <w:sz w:val="20"/>
          <w:szCs w:val="20"/>
          <w:color w:val="auto"/>
        </w:rPr>
      </w:pPr>
    </w:p>
    <w:p>
      <w:pPr>
        <w:jc w:val="both"/>
        <w:ind w:left="365" w:hanging="566"/>
        <w:spacing w:after="0" w:line="261" w:lineRule="auto"/>
        <w:tabs>
          <w:tab w:leader="none" w:pos="3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4.i</w:t>
      </w:r>
      <w:r>
        <w:rPr>
          <w:sz w:val="20"/>
          <w:szCs w:val="20"/>
          <w:color w:val="auto"/>
        </w:rPr>
        <w:tab/>
      </w:r>
      <w:hyperlink r:id="rId137">
        <w:r>
          <w:rPr>
            <w:rFonts w:ascii="Times New Roman" w:cs="Times New Roman" w:eastAsia="Times New Roman" w:hAnsi="Times New Roman"/>
            <w:sz w:val="18"/>
            <w:szCs w:val="18"/>
            <w:u w:val="single" w:color="auto"/>
            <w:color w:val="0000FF"/>
          </w:rPr>
          <w:t>Supplemental Indenture to Indenture dated December 17, 1996, dated as of February 25, 2003, between Crown Cork &amp; Seal Company, Inc., as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Issuer and Guarantor, Crown Cork &amp; Seal Finance PLC, as Issuer, Crown Cork &amp; Seal Finance S.A., as Issuer, Crown Holdings, Inc., as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Additional Guarantor and Bank One Trust Company, N.A., as Trustee (incorporated by reference to Exhibit 4.5 of the Registrant’s Current</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Report on Form 8-K dated February 26, 2003 (File No. 000-50189)).</w:t>
        </w:r>
      </w:hyperlink>
    </w:p>
    <w:p>
      <w:pPr>
        <w:spacing w:after="0" w:line="207" w:lineRule="exact"/>
        <w:rPr>
          <w:rFonts w:ascii="Times New Roman" w:cs="Times New Roman" w:eastAsia="Times New Roman" w:hAnsi="Times New Roman"/>
          <w:sz w:val="18"/>
          <w:szCs w:val="18"/>
          <w:u w:val="single" w:color="auto"/>
          <w:color w:val="0000FF"/>
        </w:rPr>
      </w:pPr>
    </w:p>
    <w:p>
      <w:pPr>
        <w:ind w:left="565" w:hanging="565"/>
        <w:spacing w:after="0" w:line="266" w:lineRule="auto"/>
        <w:tabs>
          <w:tab w:leader="none" w:pos="194" w:val="left"/>
        </w:tabs>
        <w:numPr>
          <w:ilvl w:val="0"/>
          <w:numId w:val="3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j </w:t>
      </w:r>
      <w:hyperlink r:id="rId138">
        <w:r>
          <w:rPr>
            <w:rFonts w:ascii="Times New Roman" w:cs="Times New Roman" w:eastAsia="Times New Roman" w:hAnsi="Times New Roman"/>
            <w:sz w:val="18"/>
            <w:szCs w:val="18"/>
            <w:u w:val="single" w:color="auto"/>
            <w:color w:val="0000FF"/>
          </w:rPr>
          <w:t>Indenture, dated as of September 15, 2016, by and among Crown European Holdings S.A., as Issuer, the Guarantors named therein, U.S.</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0000FF"/>
          </w:rPr>
          <w:t>Bank National Association, as Trustee, and the other parties thereto, relating to the €600 million 2.625% Senior Notes due 2024</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(incorporated by reference to Exhibit 4.1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ind w:left="565" w:hanging="565"/>
        <w:spacing w:after="0" w:line="266" w:lineRule="auto"/>
        <w:tabs>
          <w:tab w:leader="none" w:pos="200" w:val="left"/>
        </w:tabs>
        <w:numPr>
          <w:ilvl w:val="0"/>
          <w:numId w:val="3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k </w:t>
      </w:r>
      <w:hyperlink r:id="rId139">
        <w:r>
          <w:rPr>
            <w:rFonts w:ascii="Times New Roman" w:cs="Times New Roman" w:eastAsia="Times New Roman" w:hAnsi="Times New Roman"/>
            <w:sz w:val="18"/>
            <w:szCs w:val="18"/>
            <w:u w:val="single" w:color="auto"/>
            <w:color w:val="0000FF"/>
          </w:rPr>
          <w:t>Indenture, dated as of September 15, 2016, by and among Crown Americas LLC and Crown Americas Capital Corp. V, as Issuers, the</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0000FF"/>
          </w:rPr>
          <w:t>Guarantors named therein and U.S. Bank National Association, as Trustee, relating to the $400 million 4.250% Senior Notes due 2026</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(incorporated by reference to Exhibit 4.2 of the Registrant's Current Report on Form 8-K dated September 19, 2016 (File No. 000-50189)).</w:t>
        </w:r>
      </w:hyperlink>
    </w:p>
    <w:p>
      <w:pPr>
        <w:spacing w:after="0" w:line="203" w:lineRule="exact"/>
        <w:rPr>
          <w:rFonts w:ascii="Times New Roman" w:cs="Times New Roman" w:eastAsia="Times New Roman" w:hAnsi="Times New Roman"/>
          <w:sz w:val="18"/>
          <w:szCs w:val="18"/>
          <w:color w:val="auto"/>
        </w:rPr>
      </w:pPr>
    </w:p>
    <w:p>
      <w:pPr>
        <w:jc w:val="both"/>
        <w:ind w:left="485" w:hanging="566"/>
        <w:spacing w:after="0" w:line="261" w:lineRule="auto"/>
        <w:tabs>
          <w:tab w:leader="none" w:pos="4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4.l</w:t>
      </w:r>
      <w:r>
        <w:rPr>
          <w:sz w:val="20"/>
          <w:szCs w:val="20"/>
          <w:color w:val="auto"/>
        </w:rPr>
        <w:tab/>
      </w:r>
      <w:hyperlink r:id="rId140">
        <w:r>
          <w:rPr>
            <w:rFonts w:ascii="Times New Roman" w:cs="Times New Roman" w:eastAsia="Times New Roman" w:hAnsi="Times New Roman"/>
            <w:sz w:val="18"/>
            <w:szCs w:val="18"/>
            <w:u w:val="single" w:color="auto"/>
            <w:color w:val="0000FF"/>
          </w:rPr>
          <w:t>Indenture, dated as of May 5, 2015, among Crown European Holdings S.A., the Guarantors (as defined therein), U.S. Bank National</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Association, as trustee, Elavon Financial Services Limited, UK Branch, as paying agent, and Elavon Financial Services Limited, as registrar</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and transfer agent, relating to the €600 million 3.375% Senior Notes due 2025 (incorporated by reference to Exhibit 10.1 of the Registrant's</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Quarterly Report on Form 10-Q dated July 30, 2015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465" w:hanging="566"/>
        <w:spacing w:after="0" w:line="258" w:lineRule="auto"/>
        <w:tabs>
          <w:tab w:leader="none" w:pos="44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4.m</w:t>
      </w:r>
      <w:r>
        <w:rPr>
          <w:sz w:val="20"/>
          <w:szCs w:val="20"/>
          <w:color w:val="auto"/>
        </w:rPr>
        <w:tab/>
      </w:r>
      <w:hyperlink r:id="rId141">
        <w:r>
          <w:rPr>
            <w:rFonts w:ascii="Times New Roman" w:cs="Times New Roman" w:eastAsia="Times New Roman" w:hAnsi="Times New Roman"/>
            <w:sz w:val="18"/>
            <w:szCs w:val="18"/>
            <w:u w:val="single" w:color="auto"/>
            <w:color w:val="0000FF"/>
          </w:rPr>
          <w:t>Amended &amp; Restated Credit Agreement, dated April 7, 2017, by and among Crown Americas LLC, Crown European Holdings S.A., Crown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Metal Packaging Canada LP, each of the Subsidiary Borrowers from time to time party thereto, Crown Holdings, Inc., Crown Cork &amp; Seal</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Company, Inc., Crown International Holdings, Inc., each other Credit Party from time to time party thereto, Deutsche Bank AG Canada</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Branch, Deutsche Bank AG London Branch, Deutsche Bank AG New York Branch, and various Lenders referred to therein (incorporated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by reference to Exhibit 4 of the Registrant's Quarterly Report on Form 10-Q for the quarter ended March 31, 2017 (File No. 000-50189)).</w:t>
        </w:r>
      </w:hyperlink>
    </w:p>
    <w:p>
      <w:pPr>
        <w:spacing w:after="0" w:line="210" w:lineRule="exact"/>
        <w:rPr>
          <w:rFonts w:ascii="Times New Roman" w:cs="Times New Roman" w:eastAsia="Times New Roman" w:hAnsi="Times New Roman"/>
          <w:sz w:val="18"/>
          <w:szCs w:val="18"/>
          <w:u w:val="single" w:color="auto"/>
          <w:color w:val="0000FF"/>
        </w:rPr>
      </w:pPr>
    </w:p>
    <w:p>
      <w:pPr>
        <w:jc w:val="both"/>
        <w:ind w:left="505" w:hanging="566"/>
        <w:spacing w:after="0" w:line="256"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4.n</w:t>
      </w:r>
      <w:r>
        <w:rPr>
          <w:sz w:val="20"/>
          <w:szCs w:val="20"/>
          <w:color w:val="auto"/>
        </w:rPr>
        <w:tab/>
      </w:r>
      <w:hyperlink r:id="rId142">
        <w:r>
          <w:rPr>
            <w:rFonts w:ascii="Times New Roman" w:cs="Times New Roman" w:eastAsia="Times New Roman" w:hAnsi="Times New Roman"/>
            <w:sz w:val="18"/>
            <w:szCs w:val="18"/>
            <w:u w:val="single" w:color="auto"/>
            <w:color w:val="0000FF"/>
          </w:rPr>
          <w:t>First Amendment to Amended and Restated Credit Agreement, dated as of December 28, 2017, among Crown Americas LLC, Crown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European Holdings S.A., Crown Metal Packaging Canada LP, each of the Subsidiary Borrowers party thereto, Crown Holdings, Inc.,</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referred to therein (incorporated by reference to Exhibit 4 of the Registrant's Annual Report on Form 10-K for the year ended December 31,</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2017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425" w:hanging="566"/>
        <w:spacing w:after="0" w:line="258"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4.o</w:t>
      </w:r>
      <w:r>
        <w:rPr>
          <w:sz w:val="20"/>
          <w:szCs w:val="20"/>
          <w:color w:val="auto"/>
        </w:rPr>
        <w:tab/>
      </w:r>
      <w:hyperlink r:id="rId143">
        <w:r>
          <w:rPr>
            <w:rFonts w:ascii="Times New Roman" w:cs="Times New Roman" w:eastAsia="Times New Roman" w:hAnsi="Times New Roman"/>
            <w:sz w:val="18"/>
            <w:szCs w:val="18"/>
            <w:u w:val="single" w:color="auto"/>
            <w:color w:val="0000FF"/>
          </w:rPr>
          <w:t>Incremental Amendment No. 1, dated as of January 29, 2018, among Crown Americas LLC, Crown European Holdings S.A., Crown Metal</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Packaging Canada LP, each of the Subsidiary Borrowers party thereto, Crown Holdings, Inc., Crown Cork &amp; Seal Company, Inc. and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Crown International Holdings, Inc., each other Credit Party from time to time party thereto, Deutsche Bank AG New York Branch,</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Deutsche Bank AG, London Branch, Deutsche Bank AG, Canada Branch, and various Lenders referred to therein (incorporated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 to Exhibit 4.1 of the Registrant's Annual Report on Form 10-K for the year ended December 31, 2017).</w:t>
        </w:r>
      </w:hyperlink>
    </w:p>
    <w:p>
      <w:pPr>
        <w:spacing w:after="0" w:line="183" w:lineRule="exact"/>
        <w:rPr>
          <w:rFonts w:ascii="Times New Roman" w:cs="Times New Roman" w:eastAsia="Times New Roman" w:hAnsi="Times New Roman"/>
          <w:sz w:val="18"/>
          <w:szCs w:val="18"/>
          <w:u w:val="single" w:color="auto"/>
          <w:color w:val="0000FF"/>
        </w:rPr>
      </w:pPr>
    </w:p>
    <w:p>
      <w:pPr>
        <w:jc w:val="both"/>
        <w:ind w:left="425" w:hanging="566"/>
        <w:spacing w:after="0" w:line="261" w:lineRule="auto"/>
        <w:tabs>
          <w:tab w:leader="none" w:pos="40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4.p</w:t>
      </w:r>
      <w:r>
        <w:rPr>
          <w:sz w:val="20"/>
          <w:szCs w:val="20"/>
          <w:color w:val="auto"/>
        </w:rPr>
        <w:tab/>
      </w:r>
      <w:hyperlink r:id="rId144">
        <w:r>
          <w:rPr>
            <w:rFonts w:ascii="Times New Roman" w:cs="Times New Roman" w:eastAsia="Times New Roman" w:hAnsi="Times New Roman"/>
            <w:sz w:val="18"/>
            <w:szCs w:val="18"/>
            <w:u w:val="single" w:color="auto"/>
            <w:color w:val="0000FF"/>
          </w:rPr>
          <w:t>Indenture, dated as of January 26, 2018, by and among Crown European Holdings S.A., as Issuer, the Guarantors named therein, U.S. Bank</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National Association, as Trustee, and the other parties thereto, relating to the €335 million 2.250% Senior Notes due 2023 and the €500</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million 2.875% Senior Notes due 2026 (incorporated by reference to Exhibit 4.1 of the Registrant's Current Report on Form 8-K dated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February 1, 2018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505" w:right="20" w:hanging="566"/>
        <w:spacing w:after="0" w:line="282" w:lineRule="auto"/>
        <w:tabs>
          <w:tab w:leader="none" w:pos="4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4.q</w:t>
      </w:r>
      <w:r>
        <w:rPr>
          <w:sz w:val="20"/>
          <w:szCs w:val="20"/>
          <w:color w:val="auto"/>
        </w:rPr>
        <w:tab/>
      </w:r>
      <w:hyperlink r:id="rId145">
        <w:r>
          <w:rPr>
            <w:rFonts w:ascii="Times New Roman" w:cs="Times New Roman" w:eastAsia="Times New Roman" w:hAnsi="Times New Roman"/>
            <w:sz w:val="18"/>
            <w:szCs w:val="18"/>
            <w:u w:val="single" w:color="auto"/>
            <w:color w:val="0000FF"/>
          </w:rPr>
          <w:t>Indenture, dated as of January 26, 2018, by and among Crown Americas LLC and Crown Americas Capital Corp. VI, as Issuers, the</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Guarantors named therein and U.S. Bank National Association, as Trustee, relating to</w:t>
        </w:r>
      </w:hyperlink>
    </w:p>
    <w:p>
      <w:pPr>
        <w:spacing w:after="0" w:line="200" w:lineRule="exact"/>
        <w:rPr>
          <w:sz w:val="20"/>
          <w:szCs w:val="20"/>
          <w:color w:val="auto"/>
        </w:rPr>
      </w:pPr>
    </w:p>
    <w:p>
      <w:pPr>
        <w:spacing w:after="0" w:line="299"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2" w:name="page93"/>
    <w:bookmarkEnd w:id="92"/>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565"/>
        <w:spacing w:after="0" w:line="282"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the $875 million 4.750% Senior Notes due 2026 (incorporated by reference to Exhibit 4.2 of the Registrant's Current Report on Form 8-K</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dated February 1, 2018 (File No. 000-50189)).</w:t>
        </w:r>
      </w:hyperlink>
    </w:p>
    <w:p>
      <w:pPr>
        <w:spacing w:after="0" w:line="189" w:lineRule="exact"/>
        <w:rPr>
          <w:sz w:val="20"/>
          <w:szCs w:val="20"/>
          <w:color w:val="auto"/>
        </w:rPr>
      </w:pPr>
    </w:p>
    <w:p>
      <w:pPr>
        <w:jc w:val="both"/>
        <w:ind w:left="485" w:hanging="566"/>
        <w:spacing w:after="0" w:line="261" w:lineRule="auto"/>
        <w:tabs>
          <w:tab w:leader="none" w:pos="4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4.r</w:t>
      </w:r>
      <w:r>
        <w:rPr>
          <w:sz w:val="20"/>
          <w:szCs w:val="20"/>
          <w:color w:val="auto"/>
        </w:rPr>
        <w:tab/>
      </w:r>
      <w:hyperlink r:id="rId147">
        <w:r>
          <w:rPr>
            <w:rFonts w:ascii="Times New Roman" w:cs="Times New Roman" w:eastAsia="Times New Roman" w:hAnsi="Times New Roman"/>
            <w:sz w:val="18"/>
            <w:szCs w:val="18"/>
            <w:u w:val="single" w:color="auto"/>
            <w:color w:val="0000FF"/>
          </w:rPr>
          <w:t>Registration Rights Agreement, dated as of January 26, 2018, by and among Crown Holdings, Inc., Crown Americas LLC and Crown</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Americas Capital Corp. VI, Citigroup Global Markets Inc., as representative of the initial purchasers, and the Guarantors (as defined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therein), relating to the $875 million 4.750% Senior Notes due 2026 (incorporated by reference to Exhibit 4.3 of the Registrant's Current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Report on Form 8-K dated February 1, 2018 (File No. 000-50189)).</w:t>
        </w:r>
      </w:hyperlink>
    </w:p>
    <w:p>
      <w:pPr>
        <w:spacing w:after="0" w:line="207" w:lineRule="exact"/>
        <w:rPr>
          <w:rFonts w:ascii="Times New Roman" w:cs="Times New Roman" w:eastAsia="Times New Roman" w:hAnsi="Times New Roman"/>
          <w:sz w:val="18"/>
          <w:szCs w:val="18"/>
          <w:u w:val="single" w:color="auto"/>
          <w:color w:val="0000FF"/>
        </w:rPr>
      </w:pPr>
    </w:p>
    <w:p>
      <w:pPr>
        <w:jc w:val="both"/>
        <w:ind w:left="405" w:hanging="566"/>
        <w:spacing w:after="0" w:line="256" w:lineRule="auto"/>
        <w:tabs>
          <w:tab w:leader="none" w:pos="38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4.s</w:t>
      </w:r>
      <w:r>
        <w:rPr>
          <w:sz w:val="20"/>
          <w:szCs w:val="20"/>
          <w:color w:val="auto"/>
        </w:rPr>
        <w:tab/>
      </w:r>
      <w:hyperlink r:id="rId143">
        <w:r>
          <w:rPr>
            <w:rFonts w:ascii="Times New Roman" w:cs="Times New Roman" w:eastAsia="Times New Roman" w:hAnsi="Times New Roman"/>
            <w:sz w:val="18"/>
            <w:szCs w:val="18"/>
            <w:u w:val="single" w:color="auto"/>
            <w:color w:val="0000FF"/>
          </w:rPr>
          <w:t>Second Amendment to Amended and Restated Credit Agreement, First Amendment to the U.S. Guarantee Agreement and First Amendment</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to U.S. Indemnity, Subrogation and Contribution Agreement, dated as of March 23, 2018, among Crown Americas LLC, Crown European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Holdings S.A., Crown Metal Packaging Canada LP, each of the Subsidiary Borrowers from time to time party thereto, Crown Holdings,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Inc., Crown Cork &amp; Seal Company, Inc. and Crown International Holdings, Inc., each other Credit Party from time to time party thereto,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Deutsche Bank AG New York Branch, Deutsche Bank AG, London Branch, Deutsche Bank AG, Canada Branch, and various Lenders</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referred to therein (incorporated by reference to Exhibit 4.cc of the Registrant's Annual Report on Form 10-K for the year ended December</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31, 2018).</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0" w:lineRule="exact"/>
        <w:rPr>
          <w:rFonts w:ascii="Times New Roman" w:cs="Times New Roman" w:eastAsia="Times New Roman" w:hAnsi="Times New Roman"/>
          <w:sz w:val="18"/>
          <w:szCs w:val="18"/>
          <w:u w:val="single" w:color="auto"/>
          <w:color w:val="0000FF"/>
        </w:rPr>
      </w:pPr>
    </w:p>
    <w:p>
      <w:pPr>
        <w:jc w:val="both"/>
        <w:ind w:left="385" w:hanging="566"/>
        <w:spacing w:after="0" w:line="256" w:lineRule="auto"/>
        <w:tabs>
          <w:tab w:leader="none" w:pos="365"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4.t</w:t>
      </w:r>
      <w:r>
        <w:rPr>
          <w:sz w:val="20"/>
          <w:szCs w:val="20"/>
          <w:color w:val="auto"/>
        </w:rPr>
        <w:tab/>
      </w:r>
      <w:hyperlink r:id="rId148">
        <w:r>
          <w:rPr>
            <w:rFonts w:ascii="Times New Roman" w:cs="Times New Roman" w:eastAsia="Times New Roman" w:hAnsi="Times New Roman"/>
            <w:sz w:val="18"/>
            <w:szCs w:val="18"/>
            <w:u w:val="single" w:color="auto"/>
            <w:color w:val="0000FF"/>
          </w:rPr>
          <w:t>Incremental Amendment No. 2 and Third Amendment to Amended and Restated Credit Agreement, dated as of December 13, 2019, among</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Crown Americas LLC, Crown European Holdings S.A., Crown Metal Packaging Canada LP, each of the Subsidiary Borrowers from time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time party thereto, Crown Holdings, Inc., Crown Cork &amp; Seal Company, Inc., and Crown International Holdings, Inc., each other Credit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Party from time to time party thereto, Deutsche Bank AG New York Branch, Deutsche Bank AG London Branch, Deutsche Bank AG,</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Canada Branch, and the various Lenders referred to therein (incorporated by reference to Exhibit 4.1 of the Registrant's Current Report on</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Form 8-K/A dated February 28, 2020 (File No. 000-50189)).</w:t>
        </w:r>
      </w:hyperlink>
    </w:p>
    <w:p>
      <w:pPr>
        <w:spacing w:after="0" w:line="214" w:lineRule="exact"/>
        <w:rPr>
          <w:rFonts w:ascii="Times New Roman" w:cs="Times New Roman" w:eastAsia="Times New Roman" w:hAnsi="Times New Roman"/>
          <w:sz w:val="18"/>
          <w:szCs w:val="18"/>
          <w:u w:val="single" w:color="auto"/>
          <w:color w:val="0000FF"/>
        </w:rPr>
      </w:pPr>
    </w:p>
    <w:p>
      <w:pPr>
        <w:jc w:val="both"/>
        <w:ind w:left="525" w:hanging="566"/>
        <w:spacing w:after="0" w:line="258" w:lineRule="auto"/>
        <w:tabs>
          <w:tab w:leader="none" w:pos="505" w:val="left"/>
        </w:tabs>
        <w:rPr>
          <w:sz w:val="20"/>
          <w:szCs w:val="20"/>
          <w:color w:val="auto"/>
        </w:rPr>
      </w:pPr>
      <w:r>
        <w:rPr>
          <w:rFonts w:ascii="Times New Roman" w:cs="Times New Roman" w:eastAsia="Times New Roman" w:hAnsi="Times New Roman"/>
          <w:sz w:val="18"/>
          <w:szCs w:val="18"/>
          <w:color w:val="auto"/>
        </w:rPr>
        <w:t>4.u</w:t>
      </w:r>
      <w:r>
        <w:rPr>
          <w:sz w:val="20"/>
          <w:szCs w:val="20"/>
          <w:color w:val="auto"/>
        </w:rPr>
        <w:tab/>
      </w:r>
      <w:r>
        <w:rPr>
          <w:rFonts w:ascii="Times New Roman" w:cs="Times New Roman" w:eastAsia="Times New Roman" w:hAnsi="Times New Roman"/>
          <w:sz w:val="18"/>
          <w:szCs w:val="18"/>
          <w:u w:val="single" w:color="auto"/>
          <w:color w:val="0000FF"/>
        </w:rPr>
        <w:t>Fourth Amendment to Amended and Restated Credit Agreement, dated as of October 4, 2021, among Crown Americas LLC, Crown European Holdings S.A., Crown Metal Packaging Canada LP, each of the Subsidiary Borrowers from time to time party thereto, Crown Holdings, Inc., Crown Cork &amp; Seal Company, Inc. and Crown International Holdings,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w:t>
      </w:r>
      <w:r>
        <w:rPr>
          <w:rFonts w:ascii="Times New Roman" w:cs="Times New Roman" w:eastAsia="Times New Roman" w:hAnsi="Times New Roman"/>
          <w:sz w:val="18"/>
          <w:szCs w:val="18"/>
          <w:u w:val="single" w:color="auto"/>
          <w:color w:val="0000FF"/>
        </w:rPr>
        <w:t>., each other Credit Party from time to time party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thereto, Deutsche Bank AG New York Branch, Deutsche Bank AG, London Branch, Deutsche Bank AG, Canada Branch, and various Lenders referred to therein.</w:t>
      </w:r>
    </w:p>
    <w:p>
      <w:pPr>
        <w:spacing w:after="0" w:line="210" w:lineRule="exact"/>
        <w:rPr>
          <w:rFonts w:ascii="Times New Roman" w:cs="Times New Roman" w:eastAsia="Times New Roman" w:hAnsi="Times New Roman"/>
          <w:sz w:val="18"/>
          <w:szCs w:val="18"/>
          <w:u w:val="single" w:color="auto"/>
          <w:color w:val="0000FF"/>
        </w:rPr>
      </w:pPr>
    </w:p>
    <w:p>
      <w:pPr>
        <w:ind w:left="565" w:hanging="565"/>
        <w:spacing w:after="0" w:line="261" w:lineRule="auto"/>
        <w:tabs>
          <w:tab w:leader="none" w:pos="1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Purchase Agreement, dated as of March 14, 2022, by and among Crown Holdings, Inc., Crown Americas LLC, BNP Paribas Securities Corp., Citigroup Global Markets Inc. and Mizuho Securities USA LLC, as representatives of the initial purchasers, and the Guarantors (as defined therein) (incorporated by reference to Exhibit 10.1 of the Registrant’s Current Report on Form 8-K dated March 17, 2022 (File No. 000-50189)).</w:t>
      </w:r>
    </w:p>
    <w:p>
      <w:pPr>
        <w:spacing w:after="0" w:line="207" w:lineRule="exact"/>
        <w:rPr>
          <w:rFonts w:ascii="Times New Roman" w:cs="Times New Roman" w:eastAsia="Times New Roman" w:hAnsi="Times New Roman"/>
          <w:sz w:val="18"/>
          <w:szCs w:val="18"/>
          <w:u w:val="single" w:color="auto"/>
          <w:color w:val="0000FF"/>
        </w:rPr>
      </w:pPr>
    </w:p>
    <w:p>
      <w:pPr>
        <w:jc w:val="both"/>
        <w:ind w:left="525" w:hanging="566"/>
        <w:spacing w:after="0" w:line="266" w:lineRule="auto"/>
        <w:tabs>
          <w:tab w:leader="none" w:pos="505" w:val="left"/>
        </w:tabs>
        <w:rPr>
          <w:sz w:val="20"/>
          <w:szCs w:val="20"/>
          <w:color w:val="auto"/>
        </w:rPr>
      </w:pPr>
      <w:r>
        <w:rPr>
          <w:rFonts w:ascii="Times New Roman" w:cs="Times New Roman" w:eastAsia="Times New Roman" w:hAnsi="Times New Roman"/>
          <w:sz w:val="18"/>
          <w:szCs w:val="18"/>
          <w:color w:val="auto"/>
        </w:rPr>
        <w:t>4.w</w:t>
        <w:tab/>
        <w:t>Indenture, dated as of March 17, 2022, among Crown Americas LLC, as Issuer, the Guarantors named therein and U.S. Bank National Association, as Trustee, relating to the $500 million 5.25% Senior Notes due 2030 (incorporated by reference to Exhibit 4.1 of the Registrant’s Current Report on Form 8-K dated March 21, 2022 (File No. 000-50189)).</w:t>
      </w:r>
    </w:p>
    <w:p>
      <w:pPr>
        <w:spacing w:after="0" w:line="203" w:lineRule="exact"/>
        <w:rPr>
          <w:rFonts w:ascii="Times New Roman" w:cs="Times New Roman" w:eastAsia="Times New Roman" w:hAnsi="Times New Roman"/>
          <w:sz w:val="18"/>
          <w:szCs w:val="18"/>
          <w:u w:val="single" w:color="auto"/>
          <w:color w:val="0000FF"/>
        </w:rPr>
      </w:pPr>
    </w:p>
    <w:p>
      <w:pPr>
        <w:jc w:val="both"/>
        <w:ind w:left="505" w:hanging="566"/>
        <w:spacing w:after="0" w:line="261" w:lineRule="auto"/>
        <w:tabs>
          <w:tab w:leader="none" w:pos="485" w:val="left"/>
        </w:tabs>
        <w:rPr>
          <w:sz w:val="20"/>
          <w:szCs w:val="20"/>
          <w:color w:val="auto"/>
        </w:rPr>
      </w:pPr>
      <w:r>
        <w:rPr>
          <w:rFonts w:ascii="Times New Roman" w:cs="Times New Roman" w:eastAsia="Times New Roman" w:hAnsi="Times New Roman"/>
          <w:sz w:val="18"/>
          <w:szCs w:val="18"/>
          <w:color w:val="auto"/>
        </w:rPr>
        <w:t>4.x</w:t>
      </w:r>
      <w:r>
        <w:rPr>
          <w:sz w:val="20"/>
          <w:szCs w:val="20"/>
          <w:color w:val="auto"/>
        </w:rPr>
        <w:tab/>
      </w:r>
      <w:r>
        <w:rPr>
          <w:rFonts w:ascii="Times New Roman" w:cs="Times New Roman" w:eastAsia="Times New Roman" w:hAnsi="Times New Roman"/>
          <w:sz w:val="18"/>
          <w:szCs w:val="18"/>
          <w:color w:val="auto"/>
        </w:rPr>
        <w:t>Registration Rights Agreement, dated as of March 17, 2022, by and among Crown Holdings, Inc., Crown Americas LLC, BNP Paribas Securities Corp., Citigroup Global Markets Inc. and Mizuho Securities USA LLC, as representatives of the initial purchasers, and the Guarantors (as defined therein), relating to the $500 million 5.25% Senior Notes due 2030 (incorporated by reference to Exhibit 4.2 of the Registrant’s Current Report on Form 8-K dated March 21, 2022 (File No. 000-50189)).</w:t>
      </w:r>
    </w:p>
    <w:p>
      <w:pPr>
        <w:spacing w:after="0" w:line="193" w:lineRule="exact"/>
        <w:rPr>
          <w:rFonts w:ascii="Times New Roman" w:cs="Times New Roman" w:eastAsia="Times New Roman" w:hAnsi="Times New Roman"/>
          <w:sz w:val="18"/>
          <w:szCs w:val="18"/>
          <w:u w:val="single" w:color="auto"/>
          <w:color w:val="0000FF"/>
        </w:rPr>
      </w:pPr>
    </w:p>
    <w:p>
      <w:pPr>
        <w:ind w:left="405" w:hanging="566"/>
        <w:spacing w:after="0" w:line="241" w:lineRule="auto"/>
        <w:tabs>
          <w:tab w:leader="none" w:pos="385" w:val="left"/>
        </w:tabs>
        <w:rPr>
          <w:sz w:val="20"/>
          <w:szCs w:val="20"/>
          <w:color w:val="auto"/>
        </w:rPr>
      </w:pPr>
      <w:r>
        <w:rPr>
          <w:rFonts w:ascii="Times New Roman" w:cs="Times New Roman" w:eastAsia="Times New Roman" w:hAnsi="Times New Roman"/>
          <w:sz w:val="18"/>
          <w:szCs w:val="18"/>
          <w:color w:val="auto"/>
        </w:rPr>
        <w:t>4.y</w:t>
        <w:tab/>
        <w:t>Incremental Amendment No. 3 and Fifth Amendment, dated August 8, 2022, to Amended and Restated Credit Agreement, dated April 7, 2017, among Crown Holdings, Inc., Crown Americas LLC, Crown European Holdings S.A., the Subsidiary Borrowers party thereto, Crown Metal Packaging Canada LP, Crown Cork &amp; Seal Company, Inc., the Parent Guarantors party thereto, the other Credit Parties party thereto, the Lenders party thereto, Deutsche Bank AG Canada Branch, Deutsche Bank AG London Branch, and Deutsche Bank AG New York Branch (incorporated by reference to Exhibit 4.z of the Registrant’s Current Report on Form 8-K dated August 11, 2022 (File No. 000-50189)).</w:t>
      </w:r>
    </w:p>
    <w:p>
      <w:pPr>
        <w:spacing w:after="0" w:line="224" w:lineRule="exact"/>
        <w:rPr>
          <w:rFonts w:ascii="Times New Roman" w:cs="Times New Roman" w:eastAsia="Times New Roman" w:hAnsi="Times New Roman"/>
          <w:sz w:val="18"/>
          <w:szCs w:val="18"/>
          <w:u w:val="single" w:color="auto"/>
          <w:color w:val="0000FF"/>
        </w:rPr>
      </w:pPr>
    </w:p>
    <w:p>
      <w:pPr>
        <w:ind w:left="385" w:right="280" w:hanging="566"/>
        <w:spacing w:after="0" w:line="266" w:lineRule="auto"/>
        <w:tabs>
          <w:tab w:leader="none" w:pos="365" w:val="left"/>
        </w:tabs>
        <w:rPr>
          <w:sz w:val="20"/>
          <w:szCs w:val="20"/>
          <w:color w:val="auto"/>
        </w:rPr>
      </w:pPr>
      <w:r>
        <w:rPr>
          <w:rFonts w:ascii="Times New Roman" w:cs="Times New Roman" w:eastAsia="Times New Roman" w:hAnsi="Times New Roman"/>
          <w:sz w:val="18"/>
          <w:szCs w:val="18"/>
          <w:color w:val="auto"/>
        </w:rPr>
        <w:t>4.z</w:t>
        <w:tab/>
        <w:t>Description of the Registrant’s Securities (incorporated by reference to Exhibit 4.ff of the Registrant’s Annual Report on Form 10-k for the year ended December 31, 2019 (File No. 000-50189)).</w:t>
      </w:r>
    </w:p>
    <w:p>
      <w:pPr>
        <w:spacing w:after="0" w:line="200" w:lineRule="exact"/>
        <w:rPr>
          <w:rFonts w:ascii="Times New Roman" w:cs="Times New Roman" w:eastAsia="Times New Roman" w:hAnsi="Times New Roman"/>
          <w:sz w:val="18"/>
          <w:szCs w:val="18"/>
          <w:u w:val="single" w:color="auto"/>
          <w:color w:val="0000FF"/>
        </w:rPr>
      </w:pPr>
    </w:p>
    <w:p>
      <w:pPr>
        <w:spacing w:after="0" w:line="300" w:lineRule="exact"/>
        <w:rPr>
          <w:rFonts w:ascii="Times New Roman" w:cs="Times New Roman" w:eastAsia="Times New Roman" w:hAnsi="Times New Roman"/>
          <w:sz w:val="18"/>
          <w:szCs w:val="18"/>
          <w:u w:val="single" w:color="auto"/>
          <w:color w:val="0000FF"/>
        </w:rPr>
      </w:pPr>
    </w:p>
    <w:p>
      <w:pPr>
        <w:ind w:left="4965"/>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3" w:name="page94"/>
    <w:bookmarkEnd w:id="93"/>
    <w:p>
      <w:pPr>
        <w:ind w:left="43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ind w:left="540" w:right="80" w:hanging="566"/>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4.aa</w:t>
        <w:tab/>
        <w:t>Other long-term agreements of the Registrant are not filed pursuant to Item 601(b)(4)(iii)(A) of Regulation S-K, and the Registrant agrees to furnish copies of such agreements to the Securities and Exchange Commission upon its requests.</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10.a</w:t>
        <w:tab/>
        <w:t>Employment Contracts:</w:t>
      </w:r>
    </w:p>
    <w:p>
      <w:pPr>
        <w:spacing w:after="0" w:line="252" w:lineRule="exact"/>
        <w:rPr>
          <w:sz w:val="20"/>
          <w:szCs w:val="20"/>
          <w:color w:val="auto"/>
        </w:rPr>
      </w:pPr>
    </w:p>
    <w:p>
      <w:pPr>
        <w:ind w:left="1120" w:hanging="478"/>
        <w:spacing w:after="0" w:line="282" w:lineRule="auto"/>
        <w:tabs>
          <w:tab w:leader="none" w:pos="1087" w:val="left"/>
        </w:tabs>
        <w:numPr>
          <w:ilvl w:val="0"/>
          <w:numId w:val="35"/>
        </w:numPr>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Employment Agreement, dated December 30, 2015, between Crown Holdings, Inc. and Timothy J. Donahue (incorporated by</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reference to Exhibit 10.1 of the Registrant’s Current Report on Form 8-K dated January 5, 2016 (File No. 000-50189)).</w:t>
        </w:r>
      </w:hyperlink>
    </w:p>
    <w:p>
      <w:pPr>
        <w:spacing w:after="0" w:line="188" w:lineRule="exact"/>
        <w:rPr>
          <w:rFonts w:ascii="Times New Roman" w:cs="Times New Roman" w:eastAsia="Times New Roman" w:hAnsi="Times New Roman"/>
          <w:sz w:val="18"/>
          <w:szCs w:val="18"/>
          <w:u w:val="single" w:color="auto"/>
          <w:color w:val="0000FF"/>
        </w:rPr>
      </w:pPr>
    </w:p>
    <w:p>
      <w:pPr>
        <w:ind w:left="1120" w:hanging="478"/>
        <w:spacing w:after="0" w:line="266" w:lineRule="auto"/>
        <w:tabs>
          <w:tab w:leader="none" w:pos="1051" w:val="left"/>
        </w:tabs>
        <w:numPr>
          <w:ilvl w:val="0"/>
          <w:numId w:val="35"/>
        </w:numPr>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First amendment to the employment contract, effective June 1, 2012, between Crown Holdings, Inc. and Gerard Gifford, dated as of</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July 24, 2013 (incorporated by reference to Exhibit 10.3 of the Registrant's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June 30, 2013 (File No 000-50189)).</w:t>
        </w:r>
      </w:hyperlink>
    </w:p>
    <w:p>
      <w:pPr>
        <w:spacing w:after="0" w:line="202" w:lineRule="exact"/>
        <w:rPr>
          <w:rFonts w:ascii="Times New Roman" w:cs="Times New Roman" w:eastAsia="Times New Roman" w:hAnsi="Times New Roman"/>
          <w:sz w:val="18"/>
          <w:szCs w:val="18"/>
          <w:u w:val="single" w:color="auto"/>
          <w:color w:val="0000FF"/>
        </w:rPr>
      </w:pPr>
    </w:p>
    <w:p>
      <w:pPr>
        <w:jc w:val="both"/>
        <w:ind w:left="1120" w:hanging="478"/>
        <w:spacing w:after="0" w:line="266" w:lineRule="auto"/>
        <w:tabs>
          <w:tab w:leader="none" w:pos="1132" w:val="left"/>
        </w:tabs>
        <w:numPr>
          <w:ilvl w:val="0"/>
          <w:numId w:val="35"/>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Executive Employment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reference to Exhibit 10.1 of the Registrant's Quarterly Report on Form 10-Q for the quarter ended June 30, 2012 (File No 000-</w:t>
        </w:r>
      </w:hyperlink>
      <w:hyperlink r:id="rId152">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120" w:right="20" w:hanging="478"/>
        <w:spacing w:after="0" w:line="282" w:lineRule="auto"/>
        <w:tabs>
          <w:tab w:leader="none" w:pos="11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Employment contract between Crown Holdings, Inc. and Djalma Novaes Jr., dated February 26, 2015 (incorporated by reference to Exhibit 10.c(11) of the Registrant’s Annual Report on Form 10-K for the year ended December 31, 2014 (File No. 000-50189)).</w:t>
      </w:r>
    </w:p>
    <w:p>
      <w:pPr>
        <w:spacing w:after="0" w:line="188" w:lineRule="exact"/>
        <w:rPr>
          <w:rFonts w:ascii="Times New Roman" w:cs="Times New Roman" w:eastAsia="Times New Roman" w:hAnsi="Times New Roman"/>
          <w:sz w:val="18"/>
          <w:szCs w:val="18"/>
          <w:color w:val="auto"/>
        </w:rPr>
      </w:pPr>
    </w:p>
    <w:p>
      <w:pPr>
        <w:ind w:left="1120" w:right="200" w:hanging="478"/>
        <w:spacing w:after="0" w:line="258" w:lineRule="auto"/>
        <w:tabs>
          <w:tab w:leader="none" w:pos="10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Employment Agreement, effective May 1, 2016, between Crown Holdings, Inc. and Robert Bourque, Jr. (incorporated by reference to Exhibit 10.2 of the Registrant’s Quarterly Report on Form 10-Q for the quarter ended March 31, 2016 (File No. 000-50189)).</w:t>
      </w:r>
    </w:p>
    <w:p>
      <w:pPr>
        <w:spacing w:after="0" w:line="196" w:lineRule="exact"/>
        <w:rPr>
          <w:rFonts w:ascii="Times New Roman" w:cs="Times New Roman" w:eastAsia="Times New Roman" w:hAnsi="Times New Roman"/>
          <w:sz w:val="18"/>
          <w:szCs w:val="18"/>
          <w:color w:val="auto"/>
        </w:rPr>
      </w:pPr>
    </w:p>
    <w:p>
      <w:pPr>
        <w:ind w:left="1120" w:right="200" w:hanging="478"/>
        <w:spacing w:after="0" w:line="266" w:lineRule="auto"/>
        <w:tabs>
          <w:tab w:leader="none" w:pos="10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Employment Agreement, dated January 7, 2022, between Crown Holdings, Inc. and Kevin C. Clothier (incorporated by reference to Exhibit 10.1 of the Registrant’s Periodic Report on Form 8-K filed January 11, 2022 (File No. 000-50189)).</w:t>
      </w:r>
    </w:p>
    <w:p>
      <w:pPr>
        <w:spacing w:after="0" w:line="189" w:lineRule="exact"/>
        <w:rPr>
          <w:rFonts w:ascii="Times New Roman" w:cs="Times New Roman" w:eastAsia="Times New Roman" w:hAnsi="Times New Roman"/>
          <w:sz w:val="18"/>
          <w:szCs w:val="18"/>
          <w:u w:val="single" w:color="auto"/>
          <w:color w:val="0000FF"/>
        </w:rPr>
      </w:pPr>
    </w:p>
    <w:p>
      <w:pPr>
        <w:ind w:left="640" w:hanging="566"/>
        <w:spacing w:after="0" w:line="282" w:lineRule="auto"/>
        <w:tabs>
          <w:tab w:leader="none" w:pos="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10.b</w:t>
      </w:r>
      <w:r>
        <w:rPr>
          <w:sz w:val="20"/>
          <w:szCs w:val="20"/>
          <w:color w:val="auto"/>
        </w:rPr>
        <w:tab/>
      </w:r>
      <w:hyperlink r:id="rId153">
        <w:r>
          <w:rPr>
            <w:rFonts w:ascii="Times New Roman" w:cs="Times New Roman" w:eastAsia="Times New Roman" w:hAnsi="Times New Roman"/>
            <w:sz w:val="18"/>
            <w:szCs w:val="18"/>
            <w:u w:val="single" w:color="auto"/>
            <w:color w:val="0000FF"/>
          </w:rPr>
          <w:t>Crown Holdings, Inc. Economic Profit Incentive Plan, effective as of January 1, 2018 (incorporated by reference to Exhibit 10.b of the</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Registrant's Annual Report on Form 10-K for the year ended December 31, 2018 (File No. 000-50189)).</w:t>
        </w:r>
      </w:hyperlink>
    </w:p>
    <w:p>
      <w:pPr>
        <w:spacing w:after="0" w:line="189" w:lineRule="exact"/>
        <w:rPr>
          <w:sz w:val="20"/>
          <w:szCs w:val="20"/>
          <w:color w:val="auto"/>
        </w:rPr>
      </w:pPr>
    </w:p>
    <w:p>
      <w:pPr>
        <w:ind w:left="640" w:hanging="566"/>
        <w:spacing w:after="0" w:line="282" w:lineRule="auto"/>
        <w:tabs>
          <w:tab w:leader="none" w:pos="6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10.c</w:t>
      </w:r>
      <w:r>
        <w:rPr>
          <w:sz w:val="20"/>
          <w:szCs w:val="20"/>
          <w:color w:val="auto"/>
        </w:rPr>
        <w:tab/>
      </w:r>
      <w:hyperlink r:id="rId154">
        <w:r>
          <w:rPr>
            <w:rFonts w:ascii="Times New Roman" w:cs="Times New Roman" w:eastAsia="Times New Roman" w:hAnsi="Times New Roman"/>
            <w:sz w:val="18"/>
            <w:szCs w:val="18"/>
            <w:u w:val="single" w:color="auto"/>
            <w:color w:val="0000FF"/>
          </w:rPr>
          <w:t>Crown Holdings, Inc. Senior Executive Retirement Plan, as amended and restated as of January 1, 2008 (incorporated by reference to</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Exhibit 10.l of the Registrant’s Annual Report on Form 10-K for the year ended December 31, 2007 (File No. 000-50189)).</w:t>
        </w:r>
      </w:hyperlink>
    </w:p>
    <w:p>
      <w:pPr>
        <w:spacing w:after="0" w:line="189" w:lineRule="exact"/>
        <w:rPr>
          <w:sz w:val="20"/>
          <w:szCs w:val="20"/>
          <w:color w:val="auto"/>
        </w:rPr>
      </w:pPr>
    </w:p>
    <w:p>
      <w:pPr>
        <w:ind w:left="80"/>
        <w:spacing w:after="0"/>
        <w:tabs>
          <w:tab w:leader="none" w:pos="540" w:val="left"/>
        </w:tabs>
        <w:rPr>
          <w:sz w:val="20"/>
          <w:szCs w:val="20"/>
          <w:color w:val="auto"/>
        </w:rPr>
      </w:pPr>
      <w:r>
        <w:rPr>
          <w:rFonts w:ascii="Times New Roman" w:cs="Times New Roman" w:eastAsia="Times New Roman" w:hAnsi="Times New Roman"/>
          <w:sz w:val="18"/>
          <w:szCs w:val="18"/>
          <w:color w:val="auto"/>
        </w:rPr>
        <w:t>10.d</w:t>
        <w:tab/>
        <w:t>Senior Executive Retirement Agreements:</w:t>
      </w:r>
    </w:p>
    <w:p>
      <w:pPr>
        <w:spacing w:after="0" w:line="252" w:lineRule="exact"/>
        <w:rPr>
          <w:sz w:val="20"/>
          <w:szCs w:val="20"/>
          <w:color w:val="auto"/>
        </w:rPr>
      </w:pPr>
    </w:p>
    <w:p>
      <w:pPr>
        <w:jc w:val="both"/>
        <w:ind w:left="1120" w:hanging="478"/>
        <w:spacing w:after="0" w:line="266" w:lineRule="auto"/>
        <w:tabs>
          <w:tab w:leader="none" w:pos="1109" w:val="left"/>
        </w:tabs>
        <w:numPr>
          <w:ilvl w:val="0"/>
          <w:numId w:val="36"/>
        </w:numPr>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Senior Executive Retirement Agreement between Crown Holdings, Inc. and Timothy J. Donahue, dated May 3, 2007 (incorporated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by reference to Exhibit 10.4(e) of the Registrant’s Quarterly Report on Form 10-Q for the quarter ended March 31, 2007 (File No.</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000-50189)).</w:t>
        </w:r>
      </w:hyperlink>
    </w:p>
    <w:p>
      <w:pPr>
        <w:spacing w:after="0" w:line="202" w:lineRule="exact"/>
        <w:rPr>
          <w:rFonts w:ascii="Times New Roman" w:cs="Times New Roman" w:eastAsia="Times New Roman" w:hAnsi="Times New Roman"/>
          <w:sz w:val="18"/>
          <w:szCs w:val="18"/>
          <w:u w:val="single" w:color="auto"/>
          <w:color w:val="0000FF"/>
        </w:rPr>
      </w:pPr>
    </w:p>
    <w:p>
      <w:pPr>
        <w:ind w:left="1120" w:right="20" w:hanging="478"/>
        <w:spacing w:after="0" w:line="266" w:lineRule="auto"/>
        <w:tabs>
          <w:tab w:leader="none" w:pos="1051" w:val="left"/>
        </w:tabs>
        <w:numPr>
          <w:ilvl w:val="0"/>
          <w:numId w:val="36"/>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Senior Executive Retirement Agreement, effective June 1, 2012, between Crown Holdings, Inc. and Gerard Gifford (incorporated by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reference to Exhibit 10.2 of the Registrant's Quarterly Report on Form 10-Q for the quarter ended June 30, 2012 (File No 000-</w:t>
        </w:r>
      </w:hyperlink>
      <w:hyperlink r:id="rId156">
        <w:r>
          <w:rPr>
            <w:rFonts w:ascii="Times New Roman" w:cs="Times New Roman" w:eastAsia="Times New Roman" w:hAnsi="Times New Roman"/>
            <w:sz w:val="18"/>
            <w:szCs w:val="18"/>
            <w:u w:val="single" w:color="auto"/>
            <w:color w:val="0000FF"/>
          </w:rPr>
          <w:t>50189)).</w:t>
        </w:r>
      </w:hyperlink>
    </w:p>
    <w:p>
      <w:pPr>
        <w:spacing w:after="0" w:line="202" w:lineRule="exact"/>
        <w:rPr>
          <w:rFonts w:ascii="Times New Roman" w:cs="Times New Roman" w:eastAsia="Times New Roman" w:hAnsi="Times New Roman"/>
          <w:sz w:val="18"/>
          <w:szCs w:val="18"/>
          <w:u w:val="single" w:color="auto"/>
          <w:color w:val="0000FF"/>
        </w:rPr>
      </w:pPr>
    </w:p>
    <w:p>
      <w:pPr>
        <w:ind w:left="1120" w:hanging="478"/>
        <w:spacing w:after="0" w:line="266" w:lineRule="auto"/>
        <w:tabs>
          <w:tab w:leader="none" w:pos="1037" w:val="left"/>
        </w:tabs>
        <w:numPr>
          <w:ilvl w:val="0"/>
          <w:numId w:val="36"/>
        </w:numPr>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Amendment No. 1 to the Senior Executive Retirement Agreement, effective June 1, 2012, between Crown Holdings, Inc. and Gerard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Gifford dated December 28, 2012 (incorporated by reference to Exhibit 10.m(7) of the Registrant’s Annual Report on Form 10-K for</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the year ended December 31, 2012 (File No. 000-50189)).</w:t>
        </w:r>
      </w:hyperlink>
    </w:p>
    <w:p>
      <w:pPr>
        <w:spacing w:after="0" w:line="202" w:lineRule="exact"/>
        <w:rPr>
          <w:rFonts w:ascii="Times New Roman" w:cs="Times New Roman" w:eastAsia="Times New Roman" w:hAnsi="Times New Roman"/>
          <w:sz w:val="18"/>
          <w:szCs w:val="18"/>
          <w:u w:val="single" w:color="auto"/>
          <w:color w:val="0000FF"/>
        </w:rPr>
      </w:pPr>
    </w:p>
    <w:p>
      <w:pPr>
        <w:ind w:left="1120" w:right="40" w:hanging="478"/>
        <w:spacing w:after="0" w:line="258" w:lineRule="auto"/>
        <w:tabs>
          <w:tab w:leader="none" w:pos="10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Senior Executive Retirement Agreement between Crown Holdings, Inc. and Djalma Novaes Jr., dated February 26, 2015 (incorporated by reference to Exhibit 10.f(9) of the Registrant’s Annual Report on Form 10-K for the year ended December 31, 2014 (File No. 000-50189)).</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3" w:lineRule="exact"/>
        <w:rPr>
          <w:rFonts w:ascii="Times New Roman" w:cs="Times New Roman" w:eastAsia="Times New Roman" w:hAnsi="Times New Roman"/>
          <w:sz w:val="18"/>
          <w:szCs w:val="18"/>
          <w:u w:val="single" w:color="auto"/>
          <w:color w:val="0000FF"/>
        </w:rPr>
      </w:pPr>
    </w:p>
    <w:p>
      <w:pPr>
        <w:jc w:val="center"/>
        <w:ind w:right="4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 w:right="339" w:bottom="1440" w:gutter="0" w:footer="0" w:header="0"/>
        </w:sectPr>
      </w:pPr>
    </w:p>
    <w:bookmarkStart w:id="94" w:name="page95"/>
    <w:bookmarkEnd w:id="94"/>
    <w:p>
      <w:pPr>
        <w:ind w:left="42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040" w:hanging="478"/>
        <w:spacing w:after="0" w:line="266" w:lineRule="auto"/>
        <w:tabs>
          <w:tab w:leader="none" w:pos="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Senior Executive Retirement Agreement, effective May 1, 2016, between Crown Holdings, Inc. and Robert Bourque, Jr. (incorporated by reference to Exhibit 10.3 of the Registrant’s Quarterly Report on Form 10-Q for the quarter ended March 31, 2016 (File No. 000-50189)).</w:t>
      </w:r>
    </w:p>
    <w:p>
      <w:pPr>
        <w:spacing w:after="0" w:line="202" w:lineRule="exact"/>
        <w:rPr>
          <w:rFonts w:ascii="Times New Roman" w:cs="Times New Roman" w:eastAsia="Times New Roman" w:hAnsi="Times New Roman"/>
          <w:sz w:val="18"/>
          <w:szCs w:val="18"/>
          <w:color w:val="auto"/>
        </w:rPr>
      </w:pPr>
    </w:p>
    <w:p>
      <w:pPr>
        <w:ind w:left="1040" w:right="120" w:hanging="478"/>
        <w:spacing w:after="0" w:line="258" w:lineRule="auto"/>
        <w:tabs>
          <w:tab w:leader="none" w:pos="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Amendment No. 2 to the Senior Executive Retirement Agreement, effective as of May 17, 2016, between Crown Holdings, Inc. and Gerard Gifford (incorporated by reference to Exhibit 10.1 of the Registrant’s Current Report on Form 8-K dated May 18, 2016 (File No. 000-50189)).</w:t>
      </w:r>
    </w:p>
    <w:p>
      <w:pPr>
        <w:spacing w:after="0" w:line="196" w:lineRule="exact"/>
        <w:rPr>
          <w:rFonts w:ascii="Times New Roman" w:cs="Times New Roman" w:eastAsia="Times New Roman" w:hAnsi="Times New Roman"/>
          <w:sz w:val="18"/>
          <w:szCs w:val="18"/>
          <w:color w:val="auto"/>
        </w:rPr>
      </w:pPr>
    </w:p>
    <w:p>
      <w:pPr>
        <w:ind w:left="960" w:right="300" w:hanging="398"/>
        <w:spacing w:after="0" w:line="258" w:lineRule="auto"/>
        <w:tabs>
          <w:tab w:leader="none" w:pos="9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Amended and Restated Senior Executive Retirement Agreement, effective as of June 1, 2017, between Crown Holdings, Inc. and Gerard Gifford (incorporated by reference to Exhibit 10.c of the Registrant’s Quarterly Report on Form 10-Q for the quarter ended March 31, 2017 (File No. 000-50189)).</w:t>
      </w:r>
    </w:p>
    <w:p>
      <w:pPr>
        <w:spacing w:after="0" w:line="196" w:lineRule="exact"/>
        <w:rPr>
          <w:rFonts w:ascii="Times New Roman" w:cs="Times New Roman" w:eastAsia="Times New Roman" w:hAnsi="Times New Roman"/>
          <w:sz w:val="18"/>
          <w:szCs w:val="18"/>
          <w:color w:val="auto"/>
        </w:rPr>
      </w:pPr>
    </w:p>
    <w:p>
      <w:pPr>
        <w:ind w:left="1040" w:right="120" w:hanging="478"/>
        <w:spacing w:after="0" w:line="258" w:lineRule="auto"/>
        <w:tabs>
          <w:tab w:leader="none" w:pos="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Amendment No.1 to Amend and Restate Senior Executive Retirement Agreement, effective October 21, 2020, between Crown Holdings, Inc. and Gerard Gifford (incorporated by reference to Exhibit 10.d of the Registrant’s Quarterly Report on Form 10-Q for the Quarter ended September 30, 2020 (File No. 000-50189)).</w:t>
      </w:r>
    </w:p>
    <w:p>
      <w:pPr>
        <w:spacing w:after="0" w:line="196" w:lineRule="exact"/>
        <w:rPr>
          <w:sz w:val="20"/>
          <w:szCs w:val="20"/>
          <w:color w:val="auto"/>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10.e</w:t>
      </w:r>
      <w:r>
        <w:rPr>
          <w:sz w:val="20"/>
          <w:szCs w:val="20"/>
          <w:color w:val="auto"/>
        </w:rPr>
        <w:tab/>
      </w:r>
      <w:hyperlink r:id="rId159">
        <w:r>
          <w:rPr>
            <w:rFonts w:ascii="Times New Roman" w:cs="Times New Roman" w:eastAsia="Times New Roman" w:hAnsi="Times New Roman"/>
            <w:sz w:val="18"/>
            <w:szCs w:val="18"/>
            <w:u w:val="single" w:color="auto"/>
            <w:color w:val="0000FF"/>
          </w:rPr>
          <w:t>Form of Agreement for Non-Qualified Stock Option Awards under Crown Holdings, Inc. 2004 Stock-Based Incentive Compensation Plan</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(incorporated by reference to Exhibit 10.6 of the Registrant’s Quarterly Report on Form 10-Q for the quarter ended September 30, 2004</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(File No. 000-51089)).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10.f</w:t>
      </w:r>
      <w:r>
        <w:rPr>
          <w:sz w:val="20"/>
          <w:szCs w:val="20"/>
          <w:color w:val="auto"/>
        </w:rPr>
        <w:tab/>
      </w:r>
      <w:hyperlink r:id="rId160">
        <w:r>
          <w:rPr>
            <w:rFonts w:ascii="Times New Roman" w:cs="Times New Roman" w:eastAsia="Times New Roman" w:hAnsi="Times New Roman"/>
            <w:sz w:val="18"/>
            <w:szCs w:val="18"/>
            <w:u w:val="single" w:color="auto"/>
            <w:color w:val="0000FF"/>
          </w:rPr>
          <w:t>Crown Holdings, Inc. Deferred Compensation Plan for Directors, as Amended and Restated, effective January 1, 2008 (incorporated by</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reference to Exhibit 10.w of the Registrant’s Annual Report on Form 10-K for the year ended December 31, 2008 (File No. 000-50189)).</w:t>
        </w:r>
      </w:hyperlink>
    </w:p>
    <w:p>
      <w:pPr>
        <w:spacing w:after="0" w:line="189" w:lineRule="exact"/>
        <w:rPr>
          <w:sz w:val="20"/>
          <w:szCs w:val="20"/>
          <w:color w:val="auto"/>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10.g</w:t>
      </w:r>
      <w:r>
        <w:rPr>
          <w:sz w:val="20"/>
          <w:szCs w:val="20"/>
          <w:color w:val="auto"/>
        </w:rPr>
        <w:tab/>
      </w:r>
      <w:hyperlink r:id="rId161">
        <w:r>
          <w:rPr>
            <w:rFonts w:ascii="Times New Roman" w:cs="Times New Roman" w:eastAsia="Times New Roman" w:hAnsi="Times New Roman"/>
            <w:sz w:val="18"/>
            <w:szCs w:val="18"/>
            <w:u w:val="single" w:color="auto"/>
            <w:color w:val="0000FF"/>
          </w:rPr>
          <w:t>Crown Holdings, Inc. Stock Compensation Plan for Non-Employee Directors, dated as of April 22, 2004 (incorporated by reference to the</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Registrant’s Definitive Proxy Statement on Schedule 14A, filed with the Securities and Exchange Commission on March 19, 2004 (File No.</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00" w:hanging="566"/>
        <w:spacing w:after="0" w:line="266"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10.h</w:t>
      </w:r>
      <w:r>
        <w:rPr>
          <w:sz w:val="20"/>
          <w:szCs w:val="20"/>
          <w:color w:val="auto"/>
        </w:rPr>
        <w:tab/>
      </w:r>
      <w:hyperlink r:id="rId162">
        <w:r>
          <w:rPr>
            <w:rFonts w:ascii="Times New Roman" w:cs="Times New Roman" w:eastAsia="Times New Roman" w:hAnsi="Times New Roman"/>
            <w:sz w:val="18"/>
            <w:szCs w:val="18"/>
            <w:u w:val="single" w:color="auto"/>
            <w:color w:val="0000FF"/>
          </w:rPr>
          <w:t>Amendment No. 1, effective April 1, 2005, to the Crown Holdings, Inc. Stock Compensation Plan for Non-Employee Directors, dated as of</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April 22, 2004 (incorporated by reference to Exhibit 10 to the Registrant’s Quarterly Report on Form 10-Q for the quarter ended March 31,</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2005 (File No. 000-50189)).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60" w:hanging="566"/>
        <w:spacing w:after="0" w:line="282" w:lineRule="auto"/>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10.i</w:t>
      </w:r>
      <w:r>
        <w:rPr>
          <w:sz w:val="20"/>
          <w:szCs w:val="20"/>
          <w:color w:val="auto"/>
        </w:rPr>
        <w:tab/>
      </w:r>
      <w:hyperlink r:id="rId163">
        <w:r>
          <w:rPr>
            <w:rFonts w:ascii="Times New Roman" w:cs="Times New Roman" w:eastAsia="Times New Roman" w:hAnsi="Times New Roman"/>
            <w:sz w:val="18"/>
            <w:szCs w:val="18"/>
            <w:u w:val="single" w:color="auto"/>
            <w:color w:val="0000FF"/>
          </w:rPr>
          <w:t>Crown Holdings, Inc. 2013 Stock-Based Incentive Compensation Plan (incorporated by reference to the Registrant's Definitive Proxy</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Statement on Schedule 14A, filed with the Securities and Exchange Commission on March 18, 2013 (File No. 000-50189)).</w:t>
        </w:r>
      </w:hyperlink>
    </w:p>
    <w:p>
      <w:pPr>
        <w:spacing w:after="0" w:line="189" w:lineRule="exact"/>
        <w:rPr>
          <w:sz w:val="20"/>
          <w:szCs w:val="20"/>
          <w:color w:val="auto"/>
        </w:rPr>
      </w:pPr>
    </w:p>
    <w:p>
      <w:pPr>
        <w:jc w:val="both"/>
        <w:ind w:left="460" w:hanging="566"/>
        <w:spacing w:after="0" w:line="266" w:lineRule="auto"/>
        <w:tabs>
          <w:tab w:leader="none" w:pos="4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10.j</w:t>
      </w:r>
      <w:r>
        <w:rPr>
          <w:sz w:val="20"/>
          <w:szCs w:val="20"/>
          <w:color w:val="auto"/>
        </w:rPr>
        <w:tab/>
      </w:r>
      <w:hyperlink r:id="rId164">
        <w:r>
          <w:rPr>
            <w:rFonts w:ascii="Times New Roman" w:cs="Times New Roman" w:eastAsia="Times New Roman" w:hAnsi="Times New Roman"/>
            <w:sz w:val="18"/>
            <w:szCs w:val="18"/>
            <w:u w:val="single" w:color="auto"/>
            <w:color w:val="0000FF"/>
          </w:rPr>
          <w:t>Form of Agreement for Restricted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by reference to Exhibit 10.1 of the Registrant’s Quarterly Report on Form 10-Q for the quarter ended September 30, 2013 (File No. 000-</w:t>
        </w:r>
      </w:hyperlink>
      <w:hyperlink r:id="rId164">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20" w:hanging="566"/>
        <w:spacing w:after="0" w:line="266" w:lineRule="auto"/>
        <w:tabs>
          <w:tab w:leader="none" w:pos="5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10.k</w:t>
      </w:r>
      <w:r>
        <w:rPr>
          <w:sz w:val="20"/>
          <w:szCs w:val="20"/>
          <w:color w:val="auto"/>
        </w:rPr>
        <w:tab/>
      </w:r>
      <w:hyperlink r:id="rId165">
        <w:r>
          <w:rPr>
            <w:rFonts w:ascii="Times New Roman" w:cs="Times New Roman" w:eastAsia="Times New Roman" w:hAnsi="Times New Roman"/>
            <w:sz w:val="18"/>
            <w:szCs w:val="18"/>
            <w:u w:val="single" w:color="auto"/>
            <w:color w:val="0000FF"/>
          </w:rPr>
          <w:t>Form of Agreement for Deferred Stock Awards under Crown Holdings, Inc. 2013 Stock-Based Incentive Compensation Plan (incorporated</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by reference to Exhibit 10.2 of the Registrant’s Quarterly Report on Form 10-Q for the quarter ended September 30, 2013 (File No. 000-</w:t>
        </w:r>
      </w:hyperlink>
      <w:hyperlink r:id="rId165">
        <w:r>
          <w:rPr>
            <w:rFonts w:ascii="Times New Roman" w:cs="Times New Roman" w:eastAsia="Times New Roman" w:hAnsi="Times New Roman"/>
            <w:sz w:val="18"/>
            <w:szCs w:val="18"/>
            <w:u w:val="single" w:color="auto"/>
            <w:color w:val="0000FF"/>
          </w:rPr>
          <w:t>50189)).</w:t>
        </w:r>
      </w:hyperlink>
    </w:p>
    <w:p>
      <w:pPr>
        <w:spacing w:after="0" w:line="203" w:lineRule="exact"/>
        <w:rPr>
          <w:rFonts w:ascii="Times New Roman" w:cs="Times New Roman" w:eastAsia="Times New Roman" w:hAnsi="Times New Roman"/>
          <w:sz w:val="18"/>
          <w:szCs w:val="18"/>
          <w:u w:val="single" w:color="auto"/>
          <w:color w:val="0000FF"/>
        </w:rPr>
      </w:pPr>
    </w:p>
    <w:p>
      <w:pPr>
        <w:jc w:val="both"/>
        <w:ind w:left="540" w:hanging="566"/>
        <w:spacing w:after="0" w:line="282" w:lineRule="auto"/>
        <w:tabs>
          <w:tab w:leader="none" w:pos="5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10.l</w:t>
      </w:r>
      <w:r>
        <w:rPr>
          <w:sz w:val="20"/>
          <w:szCs w:val="20"/>
          <w:color w:val="auto"/>
        </w:rPr>
        <w:tab/>
      </w:r>
      <w:hyperlink r:id="rId166">
        <w:r>
          <w:rPr>
            <w:rFonts w:ascii="Times New Roman" w:cs="Times New Roman" w:eastAsia="Times New Roman" w:hAnsi="Times New Roman"/>
            <w:sz w:val="18"/>
            <w:szCs w:val="18"/>
            <w:u w:val="single" w:color="auto"/>
            <w:color w:val="0000FF"/>
          </w:rPr>
          <w:t>Crown Cork &amp; Seal Company, Inc. Restoration Plan, dated July 28, 2010 (incorporated by reference to Exhibit 10.3 of the Registrant's</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Quarterly Report on Form 10-Q for the quarter ended June 30, 2012 (File No. 000-50189)).</w:t>
        </w:r>
      </w:hyperlink>
    </w:p>
    <w:p>
      <w:pPr>
        <w:spacing w:after="0" w:line="189" w:lineRule="exact"/>
        <w:rPr>
          <w:sz w:val="20"/>
          <w:szCs w:val="20"/>
          <w:color w:val="auto"/>
        </w:rPr>
      </w:pPr>
    </w:p>
    <w:p>
      <w:pPr>
        <w:spacing w:after="0"/>
        <w:tabs>
          <w:tab w:leader="none" w:pos="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10.m</w:t>
      </w:r>
      <w:r>
        <w:rPr>
          <w:sz w:val="20"/>
          <w:szCs w:val="20"/>
          <w:color w:val="auto"/>
        </w:rPr>
        <w:tab/>
      </w:r>
      <w:hyperlink r:id="rId167">
        <w:r>
          <w:rPr>
            <w:rFonts w:ascii="Times New Roman" w:cs="Times New Roman" w:eastAsia="Times New Roman" w:hAnsi="Times New Roman"/>
            <w:sz w:val="18"/>
            <w:szCs w:val="18"/>
            <w:u w:val="single" w:color="auto"/>
            <w:color w:val="0000FF"/>
          </w:rPr>
          <w:t>Amendment No. 1, effective July 1, 2011, to the Crown Cork &amp; Seal Company, Inc. Restoration Plan (incorporated by reference to Exhibit</w:t>
        </w:r>
      </w:hyperlink>
    </w:p>
    <w:p>
      <w:pPr>
        <w:spacing w:after="0" w:line="27" w:lineRule="exact"/>
        <w:rPr>
          <w:sz w:val="20"/>
          <w:szCs w:val="20"/>
          <w:color w:val="auto"/>
        </w:rPr>
      </w:pPr>
    </w:p>
    <w:p>
      <w:pPr>
        <w:ind w:left="56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10.4 of the Registrant's Quarterly Report on Form 10-Q for the quarter ended June 30, 2012 (File No. 000-50189)).</w:t>
        </w:r>
      </w:hyperlink>
    </w:p>
    <w:p>
      <w:pPr>
        <w:spacing w:after="0" w:line="234" w:lineRule="exact"/>
        <w:rPr>
          <w:sz w:val="20"/>
          <w:szCs w:val="20"/>
          <w:color w:val="auto"/>
        </w:rPr>
      </w:pPr>
    </w:p>
    <w:p>
      <w:pPr>
        <w:jc w:val="both"/>
        <w:ind w:left="560" w:right="20" w:hanging="566"/>
        <w:spacing w:after="0" w:line="31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10.n </w:t>
      </w:r>
      <w:hyperlink r:id="rId168">
        <w:r>
          <w:rPr>
            <w:rFonts w:ascii="Times New Roman" w:cs="Times New Roman" w:eastAsia="Times New Roman" w:hAnsi="Times New Roman"/>
            <w:sz w:val="17"/>
            <w:szCs w:val="17"/>
            <w:u w:val="single" w:color="auto"/>
            <w:color w:val="0000FF"/>
          </w:rPr>
          <w:t>Amendment No. 1, effective February 28, 2020, to the Crown Holdings, Inc. 2013 Stock-Based Incentive Compensation Plan (incorporated by</w:t>
        </w:r>
      </w:hyperlink>
      <w:r>
        <w:rPr>
          <w:rFonts w:ascii="Times New Roman" w:cs="Times New Roman" w:eastAsia="Times New Roman" w:hAnsi="Times New Roman"/>
          <w:sz w:val="17"/>
          <w:szCs w:val="17"/>
          <w:color w:val="auto"/>
        </w:rPr>
        <w:t xml:space="preserve"> </w:t>
      </w:r>
      <w:hyperlink r:id="rId168">
        <w:r>
          <w:rPr>
            <w:rFonts w:ascii="Times New Roman" w:cs="Times New Roman" w:eastAsia="Times New Roman" w:hAnsi="Times New Roman"/>
            <w:sz w:val="17"/>
            <w:szCs w:val="17"/>
            <w:u w:val="single" w:color="auto"/>
            <w:color w:val="0000FF"/>
          </w:rPr>
          <w:t>reference to Exhibit 10.2 of the Registrant's Quarterly Report on From 10-Q for the quarter ended March 31, 2020 (File No. 000-50189)).</w:t>
        </w:r>
      </w:hyperlink>
    </w:p>
    <w:p>
      <w:pPr>
        <w:spacing w:after="0" w:line="167" w:lineRule="exact"/>
        <w:rPr>
          <w:sz w:val="20"/>
          <w:szCs w:val="20"/>
          <w:color w:val="auto"/>
        </w:rPr>
      </w:pPr>
    </w:p>
    <w:p>
      <w:pPr>
        <w:spacing w:after="0"/>
        <w:tabs>
          <w:tab w:leader="none" w:pos="4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10.o</w:t>
      </w:r>
      <w:r>
        <w:rPr>
          <w:sz w:val="20"/>
          <w:szCs w:val="20"/>
          <w:color w:val="auto"/>
        </w:rPr>
        <w:tab/>
      </w:r>
      <w:hyperlink r:id="rId169">
        <w:r>
          <w:rPr>
            <w:rFonts w:ascii="Times New Roman" w:cs="Times New Roman" w:eastAsia="Times New Roman" w:hAnsi="Times New Roman"/>
            <w:sz w:val="18"/>
            <w:szCs w:val="18"/>
            <w:u w:val="single" w:color="auto"/>
            <w:color w:val="0000FF"/>
          </w:rPr>
          <w:t>Amendment No. 2, effective February 25, 2021, to the Crown Holdings, Inc. 2013 Stock-Based Incentive Compensation Plan.</w:t>
        </w:r>
      </w:hyperlink>
    </w:p>
    <w:p>
      <w:pPr>
        <w:spacing w:after="0" w:line="200" w:lineRule="exact"/>
        <w:rPr>
          <w:sz w:val="20"/>
          <w:szCs w:val="20"/>
          <w:color w:val="auto"/>
        </w:rPr>
      </w:pPr>
    </w:p>
    <w:p>
      <w:pPr>
        <w:spacing w:after="0" w:line="3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sectPr>
      </w:pPr>
    </w:p>
    <w:bookmarkStart w:id="95" w:name="page96"/>
    <w:bookmarkEnd w:id="95"/>
    <w:p>
      <w:pPr>
        <w:ind w:left="4225"/>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565" w:hanging="566"/>
        <w:spacing w:after="0" w:line="282" w:lineRule="auto"/>
        <w:tabs>
          <w:tab w:leader="none" w:pos="545" w:val="left"/>
        </w:tabs>
        <w:rPr>
          <w:sz w:val="20"/>
          <w:szCs w:val="20"/>
          <w:color w:val="auto"/>
        </w:rPr>
      </w:pPr>
      <w:r>
        <w:rPr>
          <w:rFonts w:ascii="Times New Roman" w:cs="Times New Roman" w:eastAsia="Times New Roman" w:hAnsi="Times New Roman"/>
          <w:sz w:val="18"/>
          <w:szCs w:val="18"/>
          <w:color w:val="auto"/>
        </w:rPr>
        <w:t>10.p</w:t>
        <w:tab/>
        <w:t>Transaction Bonus Agreement, effective April 16, 2021, by, and between Crown Holdings, Inc. and Didier Sourisseau (incorporated by reference to Exhibit 10(d)(12) of the Registrant’s Periodic Report on Form 8-K filed July 23, 2022 (File No. 000-50189)).</w:t>
      </w:r>
    </w:p>
    <w:p>
      <w:pPr>
        <w:spacing w:after="0" w:line="189" w:lineRule="exact"/>
        <w:rPr>
          <w:sz w:val="20"/>
          <w:szCs w:val="20"/>
          <w:color w:val="auto"/>
        </w:rPr>
      </w:pPr>
    </w:p>
    <w:p>
      <w:pPr>
        <w:jc w:val="both"/>
        <w:ind w:left="565" w:hanging="566"/>
        <w:spacing w:after="0" w:line="282" w:lineRule="auto"/>
        <w:rPr>
          <w:sz w:val="20"/>
          <w:szCs w:val="20"/>
          <w:color w:val="auto"/>
        </w:rPr>
      </w:pPr>
      <w:r>
        <w:rPr>
          <w:rFonts w:ascii="Times New Roman" w:cs="Times New Roman" w:eastAsia="Times New Roman" w:hAnsi="Times New Roman"/>
          <w:sz w:val="18"/>
          <w:szCs w:val="18"/>
          <w:color w:val="auto"/>
        </w:rPr>
        <w:t>10.q Consulting Agreement, effective August 1, 2021, by, and between Crown Holdings, Inc. and Didier Sourisseau (incorporated by reference to Exhibit 10(d)(13) of the Registrant’s Periodic Report on Form 8-K filed July 23, 2022 (File No. 000-50189)).</w:t>
      </w:r>
    </w:p>
    <w:p>
      <w:pPr>
        <w:spacing w:after="0" w:line="1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xml:space="preserve">10.r </w:t>
      </w:r>
      <w:r>
        <w:rPr>
          <w:rFonts w:ascii="Times New Roman" w:cs="Times New Roman" w:eastAsia="Times New Roman" w:hAnsi="Times New Roman"/>
          <w:sz w:val="18"/>
          <w:szCs w:val="18"/>
          <w:u w:val="single" w:color="auto"/>
          <w:color w:val="0000FF"/>
        </w:rPr>
        <w:t>Separation Letter Agreement, dated as of October 26, 2022, between Crown Holdings, Inc. and Robert Bourque, Jr.</w:t>
      </w:r>
    </w:p>
    <w:p>
      <w:pPr>
        <w:spacing w:after="0" w:line="252" w:lineRule="exact"/>
        <w:rPr>
          <w:sz w:val="20"/>
          <w:szCs w:val="20"/>
          <w:color w:val="auto"/>
        </w:rPr>
      </w:pPr>
    </w:p>
    <w:p>
      <w:pPr>
        <w:ind w:left="5"/>
        <w:spacing w:after="0"/>
        <w:tabs>
          <w:tab w:leader="none" w:pos="445" w:val="left"/>
        </w:tabs>
        <w:rPr>
          <w:sz w:val="20"/>
          <w:szCs w:val="20"/>
          <w:color w:val="auto"/>
        </w:rPr>
      </w:pPr>
      <w:r>
        <w:rPr>
          <w:rFonts w:ascii="Times New Roman" w:cs="Times New Roman" w:eastAsia="Times New Roman" w:hAnsi="Times New Roman"/>
          <w:sz w:val="18"/>
          <w:szCs w:val="18"/>
          <w:color w:val="auto"/>
        </w:rPr>
        <w:t>10.s</w:t>
      </w:r>
      <w:r>
        <w:rPr>
          <w:sz w:val="20"/>
          <w:szCs w:val="20"/>
          <w:color w:val="auto"/>
        </w:rPr>
        <w:tab/>
      </w:r>
      <w:r>
        <w:rPr>
          <w:rFonts w:ascii="Times New Roman" w:cs="Times New Roman" w:eastAsia="Times New Roman" w:hAnsi="Times New Roman"/>
          <w:sz w:val="18"/>
          <w:szCs w:val="18"/>
          <w:u w:val="single" w:color="auto"/>
          <w:color w:val="0000FF"/>
        </w:rPr>
        <w:t>Executive Employment Agreement, effective January 1, 2023, between Crown Holdings, Inc. and Carlos Baila.</w:t>
      </w:r>
    </w:p>
    <w:p>
      <w:pPr>
        <w:spacing w:after="0" w:line="252" w:lineRule="exact"/>
        <w:rPr>
          <w:sz w:val="20"/>
          <w:szCs w:val="20"/>
          <w:color w:val="auto"/>
        </w:rPr>
      </w:pPr>
    </w:p>
    <w:p>
      <w:pPr>
        <w:jc w:val="both"/>
        <w:ind w:left="565" w:hanging="566"/>
        <w:spacing w:after="0" w:line="282" w:lineRule="auto"/>
        <w:tabs>
          <w:tab w:leader="none" w:pos="545" w:val="left"/>
        </w:tabs>
        <w:rPr>
          <w:sz w:val="20"/>
          <w:szCs w:val="20"/>
          <w:color w:val="auto"/>
        </w:rPr>
      </w:pPr>
      <w:r>
        <w:rPr>
          <w:rFonts w:ascii="Times New Roman" w:cs="Times New Roman" w:eastAsia="Times New Roman" w:hAnsi="Times New Roman"/>
          <w:sz w:val="18"/>
          <w:szCs w:val="18"/>
          <w:color w:val="auto"/>
        </w:rPr>
        <w:t>10.t</w:t>
      </w:r>
      <w:r>
        <w:rPr>
          <w:sz w:val="20"/>
          <w:szCs w:val="20"/>
          <w:color w:val="auto"/>
        </w:rPr>
        <w:tab/>
      </w:r>
      <w:r>
        <w:rPr>
          <w:rFonts w:ascii="Times New Roman" w:cs="Times New Roman" w:eastAsia="Times New Roman" w:hAnsi="Times New Roman"/>
          <w:sz w:val="18"/>
          <w:szCs w:val="18"/>
          <w:color w:val="auto"/>
        </w:rPr>
        <w:t>Crown Holdings, Inc. 2022 Stock-Based Incentive Compensation Plan (incorporated by reference to the Registrant’s Definitive Proxy Statement on Schedule 14A, filed with the Securities and Exchange Commission on March 21, 2022 (File No. 000-50189)).</w:t>
      </w:r>
    </w:p>
    <w:p>
      <w:pPr>
        <w:spacing w:after="0" w:line="189" w:lineRule="exact"/>
        <w:rPr>
          <w:sz w:val="20"/>
          <w:szCs w:val="20"/>
          <w:color w:val="auto"/>
        </w:rPr>
      </w:pPr>
    </w:p>
    <w:p>
      <w:pPr>
        <w:jc w:val="both"/>
        <w:ind w:left="545" w:hanging="566"/>
        <w:spacing w:after="0" w:line="282" w:lineRule="auto"/>
        <w:tabs>
          <w:tab w:leader="none" w:pos="525" w:val="left"/>
        </w:tabs>
        <w:rPr>
          <w:sz w:val="20"/>
          <w:szCs w:val="20"/>
          <w:color w:val="auto"/>
        </w:rPr>
      </w:pPr>
      <w:r>
        <w:rPr>
          <w:rFonts w:ascii="Times New Roman" w:cs="Times New Roman" w:eastAsia="Times New Roman" w:hAnsi="Times New Roman"/>
          <w:sz w:val="18"/>
          <w:szCs w:val="18"/>
          <w:color w:val="auto"/>
        </w:rPr>
        <w:t>10.u</w:t>
        <w:tab/>
        <w:t>Crown Cork &amp; Seal Company, Inc. Amended and Restated Restoration Plan (incorporated by reference to Exhibit 10.o of the Registrant’s Quarterly Report on Form 10-Q for the quarter ended June 30, 2022 (File No. 000-50189)).</w:t>
      </w:r>
    </w:p>
    <w:p>
      <w:pPr>
        <w:spacing w:after="0" w:line="189" w:lineRule="exact"/>
        <w:rPr>
          <w:sz w:val="20"/>
          <w:szCs w:val="20"/>
          <w:color w:val="auto"/>
        </w:rPr>
      </w:pPr>
    </w:p>
    <w:p>
      <w:pPr>
        <w:jc w:val="both"/>
        <w:ind w:left="525" w:hanging="566"/>
        <w:spacing w:after="0" w:line="266" w:lineRule="auto"/>
        <w:tabs>
          <w:tab w:leader="none" w:pos="505" w:val="left"/>
        </w:tabs>
        <w:rPr>
          <w:sz w:val="20"/>
          <w:szCs w:val="20"/>
          <w:color w:val="auto"/>
        </w:rPr>
      </w:pPr>
      <w:r>
        <w:rPr>
          <w:rFonts w:ascii="Times New Roman" w:cs="Times New Roman" w:eastAsia="Times New Roman" w:hAnsi="Times New Roman"/>
          <w:sz w:val="18"/>
          <w:szCs w:val="18"/>
          <w:color w:val="auto"/>
        </w:rPr>
        <w:t>10.v</w:t>
        <w:tab/>
        <w:t>Executive Employment Agreement, effective 25 October, 2022, between Crown Holdings, Inc. and Matthew R. Madeksza (incorporated by reference to Exhibit 10.p of the Registrant’s Quarterly Report on Form 10-Q for the quarter ended September 30, 2022 (File No. 000-50189)).</w:t>
      </w:r>
    </w:p>
    <w:p>
      <w:pPr>
        <w:spacing w:after="0" w:line="203" w:lineRule="exact"/>
        <w:rPr>
          <w:sz w:val="20"/>
          <w:szCs w:val="20"/>
          <w:color w:val="auto"/>
        </w:rPr>
      </w:pPr>
    </w:p>
    <w:p>
      <w:pPr>
        <w:jc w:val="both"/>
        <w:ind w:left="565" w:hanging="566"/>
        <w:spacing w:after="0" w:line="266" w:lineRule="auto"/>
        <w:rPr>
          <w:sz w:val="20"/>
          <w:szCs w:val="20"/>
          <w:color w:val="auto"/>
        </w:rPr>
      </w:pPr>
      <w:r>
        <w:rPr>
          <w:rFonts w:ascii="Times New Roman" w:cs="Times New Roman" w:eastAsia="Times New Roman" w:hAnsi="Times New Roman"/>
          <w:sz w:val="18"/>
          <w:szCs w:val="18"/>
          <w:color w:val="auto"/>
        </w:rPr>
        <w:t>10.w Share and Asset Purchase Agreement, dated as of April 8, 2021, by and among the Company, Crown Cork &amp; Seal Deutschland Holdings GmbH, Blitz F21-387 GmbH, Kouti B.V. and Macsco 20.10 Limited (incorporated by reference to Exhibit 2.1 of the Registrant’s Current Report on Form 8-K dated April 13, 2021 (File No. 000-50189)).</w:t>
      </w:r>
    </w:p>
    <w:p>
      <w:pPr>
        <w:spacing w:after="0" w:line="203" w:lineRule="exact"/>
        <w:rPr>
          <w:sz w:val="20"/>
          <w:szCs w:val="20"/>
          <w:color w:val="auto"/>
        </w:rPr>
      </w:pPr>
    </w:p>
    <w:p>
      <w:pPr>
        <w:jc w:val="both"/>
        <w:ind w:left="525" w:hanging="566"/>
        <w:spacing w:after="0" w:line="266" w:lineRule="auto"/>
        <w:tabs>
          <w:tab w:leader="none" w:pos="505" w:val="left"/>
        </w:tabs>
        <w:rPr>
          <w:sz w:val="20"/>
          <w:szCs w:val="20"/>
          <w:color w:val="auto"/>
        </w:rPr>
      </w:pPr>
      <w:r>
        <w:rPr>
          <w:rFonts w:ascii="Times New Roman" w:cs="Times New Roman" w:eastAsia="Times New Roman" w:hAnsi="Times New Roman"/>
          <w:sz w:val="18"/>
          <w:szCs w:val="18"/>
          <w:color w:val="auto"/>
        </w:rPr>
        <w:t>10.x</w:t>
        <w:tab/>
        <w:t>Director Appointment and Nomination Agreement, dated as of December 12, 2022, by and between the Icahn Group and Crown Holdings, Inc. (incorporated by reference to Exhibit 10.1 of the Registrant’s Current Report on Form 8-K dated December 13, 2022 (File No. 001-41550)).</w:t>
      </w:r>
    </w:p>
    <w:p>
      <w:pPr>
        <w:spacing w:after="0" w:line="203" w:lineRule="exact"/>
        <w:rPr>
          <w:sz w:val="20"/>
          <w:szCs w:val="20"/>
          <w:color w:val="auto"/>
        </w:rPr>
      </w:pPr>
    </w:p>
    <w:p>
      <w:pPr>
        <w:jc w:val="both"/>
        <w:ind w:left="545" w:hanging="566"/>
        <w:spacing w:after="0" w:line="282" w:lineRule="auto"/>
        <w:tabs>
          <w:tab w:leader="none" w:pos="525" w:val="left"/>
        </w:tabs>
        <w:rPr>
          <w:sz w:val="20"/>
          <w:szCs w:val="20"/>
          <w:color w:val="auto"/>
        </w:rPr>
      </w:pPr>
      <w:r>
        <w:rPr>
          <w:rFonts w:ascii="Times New Roman" w:cs="Times New Roman" w:eastAsia="Times New Roman" w:hAnsi="Times New Roman"/>
          <w:sz w:val="18"/>
          <w:szCs w:val="18"/>
          <w:color w:val="auto"/>
        </w:rPr>
        <w:t>10.y</w:t>
      </w:r>
      <w:r>
        <w:rPr>
          <w:sz w:val="20"/>
          <w:szCs w:val="20"/>
          <w:color w:val="auto"/>
        </w:rPr>
        <w:tab/>
      </w:r>
      <w:r>
        <w:rPr>
          <w:rFonts w:ascii="Times New Roman" w:cs="Times New Roman" w:eastAsia="Times New Roman" w:hAnsi="Times New Roman"/>
          <w:sz w:val="18"/>
          <w:szCs w:val="18"/>
          <w:u w:val="single" w:color="auto"/>
          <w:color w:val="0000FF"/>
        </w:rPr>
        <w:t>Crown Holdings, Inc. Deferred Compensation Plan for Directors, as Amended and Restated, effective February 23, 2023 (incorporated by reference to Exhibit 10.y of the Registrant's Annual Report on Form 10-K for the year ended December 31, 2022.</w:t>
      </w:r>
    </w:p>
    <w:p>
      <w:pPr>
        <w:spacing w:after="0" w:line="200" w:lineRule="exact"/>
        <w:rPr>
          <w:sz w:val="20"/>
          <w:szCs w:val="20"/>
          <w:color w:val="auto"/>
        </w:rPr>
      </w:pPr>
    </w:p>
    <w:p>
      <w:pPr>
        <w:spacing w:after="0" w:line="232" w:lineRule="exact"/>
        <w:rPr>
          <w:sz w:val="20"/>
          <w:szCs w:val="20"/>
          <w:color w:val="auto"/>
        </w:rPr>
      </w:pPr>
    </w:p>
    <w:p>
      <w:pPr>
        <w:jc w:val="both"/>
        <w:ind w:left="5"/>
        <w:spacing w:after="0" w:line="282" w:lineRule="auto"/>
        <w:rPr>
          <w:sz w:val="20"/>
          <w:szCs w:val="20"/>
          <w:color w:val="auto"/>
        </w:rPr>
      </w:pPr>
      <w:r>
        <w:rPr>
          <w:rFonts w:ascii="Times New Roman" w:cs="Times New Roman" w:eastAsia="Times New Roman" w:hAnsi="Times New Roman"/>
          <w:sz w:val="18"/>
          <w:szCs w:val="18"/>
          <w:color w:val="auto"/>
        </w:rPr>
        <w:t>Exhibits 10.c through 10.v are management contracts or compensatory plans or arrangements required to be filed as exhibits pursuant to Item 14(c) of this Report.</w:t>
      </w:r>
    </w:p>
    <w:p>
      <w:pPr>
        <w:spacing w:after="0" w:line="189" w:lineRule="exact"/>
        <w:rPr>
          <w:sz w:val="20"/>
          <w:szCs w:val="20"/>
          <w:color w:val="auto"/>
        </w:rPr>
      </w:pPr>
    </w:p>
    <w:p>
      <w:pPr>
        <w:ind w:left="365" w:hanging="365"/>
        <w:spacing w:after="0"/>
        <w:tabs>
          <w:tab w:leader="none" w:pos="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252" w:lineRule="exact"/>
        <w:rPr>
          <w:rFonts w:ascii="Times New Roman" w:cs="Times New Roman" w:eastAsia="Times New Roman" w:hAnsi="Times New Roman"/>
          <w:sz w:val="18"/>
          <w:szCs w:val="18"/>
          <w:color w:val="auto"/>
        </w:rPr>
      </w:pPr>
    </w:p>
    <w:p>
      <w:pPr>
        <w:ind w:left="365" w:hanging="365"/>
        <w:spacing w:after="0"/>
        <w:tabs>
          <w:tab w:leader="none" w:pos="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Guarantors.</w:t>
      </w:r>
    </w:p>
    <w:p>
      <w:pPr>
        <w:spacing w:after="0" w:line="252" w:lineRule="exact"/>
        <w:rPr>
          <w:rFonts w:ascii="Times New Roman" w:cs="Times New Roman" w:eastAsia="Times New Roman" w:hAnsi="Times New Roman"/>
          <w:sz w:val="18"/>
          <w:szCs w:val="18"/>
          <w:color w:val="auto"/>
        </w:rPr>
      </w:pPr>
    </w:p>
    <w:p>
      <w:pPr>
        <w:ind w:left="365" w:hanging="365"/>
        <w:spacing w:after="0"/>
        <w:tabs>
          <w:tab w:leader="none" w:pos="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52" w:lineRule="exact"/>
        <w:rPr>
          <w:sz w:val="20"/>
          <w:szCs w:val="20"/>
          <w:color w:val="auto"/>
        </w:rPr>
      </w:pPr>
    </w:p>
    <w:p>
      <w:pPr>
        <w:ind w:left="545" w:right="20" w:hanging="566"/>
        <w:spacing w:after="0" w:line="282" w:lineRule="auto"/>
        <w:tabs>
          <w:tab w:leader="none" w:pos="525"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545" w:hanging="566"/>
        <w:spacing w:after="0" w:line="282" w:lineRule="auto"/>
        <w:tabs>
          <w:tab w:leader="none" w:pos="525"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and Exchange Act of 1934, as adopted pursuant to Section 302 of the Sarbanes-Oxley Act of 2002.</w:t>
      </w:r>
    </w:p>
    <w:p>
      <w:pPr>
        <w:spacing w:after="0" w:line="189" w:lineRule="exact"/>
        <w:rPr>
          <w:sz w:val="20"/>
          <w:szCs w:val="20"/>
          <w:color w:val="auto"/>
        </w:rPr>
      </w:pPr>
    </w:p>
    <w:p>
      <w:pPr>
        <w:ind w:left="565" w:hanging="565"/>
        <w:spacing w:after="0" w:line="266" w:lineRule="auto"/>
        <w:tabs>
          <w:tab w:leader="none" w:pos="3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5"/>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17" w:right="339" w:bottom="1440" w:gutter="0" w:footer="0" w:header="0"/>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120" w:hanging="565"/>
        <w:spacing w:after="0" w:line="256" w:lineRule="auto"/>
        <w:tabs>
          <w:tab w:leader="none" w:pos="10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Annual Report on Form 10-K for the year ended December 31, 2022 formatted in Inline XBRL (eXtensible Business Reporting Language): (i) Consolidated Statements of Operations for the twelve months ended December 31, 2022, 2021 and 2020, (ii) Consolidated Statements of Comprehensive Income for the twelve months ended December 31, 2022, 2021 and 2020; (iii) Consolidated Balance Sheets as of December 31, 2022 and December 31, 2021, (iv) Consolidated Statements of Cash Flows for the twelve months ended December 31, 2022, 2021 and 2020, (v) Consolidated Statements of Changes in Shareholders' Equity for the twelve months ended December 31, 2022, 2021 and 2020 and (vi) Notes to Consolidated Financial Statements.</w:t>
      </w:r>
    </w:p>
    <w:p>
      <w:pPr>
        <w:spacing w:after="0" w:line="214" w:lineRule="exact"/>
        <w:rPr>
          <w:sz w:val="20"/>
          <w:szCs w:val="20"/>
          <w:color w:val="auto"/>
        </w:rPr>
      </w:pPr>
    </w:p>
    <w:p>
      <w:pPr>
        <w:ind w:left="1120" w:hanging="565"/>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 the XBRL document.</w:t>
      </w:r>
    </w:p>
    <w:p>
      <w:pPr>
        <w:spacing w:after="0" w:line="22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u w:val="single" w:color="auto"/>
          <w:color w:val="auto"/>
        </w:rPr>
        <w:t>ITEM 16.</w:t>
      </w:r>
      <w:r>
        <w:rPr>
          <w:sz w:val="20"/>
          <w:szCs w:val="20"/>
          <w:color w:val="auto"/>
        </w:rPr>
        <w:tab/>
      </w:r>
      <w:r>
        <w:rPr>
          <w:rFonts w:ascii="Times New Roman" w:cs="Times New Roman" w:eastAsia="Times New Roman" w:hAnsi="Times New Roman"/>
          <w:sz w:val="17"/>
          <w:szCs w:val="17"/>
          <w:u w:val="single" w:color="auto"/>
          <w:color w:val="auto"/>
        </w:rPr>
        <w:t>FORM 10-K SUMMARY</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w:t>
      </w:r>
    </w:p>
    <w:p>
      <w:pPr>
        <w:spacing w:after="0" w:line="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Crown Holdings, Inc.</w:t>
      </w:r>
    </w:p>
    <w:p>
      <w:pPr>
        <w:ind w:left="4620"/>
        <w:spacing w:after="0"/>
        <w:rPr>
          <w:sz w:val="20"/>
          <w:szCs w:val="20"/>
          <w:color w:val="auto"/>
        </w:rPr>
      </w:pPr>
      <w:r>
        <w:rPr>
          <w:rFonts w:ascii="Times New Roman" w:cs="Times New Roman" w:eastAsia="Times New Roman" w:hAnsi="Times New Roman"/>
          <w:sz w:val="18"/>
          <w:szCs w:val="18"/>
          <w:color w:val="auto"/>
        </w:rPr>
        <w:t>Registrant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behalf by the undersigned, thereunto duly authorized.</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108"/>
        </w:trPr>
        <w:tc>
          <w:tcPr>
            <w:tcW w:w="4620" w:type="dxa"/>
            <w:vAlign w:val="bottom"/>
            <w:vMerge w:val="continue"/>
          </w:tcPr>
          <w:p>
            <w:pPr>
              <w:spacing w:after="0"/>
              <w:rPr>
                <w:sz w:val="9"/>
                <w:szCs w:val="9"/>
                <w:color w:val="auto"/>
              </w:rPr>
            </w:pPr>
          </w:p>
        </w:tc>
        <w:tc>
          <w:tcPr>
            <w:tcW w:w="4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2023</w:t>
            </w:r>
          </w:p>
        </w:tc>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KNOW ALL MEN BY THESE PRESENTS, that each person whose signature appears below constitutes and appoints Timothy J. Donahue, Kevin C. Clothier and Adam J. Dickstein,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2022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21" w:lineRule="exact"/>
        <w:rPr>
          <w:sz w:val="20"/>
          <w:szCs w:val="20"/>
          <w:color w:val="auto"/>
        </w:rPr>
      </w:pPr>
    </w:p>
    <w:p>
      <w:pPr>
        <w:ind w:right="180"/>
        <w:spacing w:after="0" w:line="34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Timothy J. Donahue</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Donahue</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C. Clothier</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C. Clothier</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c>
          <w:tcPr>
            <w:tcW w:w="4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8"/>
                <w:szCs w:val="18"/>
                <w:color w:val="auto"/>
              </w:rPr>
              <w:t>Vice President and Corporate Controller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c>
          <w:tcPr>
            <w:tcW w:w="48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17" w:right="339" w:bottom="1440" w:gutter="0" w:footer="0" w:header="0"/>
        </w:sectPr>
      </w:pPr>
    </w:p>
    <w:p>
      <w:pPr>
        <w:ind w:left="40"/>
        <w:spacing w:after="0"/>
        <w:rPr>
          <w:sz w:val="20"/>
          <w:szCs w:val="20"/>
          <w:color w:val="auto"/>
        </w:rPr>
      </w:pPr>
      <w:r>
        <w:rPr>
          <w:rFonts w:ascii="Times New Roman" w:cs="Times New Roman" w:eastAsia="Times New Roman" w:hAnsi="Times New Roman"/>
          <w:sz w:val="17"/>
          <w:szCs w:val="17"/>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31457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Richard H. Fearon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Andrea J. Funk</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Stephen J. Hagge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Stephen J. Hagge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Jesse A.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457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Jesse A.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266065</wp:posOffset>
            </wp:positionV>
            <wp:extent cx="31457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H. Miller</w:t>
      </w:r>
    </w:p>
    <w:p>
      <w:pPr>
        <w:spacing w:after="0" w:line="156" w:lineRule="exact"/>
        <w:rPr>
          <w:sz w:val="20"/>
          <w:szCs w:val="20"/>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/s/ Josef M.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56" w:lineRule="exact"/>
        <w:rPr>
          <w:sz w:val="20"/>
          <w:szCs w:val="20"/>
          <w:color w:val="auto"/>
        </w:rPr>
      </w:pPr>
    </w:p>
    <w:p>
      <w:pPr>
        <w:ind w:left="40"/>
        <w:spacing w:after="0" w:line="207" w:lineRule="exact"/>
        <w:rPr>
          <w:sz w:val="20"/>
          <w:szCs w:val="20"/>
          <w:color w:val="auto"/>
        </w:rPr>
      </w:pPr>
      <w:r>
        <w:rPr>
          <w:rFonts w:ascii="Times New Roman" w:cs="Times New Roman" w:eastAsia="Times New Roman" w:hAnsi="Times New Roman"/>
          <w:sz w:val="18"/>
          <w:szCs w:val="18"/>
          <w:color w:val="auto"/>
        </w:rPr>
        <w:t>Josef M.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 B. Craig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Craig Owens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Angela M.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Angela M. Snyder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Caesar F. Sweitzer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J. Teno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J. Teno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Marsha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24765</wp:posOffset>
            </wp:positionV>
            <wp:extent cx="31629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 C. Williams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31629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Dwayne A. Wilson</w:t>
      </w:r>
    </w:p>
    <w:p>
      <w:pPr>
        <w:spacing w:after="0" w:line="211" w:lineRule="exact"/>
        <w:rPr>
          <w:sz w:val="20"/>
          <w:szCs w:val="20"/>
          <w:color w:val="auto"/>
        </w:rPr>
      </w:pPr>
    </w:p>
    <w:p>
      <w:pPr>
        <w:sectPr>
          <w:pgSz w:w="11900" w:h="16838" w:orient="portrait"/>
          <w:cols w:equalWidth="0" w:num="2">
            <w:col w:w="5540" w:space="720"/>
            <w:col w:w="498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1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rPr>
          <w:sz w:val="20"/>
          <w:szCs w:val="20"/>
          <w:color w:val="auto"/>
        </w:rPr>
      </w:pPr>
      <w:r>
        <w:rPr>
          <w:rFonts w:ascii="Times New Roman" w:cs="Times New Roman" w:eastAsia="Times New Roman" w:hAnsi="Times New Roman"/>
          <w:sz w:val="18"/>
          <w:szCs w:val="18"/>
          <w:b w:val="1"/>
          <w:bCs w:val="1"/>
          <w:color w:val="auto"/>
        </w:rPr>
        <w:t>Yardley, PA 19067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Robert H. Bourque,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Bob:</w:t>
      </w:r>
    </w:p>
    <w:p>
      <w:pPr>
        <w:spacing w:after="0" w:line="2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previously provided you a letter, dated July 29, 2022 (the "Prior Letter"), regarding your termination of employment from Crown. This letter replaces and supersedes the Prior Letter in all respects.</w:t>
      </w:r>
    </w:p>
    <w:p>
      <w:pPr>
        <w:spacing w:after="0" w:line="18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Your employment with Crown ended on Monday, August 29, 2022. The Prior Letter provided you with thirty days' written notice of your separation from service. Crown relieved you of all your duties, responsibilities and authority with respect to your position as President, Transit Packaging Division, and in any other position with the company, as of Friday July 29, 2022.</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You were paid your base salary through August 29, 2022 (less customary tax withholdings) and your company benefits continued through such date. Contingent upon your execution and non-revocation of the attached General Release and in accordance with Section 5.6 of your employment agreement dated May 1, 2016, in addition to the base salary payments described above, you are entitled to the following compensation:</w:t>
      </w:r>
    </w:p>
    <w:p>
      <w:pPr>
        <w:spacing w:after="0" w:line="171" w:lineRule="exact"/>
        <w:rPr>
          <w:sz w:val="20"/>
          <w:szCs w:val="20"/>
          <w:color w:val="auto"/>
        </w:rPr>
      </w:pPr>
    </w:p>
    <w:p>
      <w:pPr>
        <w:ind w:left="660" w:hanging="328"/>
        <w:spacing w:after="0" w:line="237"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Incentive Bonus Payment for 2022 if one is earned by the Transit Packaging Division. The prorated amount will be based on the eight months you were employed in 2022 and paid in the normal course (less customary tax withholdings).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your base salary ($600,000) less customary tax withholdings. The payment will be made on the date that is six months and one day after August 29, 2022 (i.e., Thursday, March 2, 2023) because you are a "Specified Employee", as that term is defined in Section 409A of the Internal Revenue Code of 1986, as amended.</w:t>
      </w:r>
    </w:p>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consideration of your service to Crown, and contingent on your execution and non-revocation of the General Release, the Company will also provide you with the following benefits:</w:t>
      </w:r>
    </w:p>
    <w:p>
      <w:pPr>
        <w:spacing w:after="0" w:line="176" w:lineRule="exact"/>
        <w:rPr>
          <w:sz w:val="20"/>
          <w:szCs w:val="20"/>
          <w:color w:val="auto"/>
        </w:rPr>
      </w:pPr>
    </w:p>
    <w:p>
      <w:pPr>
        <w:ind w:left="660" w:right="60" w:hanging="328"/>
        <w:spacing w:after="0" w:line="214"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will allow the performance-based shares granted pursuant to the 2013 Stock-Based Incentive Compensation Plan (the "Stock Plan") and applicable Award Letter dated, January 6, 2020, due to vest on January 6, 2023, to remain outstanding and eligible to vest on the regularly scheduled vesting date as if no termination had occurred, subject to the achievement of the applicable performance goals. The target number of shares for that award was 8551. All other equity awards granted to you under the Stock Plan that were not vested as of August 29, 2022 have been forfeited in accordance with the terms of the applicable agreements.</w:t>
      </w:r>
    </w:p>
    <w:p>
      <w:pPr>
        <w:spacing w:after="0" w:line="184" w:lineRule="exact"/>
        <w:rPr>
          <w:rFonts w:ascii="Times New Roman" w:cs="Times New Roman" w:eastAsia="Times New Roman" w:hAnsi="Times New Roman"/>
          <w:sz w:val="18"/>
          <w:szCs w:val="18"/>
          <w:color w:val="auto"/>
        </w:rPr>
      </w:pPr>
    </w:p>
    <w:p>
      <w:pPr>
        <w:ind w:left="660" w:right="20" w:hanging="328"/>
        <w:spacing w:after="0" w:line="21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you elect and remain eligible for COBRA continuation coverage under the Company's Medical, Prescription, Dental and Vision insurance programs, such continuation coverage will be provided on a Company-paid basis for you (and your eligible dependents) for a period of 12 months from the date of your termination. Thereafter, any further COBRA continuation coverage for you (and your eligible dependents) will be provided at the normal COBRA cost.</w:t>
      </w:r>
    </w:p>
    <w:p>
      <w:pPr>
        <w:spacing w:after="0" w:line="186" w:lineRule="exact"/>
        <w:rPr>
          <w:rFonts w:ascii="Times New Roman" w:cs="Times New Roman" w:eastAsia="Times New Roman" w:hAnsi="Times New Roman"/>
          <w:sz w:val="18"/>
          <w:szCs w:val="18"/>
          <w:color w:val="auto"/>
        </w:rPr>
      </w:pPr>
    </w:p>
    <w:p>
      <w:pPr>
        <w:ind w:left="660" w:right="960" w:hanging="328"/>
        <w:spacing w:after="0" w:line="237"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days of your execution and delivery of this letter, you will be paid a lump-sum payment of $25,000 (less customary tax withholdings) for the purpose of obtaining outplacement services from a vendor of your choice.</w:t>
      </w:r>
    </w:p>
    <w:p>
      <w:pPr>
        <w:spacing w:after="0" w:line="185" w:lineRule="exact"/>
        <w:rPr>
          <w:rFonts w:ascii="Times New Roman" w:cs="Times New Roman" w:eastAsia="Times New Roman" w:hAnsi="Times New Roman"/>
          <w:sz w:val="18"/>
          <w:szCs w:val="18"/>
          <w:color w:val="auto"/>
        </w:rPr>
      </w:pPr>
    </w:p>
    <w:p>
      <w:pPr>
        <w:ind w:left="660" w:hanging="328"/>
        <w:spacing w:after="0" w:line="229"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monies are due by you to Crown under the Relocation Payback Agreement, executed by you on April 7, 2021, Crown agrees to waive any right to reimbursement of any and all relocation expenses it has paid on your behalf.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specifics on other benefits and policies: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Benefit Retirement Plans</w:t>
      </w:r>
    </w:p>
    <w:p>
      <w:pPr>
        <w:spacing w:after="0" w:line="6"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color w:val="auto"/>
        </w:rPr>
        <w:t>You are vested in your pension benefits under the Crown Pension Plan and your retirement benefit and death benefit under the Supplemental Executive Retirement Plan (SERP). You are eligible to commence benefit payments under the Crown Pension Plan as early as age 55. Under the terms of the SERP, you are entitled to a lump sum payout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BUSINESS.296 I0727.2</w:t>
      </w:r>
    </w:p>
    <w:p>
      <w:pPr>
        <w:sectPr>
          <w:pgSz w:w="11900" w:h="16838" w:orient="portrait"/>
          <w:cols w:equalWidth="0" w:num="1">
            <w:col w:w="11240"/>
          </w:cols>
          <w:pgMar w:left="320" w:top="14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auto"/>
        </w:rPr>
        <w:t>Robert H. Bourque,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October 26, 2022</w:t>
      </w: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Page 2</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retirement benefit as early as age 60. Crown most recently provided you with an estimate of your SERP benefit on July 15,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401(k)</w:t>
      </w:r>
    </w:p>
    <w:p>
      <w:pPr>
        <w:spacing w:after="0" w:line="20"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Contributions to the 401(k) Plan ended with your termination. You have advised the Company that Vanguard mailed you a packet detailing your options for your 40l(k)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Life Insurance</w:t>
      </w:r>
    </w:p>
    <w:p>
      <w:pPr>
        <w:spacing w:after="0" w:line="20"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The Company-paid basic life insurance benefit ceased on your last day of employment. You had thirty days to convert to an individual policy. You have advised the Company that Crown's benefit provider, MetLife, contacted you with details on this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Vacation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Company policy, the Company has paid you for your unused vacation time remaining for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Obligations</w:t>
      </w:r>
    </w:p>
    <w:p>
      <w:pPr>
        <w:ind w:right="280"/>
        <w:spacing w:after="0" w:line="243" w:lineRule="auto"/>
        <w:rPr>
          <w:sz w:val="20"/>
          <w:szCs w:val="20"/>
          <w:color w:val="auto"/>
        </w:rPr>
      </w:pPr>
      <w:r>
        <w:rPr>
          <w:rFonts w:ascii="Times New Roman" w:cs="Times New Roman" w:eastAsia="Times New Roman" w:hAnsi="Times New Roman"/>
          <w:sz w:val="18"/>
          <w:szCs w:val="18"/>
          <w:color w:val="auto"/>
        </w:rPr>
        <w:t>This letter will also serve as a reminder of your obligations under your employment agreement with respect to confidential information, noncompetition and non-disparagement, which survive termination of your employment.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 Reports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have completed all travel and related expense reports and followed the normal procedure to send them through for reimbursement.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Offset, No Mitigation</w:t>
      </w:r>
    </w:p>
    <w:p>
      <w:pPr>
        <w:ind w:right="140"/>
        <w:spacing w:after="0" w:line="212" w:lineRule="auto"/>
        <w:rPr>
          <w:sz w:val="20"/>
          <w:szCs w:val="20"/>
          <w:color w:val="auto"/>
        </w:rPr>
      </w:pPr>
      <w:r>
        <w:rPr>
          <w:rFonts w:ascii="Times New Roman" w:cs="Times New Roman" w:eastAsia="Times New Roman" w:hAnsi="Times New Roman"/>
          <w:sz w:val="18"/>
          <w:szCs w:val="18"/>
          <w:color w:val="auto"/>
        </w:rPr>
        <w:t>No payment, remuneration, compensation, severance, equity grant or monetary obligation on the pat1 of the Company in this letter shall be subject to any offset or clawback mechanism payable by you to the Company, with the exception of performance-based stock awards/vestings and incentive bonus payments, which remain subject to recoupment for intentional misconduct or fraud in accordance with the relevant plan documents. You will not be required to mitigate the amount of any payment provided for in this letter by seeking other employment or otherwise, nor shall any profits, income, earnings or other benefits from any source whatsoever create any mitigation, offset, reduction or any other obligation on your part hereunder.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1C1C1C"/>
        </w:rPr>
        <w:t>Return of Company Property</w:t>
      </w:r>
    </w:p>
    <w:p>
      <w:pPr>
        <w:spacing w:after="0" w:line="20"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18"/>
          <w:szCs w:val="18"/>
          <w:color w:val="1C1C1C"/>
        </w:rPr>
        <w:t>You returned all Company property to the Company. This included your ID Badge, laptop computer, Company issued credit card, and any other items issued to you by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You removed all of your personal property from the office, or it was otherwise returned to you.</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F2F2F"/>
        </w:rPr>
        <w:t xml:space="preserve">Fred </w:t>
      </w:r>
      <w:r>
        <w:rPr>
          <w:rFonts w:ascii="Times New Roman" w:cs="Times New Roman" w:eastAsia="Times New Roman" w:hAnsi="Times New Roman"/>
          <w:sz w:val="18"/>
          <w:szCs w:val="18"/>
          <w:color w:val="1C1C1C"/>
        </w:rPr>
        <w:t>Leh will serve as your primary contact. If you have any questions, feel free to contact him.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Sincerely,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/s/Alfred J. Dermody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Senior Vice President - Human Resources</w:t>
      </w:r>
    </w:p>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1C1C1C"/>
        </w:rPr>
        <w:t xml:space="preserve">This letter accurately reflects the facts related to my </w:t>
      </w:r>
      <w:r>
        <w:rPr>
          <w:rFonts w:ascii="Times New Roman" w:cs="Times New Roman" w:eastAsia="Times New Roman" w:hAnsi="Times New Roman"/>
          <w:sz w:val="18"/>
          <w:szCs w:val="18"/>
          <w:color w:val="2F2F2F"/>
        </w:rPr>
        <w:t>termination</w:t>
      </w:r>
      <w:r>
        <w:rPr>
          <w:rFonts w:ascii="Times New Roman" w:cs="Times New Roman" w:eastAsia="Times New Roman" w:hAnsi="Times New Roman"/>
          <w:sz w:val="18"/>
          <w:szCs w:val="18"/>
          <w:color w:val="1C1C1C"/>
        </w:rPr>
        <w:t xml:space="preserve"> of employment with the Company, our understanding regarding the terms and conditions of my termination of employment with the Company and the other matters set forth herein, and I hereby confirm my agreement to the same.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C1C1C"/>
        </w:rPr>
        <w:t>/s/Robert H. Bourque,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BUSINESS.296 I0727.2</w:t>
      </w:r>
    </w:p>
    <w:p>
      <w:pPr>
        <w:sectPr>
          <w:pgSz w:w="11900" w:h="16838" w:orient="portrait"/>
          <w:cols w:equalWidth="0" w:num="1">
            <w:col w:w="11220"/>
          </w:cols>
          <w:pgMar w:left="320" w:top="108" w:right="359" w:bottom="1440" w:gutter="0" w:footer="0" w:header="0"/>
        </w:sectPr>
      </w:pPr>
    </w:p>
    <w:bookmarkStart w:id="100" w:name="page101"/>
    <w:bookmarkEnd w:id="100"/>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EXECUTIVE EMPLOYMENT AGREEMENT</w:t>
      </w:r>
    </w:p>
    <w:p>
      <w:pPr>
        <w:spacing w:after="0" w:line="233"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21"/>
          <w:szCs w:val="21"/>
          <w:color w:val="auto"/>
        </w:rPr>
        <w:t>THIS IS AN EMPLOYMENT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effective January 1, 2023,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between Crown Holdings, Inc. (“</w:t>
      </w:r>
      <w:r>
        <w:rPr>
          <w:rFonts w:ascii="Times New Roman" w:cs="Times New Roman" w:eastAsia="Times New Roman" w:hAnsi="Times New Roman"/>
          <w:sz w:val="21"/>
          <w:szCs w:val="21"/>
          <w:u w:val="single" w:color="auto"/>
          <w:color w:val="auto"/>
        </w:rPr>
        <w:t>Crown</w:t>
      </w:r>
      <w:r>
        <w:rPr>
          <w:rFonts w:ascii="Times New Roman" w:cs="Times New Roman" w:eastAsia="Times New Roman" w:hAnsi="Times New Roman"/>
          <w:sz w:val="21"/>
          <w:szCs w:val="21"/>
          <w:color w:val="auto"/>
        </w:rPr>
        <w:t>” and, with its subsidiaries,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Carlos Baila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Executive is currently employed by the Company.</w:t>
      </w:r>
    </w:p>
    <w:p>
      <w:pPr>
        <w:spacing w:after="0" w:line="233" w:lineRule="exact"/>
        <w:rPr>
          <w:sz w:val="20"/>
          <w:szCs w:val="20"/>
          <w:color w:val="auto"/>
        </w:rPr>
      </w:pPr>
    </w:p>
    <w:p>
      <w:pPr>
        <w:ind w:right="200" w:firstLine="1296"/>
        <w:spacing w:after="0" w:line="236" w:lineRule="auto"/>
        <w:rPr>
          <w:sz w:val="20"/>
          <w:szCs w:val="20"/>
          <w:color w:val="auto"/>
        </w:rPr>
      </w:pPr>
      <w:r>
        <w:rPr>
          <w:rFonts w:ascii="Times New Roman" w:cs="Times New Roman" w:eastAsia="Times New Roman" w:hAnsi="Times New Roman"/>
          <w:sz w:val="22"/>
          <w:szCs w:val="22"/>
          <w:color w:val="auto"/>
        </w:rPr>
        <w:t>WHEREAS, the Executive and the Company are parties to a letter agreement dated, July 23, 2018 providing for severance benefits in the event of the Executive’s termination of employment under certain circumstances (the “Severance Letter”), which shall, together with any other prior agreements or understandings of the parties regarding such matters, be superseded by this Agreement.</w:t>
      </w:r>
    </w:p>
    <w:p>
      <w:pPr>
        <w:spacing w:after="0" w:line="206" w:lineRule="exact"/>
        <w:rPr>
          <w:sz w:val="20"/>
          <w:szCs w:val="20"/>
          <w:color w:val="auto"/>
        </w:rPr>
      </w:pPr>
    </w:p>
    <w:p>
      <w:pPr>
        <w:ind w:right="60" w:firstLine="1296"/>
        <w:spacing w:after="0" w:line="244" w:lineRule="auto"/>
        <w:rPr>
          <w:sz w:val="20"/>
          <w:szCs w:val="20"/>
          <w:color w:val="auto"/>
        </w:rPr>
      </w:pPr>
      <w:r>
        <w:rPr>
          <w:rFonts w:ascii="Times New Roman" w:cs="Times New Roman" w:eastAsia="Times New Roman" w:hAnsi="Times New Roman"/>
          <w:sz w:val="22"/>
          <w:szCs w:val="22"/>
          <w:color w:val="auto"/>
        </w:rPr>
        <w:t>WHEREAS, the Company desires to assure itself of the continued employment of the Executive with the Company and to encourage his continued attention and dedication to the best interests of the Company, including but not limited to Crown Asia Pacific Holdings Limited (“Crown Singapore”).</w:t>
      </w:r>
    </w:p>
    <w:p>
      <w:pPr>
        <w:spacing w:after="0" w:line="200"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2"/>
          <w:szCs w:val="22"/>
          <w:color w:val="auto"/>
        </w:rPr>
        <w:t>WHEREAS, the Executive desires to remain and continue in the employment of the Company in accordance with the terms of this Agreement.</w:t>
      </w:r>
    </w:p>
    <w:p>
      <w:pPr>
        <w:spacing w:after="0" w:line="1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intending to be legally bound hereby, the parties agree as follows: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Terms</w:t>
      </w:r>
    </w:p>
    <w:p>
      <w:pPr>
        <w:spacing w:after="0" w:line="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shall have the meanings set forth below:</w:t>
      </w:r>
    </w:p>
    <w:p>
      <w:pPr>
        <w:spacing w:after="0" w:line="20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Crown.</w:t>
      </w:r>
    </w:p>
    <w:p>
      <w:pPr>
        <w:spacing w:after="0" w:line="233"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termination of the Executive’s employment with the Company as a result of:</w:t>
      </w:r>
    </w:p>
    <w:p>
      <w:pPr>
        <w:spacing w:after="0" w:line="233" w:lineRule="exact"/>
        <w:rPr>
          <w:rFonts w:ascii="Times New Roman" w:cs="Times New Roman" w:eastAsia="Times New Roman" w:hAnsi="Times New Roman"/>
          <w:sz w:val="22"/>
          <w:szCs w:val="22"/>
          <w:color w:val="auto"/>
        </w:rPr>
      </w:pPr>
    </w:p>
    <w:p>
      <w:pPr>
        <w:ind w:left="1960" w:right="120" w:hanging="446"/>
        <w:spacing w:after="0" w:line="244" w:lineRule="auto"/>
        <w:tabs>
          <w:tab w:leader="none" w:pos="196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 failure to perform such services as may be reasonably delegated or assigned to the Executive by the Board, Crown’s Chief Executive Officer or any other executive to whom the Executive reports;</w:t>
      </w:r>
    </w:p>
    <w:p>
      <w:pPr>
        <w:spacing w:after="0" w:line="200" w:lineRule="exact"/>
        <w:rPr>
          <w:rFonts w:ascii="Times New Roman" w:cs="Times New Roman" w:eastAsia="Times New Roman" w:hAnsi="Times New Roman"/>
          <w:sz w:val="22"/>
          <w:szCs w:val="22"/>
          <w:color w:val="auto"/>
        </w:rPr>
      </w:pPr>
    </w:p>
    <w:p>
      <w:pPr>
        <w:ind w:left="1960" w:hanging="506"/>
        <w:spacing w:after="0" w:line="244" w:lineRule="auto"/>
        <w:tabs>
          <w:tab w:leader="none" w:pos="196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Executive to devote his full-time best effort to the performance of his duties under the Agreement (other than any such failure resulting from the Executive’s incapacity due to physical or mental illness);</w:t>
      </w:r>
    </w:p>
    <w:p>
      <w:pPr>
        <w:spacing w:after="0" w:line="200" w:lineRule="exact"/>
        <w:rPr>
          <w:rFonts w:ascii="Times New Roman" w:cs="Times New Roman" w:eastAsia="Times New Roman" w:hAnsi="Times New Roman"/>
          <w:sz w:val="22"/>
          <w:szCs w:val="22"/>
          <w:color w:val="auto"/>
        </w:rPr>
      </w:pPr>
    </w:p>
    <w:p>
      <w:pPr>
        <w:ind w:left="1960" w:hanging="566"/>
        <w:spacing w:after="0"/>
        <w:tabs>
          <w:tab w:leader="none" w:pos="196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by the Executive of any provision of Sections 6, 7, 8 or 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80"/>
          </w:cols>
          <w:pgMar w:left="320" w:top="1408" w:right="399" w:bottom="1440" w:gutter="0" w:footer="0" w:header="0"/>
        </w:sectPr>
      </w:pPr>
    </w:p>
    <w:bookmarkStart w:id="101" w:name="page102"/>
    <w:bookmarkEnd w:id="101"/>
    <w:p>
      <w:pPr>
        <w:spacing w:after="0" w:line="212" w:lineRule="exact"/>
        <w:rPr>
          <w:sz w:val="20"/>
          <w:szCs w:val="20"/>
          <w:color w:val="auto"/>
        </w:rPr>
      </w:pPr>
    </w:p>
    <w:p>
      <w:pPr>
        <w:ind w:left="1960" w:right="720" w:hanging="554"/>
        <w:spacing w:after="0" w:line="258" w:lineRule="auto"/>
        <w:tabs>
          <w:tab w:leader="none" w:pos="194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engaging by the Executive in misconduct which is materially injurious to the Company, monetarily or otherwise; or</w:t>
      </w:r>
    </w:p>
    <w:p>
      <w:pPr>
        <w:spacing w:after="0" w:line="185" w:lineRule="exact"/>
        <w:rPr>
          <w:rFonts w:ascii="Times New Roman" w:cs="Times New Roman" w:eastAsia="Times New Roman" w:hAnsi="Times New Roman"/>
          <w:sz w:val="22"/>
          <w:szCs w:val="22"/>
          <w:color w:val="auto"/>
        </w:rPr>
      </w:pPr>
    </w:p>
    <w:p>
      <w:pPr>
        <w:ind w:left="1960" w:right="800" w:hanging="494"/>
        <w:spacing w:after="0" w:line="258" w:lineRule="auto"/>
        <w:tabs>
          <w:tab w:leader="none" w:pos="194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conviction of, or a plea of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a felony or a crime involving moral turpitude.</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any of the following events:</w:t>
      </w:r>
    </w:p>
    <w:p>
      <w:pPr>
        <w:spacing w:after="0" w:line="233" w:lineRule="exact"/>
        <w:rPr>
          <w:rFonts w:ascii="Times New Roman" w:cs="Times New Roman" w:eastAsia="Times New Roman" w:hAnsi="Times New Roman"/>
          <w:sz w:val="22"/>
          <w:szCs w:val="22"/>
          <w:color w:val="auto"/>
        </w:rPr>
      </w:pPr>
    </w:p>
    <w:p>
      <w:pPr>
        <w:ind w:left="1960" w:hanging="446"/>
        <w:spacing w:after="0" w:line="234" w:lineRule="auto"/>
        <w:tabs>
          <w:tab w:leader="none" w:pos="196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(as such term is used in Sections 13(d) and 14(d)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 13d-3 under the Exchange Act), directly or indirectly, of securities of Crown representing 50% or more of the combined voting power of Crown’s then outstanding securities; or</w:t>
      </w:r>
    </w:p>
    <w:p>
      <w:pPr>
        <w:spacing w:after="0" w:line="203" w:lineRule="exact"/>
        <w:rPr>
          <w:rFonts w:ascii="Times New Roman" w:cs="Times New Roman" w:eastAsia="Times New Roman" w:hAnsi="Times New Roman"/>
          <w:sz w:val="22"/>
          <w:szCs w:val="22"/>
          <w:color w:val="auto"/>
        </w:rPr>
      </w:pPr>
    </w:p>
    <w:p>
      <w:pPr>
        <w:ind w:left="1960" w:hanging="506"/>
        <w:spacing w:after="0" w:line="234" w:lineRule="auto"/>
        <w:tabs>
          <w:tab w:leader="none" w:pos="196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two consecutive years, individuals who at the beginning of such period constitute the Board and any new director (other than a director designated by a person who has entered into an agreement with Crown to effect a transaction described in Section 1.3(a), Section 1.3(c) or Section 1.3(d)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spacing w:after="0" w:line="203" w:lineRule="exact"/>
        <w:rPr>
          <w:rFonts w:ascii="Times New Roman" w:cs="Times New Roman" w:eastAsia="Times New Roman" w:hAnsi="Times New Roman"/>
          <w:sz w:val="22"/>
          <w:szCs w:val="22"/>
          <w:color w:val="auto"/>
        </w:rPr>
      </w:pPr>
    </w:p>
    <w:p>
      <w:pPr>
        <w:ind w:left="1960" w:right="320" w:hanging="566"/>
        <w:spacing w:after="0" w:line="238" w:lineRule="auto"/>
        <w:tabs>
          <w:tab w:leader="none" w:pos="196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spacing w:after="0" w:line="203" w:lineRule="exact"/>
        <w:rPr>
          <w:rFonts w:ascii="Times New Roman" w:cs="Times New Roman" w:eastAsia="Times New Roman" w:hAnsi="Times New Roman"/>
          <w:sz w:val="22"/>
          <w:szCs w:val="22"/>
          <w:color w:val="auto"/>
        </w:rPr>
      </w:pPr>
    </w:p>
    <w:p>
      <w:pPr>
        <w:ind w:left="1960" w:right="660" w:hanging="554"/>
        <w:spacing w:after="0" w:line="258" w:lineRule="auto"/>
        <w:tabs>
          <w:tab w:leader="none" w:pos="194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complete liquidation of Crown or Crown sells or otherwise disposes of all or substantially all of Crown’s assets.</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1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w:t>
      </w:r>
    </w:p>
    <w:p>
      <w:pPr>
        <w:spacing w:after="0" w:line="233" w:lineRule="exact"/>
        <w:rPr>
          <w:rFonts w:ascii="Times New Roman" w:cs="Times New Roman" w:eastAsia="Times New Roman" w:hAnsi="Times New Roman"/>
          <w:sz w:val="22"/>
          <w:szCs w:val="22"/>
          <w:color w:val="auto"/>
        </w:rPr>
      </w:pPr>
    </w:p>
    <w:p>
      <w:pPr>
        <w:ind w:left="1960" w:right="160" w:hanging="446"/>
        <w:spacing w:after="0" w:line="244" w:lineRule="auto"/>
        <w:tabs>
          <w:tab w:leader="none" w:pos="196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Executive, without the Executive’s express written approval, of duties or responsibilities, inconsistent, in a material respect, with the Executive’s title and position on the date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80"/>
          </w:cols>
          <w:pgMar w:left="320" w:top="1440" w:right="399" w:bottom="1440" w:gutter="0" w:footer="0" w:header="0"/>
        </w:sectPr>
      </w:pPr>
    </w:p>
    <w:bookmarkStart w:id="102" w:name="page103"/>
    <w:bookmarkEnd w:id="102"/>
    <w:p>
      <w:pPr>
        <w:ind w:left="1960" w:right="340"/>
        <w:spacing w:after="0" w:line="258" w:lineRule="auto"/>
        <w:rPr>
          <w:sz w:val="20"/>
          <w:szCs w:val="20"/>
          <w:color w:val="auto"/>
        </w:rPr>
      </w:pPr>
      <w:r>
        <w:rPr>
          <w:rFonts w:ascii="Times New Roman" w:cs="Times New Roman" w:eastAsia="Times New Roman" w:hAnsi="Times New Roman"/>
          <w:sz w:val="22"/>
          <w:szCs w:val="22"/>
          <w:color w:val="auto"/>
        </w:rPr>
        <w:t>or a material reduction in the Executive’s duties, responsibilities or authority from those in effect on the date of a Change in Control;</w:t>
      </w:r>
    </w:p>
    <w:p>
      <w:pPr>
        <w:spacing w:after="0" w:line="185" w:lineRule="exact"/>
        <w:rPr>
          <w:sz w:val="20"/>
          <w:szCs w:val="20"/>
          <w:color w:val="auto"/>
        </w:rPr>
      </w:pPr>
    </w:p>
    <w:p>
      <w:pPr>
        <w:ind w:left="1960" w:right="180" w:hanging="506"/>
        <w:spacing w:after="0" w:line="239" w:lineRule="auto"/>
        <w:tabs>
          <w:tab w:leader="none" w:pos="1960"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spacing w:after="0" w:line="193" w:lineRule="exact"/>
        <w:rPr>
          <w:rFonts w:ascii="Times New Roman" w:cs="Times New Roman" w:eastAsia="Times New Roman" w:hAnsi="Times New Roman"/>
          <w:sz w:val="22"/>
          <w:szCs w:val="22"/>
          <w:color w:val="auto"/>
        </w:rPr>
      </w:pPr>
    </w:p>
    <w:p>
      <w:pPr>
        <w:ind w:left="1960" w:hanging="566"/>
        <w:spacing w:after="0" w:line="244" w:lineRule="auto"/>
        <w:tabs>
          <w:tab w:leader="none" w:pos="1960"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Change in Control, the Company’s failure, without the express consent of the Executive, to pay the Executive any amounts otherwise vested and due hereunder or under any plan or policy of the Company;</w:t>
      </w:r>
    </w:p>
    <w:p>
      <w:pPr>
        <w:spacing w:after="0" w:line="200" w:lineRule="exact"/>
        <w:rPr>
          <w:rFonts w:ascii="Times New Roman" w:cs="Times New Roman" w:eastAsia="Times New Roman" w:hAnsi="Times New Roman"/>
          <w:sz w:val="22"/>
          <w:szCs w:val="22"/>
          <w:color w:val="auto"/>
        </w:rPr>
      </w:pPr>
    </w:p>
    <w:p>
      <w:pPr>
        <w:ind w:left="1960" w:right="220" w:hanging="554"/>
        <w:spacing w:after="0" w:line="244" w:lineRule="auto"/>
        <w:tabs>
          <w:tab w:leader="none" w:pos="194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Change in Control, a relocation of the Executive’s primary place of employment, without the Executive’s express written approval, to a location more than 50 miles from the location at which the Executive performed his duties on the date of such Change in Control; or</w:t>
      </w:r>
    </w:p>
    <w:p>
      <w:pPr>
        <w:spacing w:after="0" w:line="200" w:lineRule="exact"/>
        <w:rPr>
          <w:rFonts w:ascii="Times New Roman" w:cs="Times New Roman" w:eastAsia="Times New Roman" w:hAnsi="Times New Roman"/>
          <w:sz w:val="22"/>
          <w:szCs w:val="22"/>
          <w:color w:val="auto"/>
        </w:rPr>
      </w:pPr>
    </w:p>
    <w:p>
      <w:pPr>
        <w:ind w:left="1960" w:right="180" w:hanging="494"/>
        <w:spacing w:after="0" w:line="244" w:lineRule="auto"/>
        <w:tabs>
          <w:tab w:leader="none" w:pos="194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or refusal of Crown’s Successor (as defined in Section 14 below) to expressly assume this Agreement in writing, and all of the duties and obligations of the Company hereunder in accordance with Section 14.</w:t>
      </w:r>
    </w:p>
    <w:p>
      <w:pPr>
        <w:spacing w:after="0" w:line="200" w:lineRule="exact"/>
        <w:rPr>
          <w:rFonts w:ascii="Times New Roman" w:cs="Times New Roman" w:eastAsia="Times New Roman" w:hAnsi="Times New Roman"/>
          <w:sz w:val="22"/>
          <w:szCs w:val="22"/>
          <w:color w:val="auto"/>
        </w:rPr>
      </w:pPr>
    </w:p>
    <w:p>
      <w:pPr>
        <w:ind w:left="1300" w:right="120" w:hanging="320"/>
        <w:spacing w:after="0" w:line="236"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Disability</w:t>
      </w:r>
      <w:r>
        <w:rPr>
          <w:rFonts w:ascii="Times New Roman" w:cs="Times New Roman" w:eastAsia="Times New Roman" w:hAnsi="Times New Roman"/>
          <w:sz w:val="22"/>
          <w:szCs w:val="22"/>
          <w:color w:val="auto"/>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spacing w:after="0" w:line="206" w:lineRule="exact"/>
        <w:rPr>
          <w:rFonts w:ascii="Times New Roman" w:cs="Times New Roman" w:eastAsia="Times New Roman" w:hAnsi="Times New Roman"/>
          <w:sz w:val="22"/>
          <w:szCs w:val="22"/>
          <w:color w:val="auto"/>
        </w:rPr>
      </w:pPr>
    </w:p>
    <w:p>
      <w:pPr>
        <w:ind w:left="1300" w:right="660" w:hanging="320"/>
        <w:spacing w:after="0" w:line="258" w:lineRule="auto"/>
        <w:tabs>
          <w:tab w:leader="none" w:pos="130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Disability</w:t>
      </w:r>
      <w:r>
        <w:rPr>
          <w:rFonts w:ascii="Times New Roman" w:cs="Times New Roman" w:eastAsia="Times New Roman" w:hAnsi="Times New Roman"/>
          <w:sz w:val="22"/>
          <w:szCs w:val="22"/>
          <w:color w:val="auto"/>
        </w:rPr>
        <w:t>” shall mean that a qualified physician designated by the Company has determined that the Executive:</w:t>
      </w:r>
    </w:p>
    <w:p>
      <w:pPr>
        <w:spacing w:after="0" w:line="185" w:lineRule="exact"/>
        <w:rPr>
          <w:rFonts w:ascii="Times New Roman" w:cs="Times New Roman" w:eastAsia="Times New Roman" w:hAnsi="Times New Roman"/>
          <w:sz w:val="22"/>
          <w:szCs w:val="22"/>
          <w:color w:val="auto"/>
        </w:rPr>
      </w:pPr>
    </w:p>
    <w:p>
      <w:pPr>
        <w:ind w:left="1960" w:right="100" w:hanging="446"/>
        <w:spacing w:after="0" w:line="244" w:lineRule="auto"/>
        <w:tabs>
          <w:tab w:leader="none" w:pos="1960"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200" w:lineRule="exact"/>
        <w:rPr>
          <w:rFonts w:ascii="Times New Roman" w:cs="Times New Roman" w:eastAsia="Times New Roman" w:hAnsi="Times New Roman"/>
          <w:sz w:val="22"/>
          <w:szCs w:val="22"/>
          <w:color w:val="auto"/>
        </w:rPr>
      </w:pPr>
    </w:p>
    <w:p>
      <w:pPr>
        <w:ind w:left="1960" w:right="40" w:hanging="506"/>
        <w:spacing w:after="0" w:line="236" w:lineRule="auto"/>
        <w:tabs>
          <w:tab w:leader="none" w:pos="1960"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206" w:lineRule="exact"/>
        <w:rPr>
          <w:rFonts w:ascii="Times New Roman" w:cs="Times New Roman" w:eastAsia="Times New Roman" w:hAnsi="Times New Roman"/>
          <w:sz w:val="22"/>
          <w:szCs w:val="22"/>
          <w:color w:val="auto"/>
        </w:rPr>
      </w:pPr>
    </w:p>
    <w:p>
      <w:pPr>
        <w:ind w:left="660" w:right="260" w:hanging="328"/>
        <w:spacing w:after="0" w:line="238"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Company agrees to continue to employ the Executive and the Executive hereby agrees to continue to be employed by the Company, upon the terms, conditions and limitations set forth in this Agreement. The Executive shall serve as President of the Company’s Asia Pacific Division (or in such other position as agreed to by the parties), with the customary duties, authorities and responsibility of such position of a publicly-traded corporation and such other duties, authorities and responsibility (a)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40"/>
          </w:cols>
          <w:pgMar w:left="320" w:top="1408" w:right="339" w:bottom="1440" w:gutter="0" w:footer="0" w:header="0"/>
        </w:sectPr>
      </w:pPr>
    </w:p>
    <w:bookmarkStart w:id="103" w:name="page104"/>
    <w:bookmarkEnd w:id="103"/>
    <w:p>
      <w:pPr>
        <w:ind w:left="660" w:right="20"/>
        <w:spacing w:after="0" w:line="233" w:lineRule="auto"/>
        <w:rPr>
          <w:sz w:val="20"/>
          <w:szCs w:val="20"/>
          <w:color w:val="auto"/>
        </w:rPr>
      </w:pPr>
      <w:r>
        <w:rPr>
          <w:rFonts w:ascii="Times New Roman" w:cs="Times New Roman" w:eastAsia="Times New Roman" w:hAnsi="Times New Roman"/>
          <w:sz w:val="22"/>
          <w:szCs w:val="22"/>
          <w:color w:val="auto"/>
        </w:rPr>
        <w:t>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as an executive director of Crown Singapore and in such other positions as reasonably requested by the Board, Crown’s Chief Executive Officer or any other executive to whom the Executive reports.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spacing w:after="0" w:line="206" w:lineRule="exact"/>
        <w:rPr>
          <w:sz w:val="20"/>
          <w:szCs w:val="20"/>
          <w:color w:val="auto"/>
        </w:rPr>
      </w:pPr>
    </w:p>
    <w:p>
      <w:pPr>
        <w:ind w:left="660" w:right="140" w:hanging="328"/>
        <w:spacing w:after="0" w:line="235" w:lineRule="auto"/>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under this Agreement shall commence on the Effective Date and unless sooner terminated as provided in Article 5 shall continue for a period of one year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Except as otherwise provided herein, unless either party gives written notice to the other party at least 30 days before any anniversary of the Effective Date that the term hereunder shall not be extended beyond its then term (a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term of the Agreement shall automatically be extended for an additional one year period from each anniversary, subject to the same terms, conditions and limitations as applicable to the Initial Term unless amended or terminated as provided herein (each such additional one year period a “</w:t>
      </w:r>
      <w:r>
        <w:rPr>
          <w:rFonts w:ascii="Times New Roman" w:cs="Times New Roman" w:eastAsia="Times New Roman" w:hAnsi="Times New Roman"/>
          <w:sz w:val="22"/>
          <w:szCs w:val="22"/>
          <w:u w:val="single" w:color="auto"/>
          <w:color w:val="auto"/>
        </w:rPr>
        <w:t>Renewal Term</w:t>
      </w:r>
      <w:r>
        <w:rPr>
          <w:rFonts w:ascii="Times New Roman" w:cs="Times New Roman" w:eastAsia="Times New Roman" w:hAnsi="Times New Roman"/>
          <w:sz w:val="22"/>
          <w:szCs w:val="22"/>
          <w:color w:val="auto"/>
        </w:rPr>
        <w:t>”). For purposes of this Agreement, the Initial Term and all subsequent Renewal Terms shall be collectively referred to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of the Agreement.</w:t>
      </w:r>
    </w:p>
    <w:p>
      <w:pPr>
        <w:spacing w:after="0" w:line="1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right="40" w:hanging="320"/>
        <w:spacing w:after="0" w:line="246" w:lineRule="auto"/>
        <w:tabs>
          <w:tab w:leader="none" w:pos="128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The Company shall pay to the Executive for the performance of his duties under this Agreement an initial base salary of $555,000 per year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accordance with the Company’s normal payroll practices. Thereafter, the rate of the Executive’s Base Salary will be reviewed and adjusted as appropriate in accordance with the Company’s regular compensation review practices. Effective as of the date of any such increase, the Base Salary so increased shall be considered the new Base Salary for all purposes of this Agreement.</w:t>
      </w:r>
    </w:p>
    <w:p>
      <w:pPr>
        <w:spacing w:after="0" w:line="1" w:lineRule="exact"/>
        <w:rPr>
          <w:rFonts w:ascii="Times New Roman" w:cs="Times New Roman" w:eastAsia="Times New Roman" w:hAnsi="Times New Roman"/>
          <w:sz w:val="21"/>
          <w:szCs w:val="21"/>
          <w:color w:val="auto"/>
        </w:rPr>
      </w:pPr>
    </w:p>
    <w:p>
      <w:pPr>
        <w:ind w:left="1300" w:hanging="320"/>
        <w:spacing w:after="0" w:line="230" w:lineRule="auto"/>
        <w:tabs>
          <w:tab w:leader="none" w:pos="13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Bonus</w:t>
      </w:r>
      <w:r>
        <w:rPr>
          <w:rFonts w:ascii="Times New Roman" w:cs="Times New Roman" w:eastAsia="Times New Roman" w:hAnsi="Times New Roman"/>
          <w:sz w:val="22"/>
          <w:szCs w:val="22"/>
          <w:color w:val="auto"/>
        </w:rPr>
        <w:t>. During the Term, in addition to Base Salary, for each calendar year ending during the Term,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Times New Roman" w:cs="Times New Roman" w:eastAsia="Times New Roman" w:hAnsi="Times New Roman"/>
          <w:sz w:val="22"/>
          <w:szCs w:val="22"/>
          <w:u w:val="single" w:color="auto"/>
          <w:color w:val="auto"/>
        </w:rPr>
        <w:t>Incentive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1300" w:right="100" w:hanging="320"/>
        <w:spacing w:after="0" w:line="239" w:lineRule="auto"/>
        <w:tabs>
          <w:tab w:leader="none" w:pos="128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Term, the Executive shall be eligible to participate in the applicable employee benefit plans, programs and policies of the Company (or other applicable affiliate as agreed to by the parties) that are now or hereafter made available to its salaried personnel generally, as such plans, programs and policies may be in effect from time to time, in each case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00"/>
          </w:cols>
          <w:pgMar w:left="320" w:top="1408" w:right="379" w:bottom="1440" w:gutter="0" w:footer="0" w:header="0"/>
        </w:sectPr>
      </w:pPr>
    </w:p>
    <w:bookmarkStart w:id="104" w:name="page105"/>
    <w:bookmarkEnd w:id="104"/>
    <w:p>
      <w:pPr>
        <w:ind w:left="1300" w:right="80"/>
        <w:spacing w:after="0" w:line="233" w:lineRule="auto"/>
        <w:rPr>
          <w:sz w:val="20"/>
          <w:szCs w:val="20"/>
          <w:color w:val="auto"/>
        </w:rPr>
      </w:pPr>
      <w:r>
        <w:rPr>
          <w:rFonts w:ascii="Times New Roman" w:cs="Times New Roman" w:eastAsia="Times New Roman" w:hAnsi="Times New Roman"/>
          <w:sz w:val="22"/>
          <w:szCs w:val="22"/>
          <w:color w:val="auto"/>
        </w:rPr>
        <w:t>extent that the Executive is eligible under the terms of such plans, programs and policies and the Executive’s participation therein is not duplicative of other benefits provided by the Company. Without limiting the generality of the foregoing, the Executive shall also be eligible to participate in Crown’s Restoration Plan (the “Restoration Plan”) and Crown’s equity-based incentive plans as maintained by Crown from time to time for the benefit of senior executives. For purposes of the Restoration Plan, the Executive will become 100% vested in his “Supplemental Retirement Benefit” under the Restoration Plan upon completing five years of continuous employment with the Company (measured from the Effective Date of this Agreement) or on such earlier date provided for under the Restoration Plan.</w:t>
      </w:r>
    </w:p>
    <w:p>
      <w:pPr>
        <w:spacing w:after="0" w:line="209" w:lineRule="exact"/>
        <w:rPr>
          <w:sz w:val="20"/>
          <w:szCs w:val="20"/>
          <w:color w:val="auto"/>
        </w:rPr>
      </w:pPr>
    </w:p>
    <w:p>
      <w:pPr>
        <w:ind w:left="1300" w:hanging="320"/>
        <w:spacing w:after="0"/>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vacation in accordance with the Company’s vacation policy.</w:t>
      </w:r>
    </w:p>
    <w:p>
      <w:pPr>
        <w:spacing w:after="0" w:line="233" w:lineRule="exact"/>
        <w:rPr>
          <w:rFonts w:ascii="Times New Roman" w:cs="Times New Roman" w:eastAsia="Times New Roman" w:hAnsi="Times New Roman"/>
          <w:sz w:val="22"/>
          <w:szCs w:val="22"/>
          <w:color w:val="auto"/>
        </w:rPr>
      </w:pPr>
    </w:p>
    <w:p>
      <w:pPr>
        <w:jc w:val="both"/>
        <w:ind w:left="1300" w:right="280" w:hanging="320"/>
        <w:spacing w:after="0" w:line="282" w:lineRule="auto"/>
        <w:tabs>
          <w:tab w:leader="none" w:pos="128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Automobile</w:t>
      </w:r>
      <w:r>
        <w:rPr>
          <w:rFonts w:ascii="Times New Roman" w:cs="Times New Roman" w:eastAsia="Times New Roman" w:hAnsi="Times New Roman"/>
          <w:sz w:val="21"/>
          <w:szCs w:val="21"/>
          <w:color w:val="auto"/>
        </w:rPr>
        <w:t>. During the Term, the Company shall make an automobile available to the Executive in accordance with and subject to the conditions of its applicable automobile policy or practices as in effect from time to time.</w:t>
      </w:r>
    </w:p>
    <w:p>
      <w:pPr>
        <w:spacing w:after="0" w:line="161" w:lineRule="exact"/>
        <w:rPr>
          <w:rFonts w:ascii="Times New Roman" w:cs="Times New Roman" w:eastAsia="Times New Roman" w:hAnsi="Times New Roman"/>
          <w:sz w:val="21"/>
          <w:szCs w:val="21"/>
          <w:color w:val="auto"/>
        </w:rPr>
      </w:pPr>
    </w:p>
    <w:p>
      <w:pPr>
        <w:ind w:left="1300" w:right="100" w:hanging="320"/>
        <w:spacing w:after="0" w:line="239"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During the Term, the Company will reimburse the Executive in accordance with the Company’s expense reimbursement policy as in effect from time to time for expenses reasonably and properly incurred by him in performing his duties, provided that such expenses are incurred and accounted for in accordance with the policies and procedures presently or hereinafter established by the Company.</w:t>
      </w:r>
    </w:p>
    <w:p>
      <w:pPr>
        <w:spacing w:after="0" w:line="207" w:lineRule="exact"/>
        <w:rPr>
          <w:rFonts w:ascii="Times New Roman" w:cs="Times New Roman" w:eastAsia="Times New Roman" w:hAnsi="Times New Roman"/>
          <w:sz w:val="22"/>
          <w:szCs w:val="22"/>
          <w:color w:val="auto"/>
        </w:rPr>
      </w:pPr>
    </w:p>
    <w:p>
      <w:pPr>
        <w:ind w:left="1300" w:hanging="320"/>
        <w:spacing w:after="0" w:line="234" w:lineRule="auto"/>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Disability</w:t>
      </w:r>
      <w:r>
        <w:rPr>
          <w:rFonts w:ascii="Times New Roman" w:cs="Times New Roman" w:eastAsia="Times New Roman" w:hAnsi="Times New Roman"/>
          <w:sz w:val="22"/>
          <w:szCs w:val="22"/>
          <w:color w:val="auto"/>
        </w:rPr>
        <w:t>. In the event that the Executive incurs a Short-Term Disability, the Executive shall be entitled to six months of Base Salary and incentive payments, payable in accordance with the Company’s normal payroll practices, provided that all payments under this provision shall be reduced dollar-for-dollar by any other short-term disability benefits the Executive is entitled to under any other Company-sponsored short-term disability plan or arrangement and shall cease as of the earliest of the Executive’s cessation of Short-Term Disability, the occurrence of Total Disability, death or the first day of the month following the month in which the Executive attains age 65 (the “</w:t>
      </w:r>
      <w:r>
        <w:rPr>
          <w:rFonts w:ascii="Times New Roman" w:cs="Times New Roman" w:eastAsia="Times New Roman" w:hAnsi="Times New Roman"/>
          <w:sz w:val="22"/>
          <w:szCs w:val="22"/>
          <w:u w:val="single" w:color="auto"/>
          <w:color w:val="auto"/>
        </w:rPr>
        <w:t>Normal Retirement Date</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1300" w:right="180" w:hanging="320"/>
        <w:spacing w:after="0" w:line="258" w:lineRule="auto"/>
        <w:tabs>
          <w:tab w:leader="none" w:pos="130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Medical Examination Benefit</w:t>
      </w:r>
      <w:r>
        <w:rPr>
          <w:rFonts w:ascii="Times New Roman" w:cs="Times New Roman" w:eastAsia="Times New Roman" w:hAnsi="Times New Roman"/>
          <w:sz w:val="22"/>
          <w:szCs w:val="22"/>
          <w:color w:val="auto"/>
        </w:rPr>
        <w:t>. During the Term, the Executive shall be entitled to reimbursement for actual costs incurred, up to $2,500 per calendar year, for an annual physical and related medical examinations.</w:t>
      </w:r>
    </w:p>
    <w:p>
      <w:pPr>
        <w:spacing w:after="0" w:line="185" w:lineRule="exact"/>
        <w:rPr>
          <w:rFonts w:ascii="Times New Roman" w:cs="Times New Roman" w:eastAsia="Times New Roman" w:hAnsi="Times New Roman"/>
          <w:sz w:val="22"/>
          <w:szCs w:val="22"/>
          <w:color w:val="auto"/>
        </w:rPr>
      </w:pPr>
    </w:p>
    <w:p>
      <w:pPr>
        <w:ind w:left="1300" w:right="80" w:hanging="320"/>
        <w:spacing w:after="0" w:line="282" w:lineRule="auto"/>
        <w:tabs>
          <w:tab w:leader="none" w:pos="1292"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Housing Allowance</w:t>
      </w:r>
      <w:r>
        <w:rPr>
          <w:rFonts w:ascii="Times New Roman" w:cs="Times New Roman" w:eastAsia="Times New Roman" w:hAnsi="Times New Roman"/>
          <w:sz w:val="21"/>
          <w:szCs w:val="21"/>
          <w:color w:val="auto"/>
        </w:rPr>
        <w:t>. During the Term, the Executive shall be entitled to an annual housing allowance, determined in accordance with and subject to the Company’s housing allowance policy as in effect from time to time.</w:t>
      </w:r>
    </w:p>
    <w:p>
      <w:pPr>
        <w:spacing w:after="0" w:line="16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20"/>
          </w:cols>
          <w:pgMar w:left="320" w:top="1408" w:right="359" w:bottom="1440" w:gutter="0" w:footer="0" w:header="0"/>
        </w:sectPr>
      </w:pPr>
    </w:p>
    <w:bookmarkStart w:id="105" w:name="page106"/>
    <w:bookmarkEnd w:id="105"/>
    <w:p>
      <w:pPr>
        <w:ind w:left="1300" w:hanging="320"/>
        <w:spacing w:after="0" w:line="232" w:lineRule="auto"/>
        <w:tabs>
          <w:tab w:leader="none" w:pos="128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and other benefits earned and vested (if applicable) by the Executive as of the date of his death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209" w:lineRule="exact"/>
        <w:rPr>
          <w:rFonts w:ascii="Times New Roman" w:cs="Times New Roman" w:eastAsia="Times New Roman" w:hAnsi="Times New Roman"/>
          <w:sz w:val="22"/>
          <w:szCs w:val="22"/>
          <w:color w:val="auto"/>
        </w:rPr>
      </w:pPr>
    </w:p>
    <w:p>
      <w:pPr>
        <w:ind w:left="1300" w:right="20" w:hanging="320"/>
        <w:spacing w:after="0" w:line="231" w:lineRule="auto"/>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(d) such retirement and other benefits earned and vested (if applicable) by the Executive as of the date of his termination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 with the Company’s normal payroll practices, provided that all payments under this provision shall be reduced dollar-for-dollar by Social Security disability benefits and any other long-term disability benefits the Executive is entitled to under any other Company-sponsored or Company funded long-term disability plan or arrangements and shall cease as of the earliest of the Executive’s cessation of Total Disability, death or attainment of his Normal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20"/>
          </w:cols>
          <w:pgMar w:left="320" w:top="1408" w:right="359" w:bottom="1440" w:gutter="0" w:footer="0" w:header="0"/>
        </w:sectPr>
      </w:pPr>
    </w:p>
    <w:bookmarkStart w:id="106" w:name="page107"/>
    <w:bookmarkEnd w:id="106"/>
    <w:p>
      <w:pPr>
        <w:ind w:left="1300" w:right="20" w:hanging="320"/>
        <w:spacing w:after="0" w:line="232" w:lineRule="auto"/>
        <w:tabs>
          <w:tab w:leader="none" w:pos="128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The Executive’s voluntary termination of employment at a time when he is eligible to begin receiving retirement benefits under the Crown Cork &amp; Seal Company, Inc. Pension Plan (the “Pension Plan”)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incentive and other benefits earned and vested (if applicable) by the Executive as of the date of his retirement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207" w:lineRule="exact"/>
        <w:rPr>
          <w:rFonts w:ascii="Times New Roman" w:cs="Times New Roman" w:eastAsia="Times New Roman" w:hAnsi="Times New Roman"/>
          <w:sz w:val="22"/>
          <w:szCs w:val="22"/>
          <w:color w:val="auto"/>
        </w:rPr>
      </w:pPr>
    </w:p>
    <w:p>
      <w:pPr>
        <w:ind w:left="1300" w:right="60" w:hanging="320"/>
        <w:spacing w:after="0" w:line="253" w:lineRule="auto"/>
        <w:tabs>
          <w:tab w:leader="none" w:pos="130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Termination</w:t>
      </w:r>
      <w:r>
        <w:rPr>
          <w:rFonts w:ascii="Times New Roman" w:cs="Times New Roman" w:eastAsia="Times New Roman" w:hAnsi="Times New Roman"/>
          <w:sz w:val="21"/>
          <w:szCs w:val="21"/>
          <w:color w:val="auto"/>
        </w:rPr>
        <w:t>. At any time during the Term, upon 30 days’ written notice to the Company, the Executive may voluntarily terminate his employment with the Company. Unless Section 5.7 is applicable, upon such</w:t>
      </w:r>
    </w:p>
    <w:p>
      <w:pPr>
        <w:ind w:left="1300"/>
        <w:spacing w:after="0" w:line="218" w:lineRule="auto"/>
        <w:rPr>
          <w:sz w:val="20"/>
          <w:szCs w:val="20"/>
          <w:color w:val="auto"/>
        </w:rPr>
      </w:pPr>
      <w:r>
        <w:rPr>
          <w:rFonts w:ascii="Times New Roman" w:cs="Times New Roman" w:eastAsia="Times New Roman" w:hAnsi="Times New Roman"/>
          <w:sz w:val="22"/>
          <w:szCs w:val="22"/>
          <w:color w:val="auto"/>
        </w:rPr>
        <w:t>termination the Company shall have no further obligations under this Agreement except to pay to the Executive</w:t>
      </w:r>
    </w:p>
    <w:p>
      <w:pPr>
        <w:spacing w:after="0" w:line="1" w:lineRule="exact"/>
        <w:rPr>
          <w:sz w:val="20"/>
          <w:szCs w:val="20"/>
          <w:color w:val="auto"/>
        </w:rPr>
      </w:pPr>
    </w:p>
    <w:p>
      <w:pPr>
        <w:ind w:left="1300"/>
        <w:spacing w:after="0" w:line="230" w:lineRule="auto"/>
        <w:rPr>
          <w:sz w:val="20"/>
          <w:szCs w:val="20"/>
          <w:color w:val="auto"/>
        </w:rPr>
      </w:pPr>
      <w:r>
        <w:rPr>
          <w:rFonts w:ascii="Times New Roman" w:cs="Times New Roman" w:eastAsia="Times New Roman" w:hAnsi="Times New Roman"/>
          <w:sz w:val="22"/>
          <w:szCs w:val="22"/>
          <w:color w:val="auto"/>
        </w:rPr>
        <w:t>(a) any Base Salary earned to the date of the Executive’s termination of employment, to the extent theretofore unpaid, and (b)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addition, at the discretion of the Board, the Company may pay to the Executive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provided that Executive’s receipt of such pro-rated Incentive Bonus Payment shall be contingent on the Executive’s prior execution and non-revocation of a release of claims in favor of the Company and its affiliates in the form attached as Exhibit A (the “Release”).</w:t>
      </w:r>
    </w:p>
    <w:p>
      <w:pPr>
        <w:spacing w:after="0" w:line="213" w:lineRule="exact"/>
        <w:rPr>
          <w:sz w:val="20"/>
          <w:szCs w:val="20"/>
          <w:color w:val="auto"/>
        </w:rPr>
      </w:pPr>
    </w:p>
    <w:p>
      <w:pPr>
        <w:jc w:val="both"/>
        <w:ind w:left="1300" w:right="260" w:hanging="320"/>
        <w:spacing w:after="0" w:line="244" w:lineRule="auto"/>
        <w:tabs>
          <w:tab w:leader="none" w:pos="12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The Board may terminate the Executive’s employment and the Company’s obligations under this Agreement at any time for Cause by giving written notice to the Executive. The Company’s required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80"/>
          </w:cols>
          <w:pgMar w:left="320" w:top="1408" w:right="399" w:bottom="1440" w:gutter="0" w:footer="0" w:header="0"/>
        </w:sectPr>
      </w:pPr>
    </w:p>
    <w:bookmarkStart w:id="107" w:name="page108"/>
    <w:bookmarkEnd w:id="107"/>
    <w:p>
      <w:pPr>
        <w:ind w:left="1300" w:right="40"/>
        <w:spacing w:after="0" w:line="234" w:lineRule="auto"/>
        <w:rPr>
          <w:sz w:val="20"/>
          <w:szCs w:val="20"/>
          <w:color w:val="auto"/>
        </w:rPr>
      </w:pPr>
      <w:r>
        <w:rPr>
          <w:rFonts w:ascii="Times New Roman" w:cs="Times New Roman" w:eastAsia="Times New Roman" w:hAnsi="Times New Roman"/>
          <w:sz w:val="22"/>
          <w:szCs w:val="22"/>
          <w:color w:val="auto"/>
        </w:rPr>
        <w:t>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 (a) any Base Salary earned through the date of such termination, to the extent theretofore unpaid, and (b) such retirement and other benefits earned and vested (if applicable) by the Executive as of such termination under any employee benefit plan of the Company in which the Executive participates, all of the foregoing to be paid in the normal course for such payments and in accordance with the terms of such plans.</w:t>
      </w:r>
    </w:p>
    <w:p>
      <w:pPr>
        <w:spacing w:after="0" w:line="204" w:lineRule="exact"/>
        <w:rPr>
          <w:sz w:val="20"/>
          <w:szCs w:val="20"/>
          <w:color w:val="auto"/>
        </w:rPr>
      </w:pPr>
    </w:p>
    <w:p>
      <w:pPr>
        <w:ind w:left="1300" w:hanging="320"/>
        <w:spacing w:after="0" w:line="230"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by the Company without Cause Prior to a Change in Control</w:t>
      </w:r>
      <w:r>
        <w:rPr>
          <w:rFonts w:ascii="Times New Roman" w:cs="Times New Roman" w:eastAsia="Times New Roman" w:hAnsi="Times New Roman"/>
          <w:sz w:val="22"/>
          <w:szCs w:val="22"/>
          <w:color w:val="auto"/>
        </w:rPr>
        <w:t xml:space="preserve">. The Company may terminate the Executive’s employment without Cause at any time during the Term, upon thirty (30) days’ written notice;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no event shall the payment in clause (c) be included for purposes of the Restoration Plan or the Pension Plan. Notwithstanding anything herein to the contrary, the payments described in clauses (b) and (c)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20"/>
          </w:cols>
          <w:pgMar w:left="320" w:top="1408" w:right="359" w:bottom="1440" w:gutter="0" w:footer="0" w:header="0"/>
        </w:sectPr>
      </w:pPr>
    </w:p>
    <w:bookmarkStart w:id="108" w:name="page109"/>
    <w:bookmarkEnd w:id="108"/>
    <w:p>
      <w:pPr>
        <w:spacing w:after="0" w:line="212" w:lineRule="exact"/>
        <w:rPr>
          <w:sz w:val="20"/>
          <w:szCs w:val="20"/>
          <w:color w:val="auto"/>
        </w:rPr>
      </w:pPr>
    </w:p>
    <w:p>
      <w:pPr>
        <w:ind w:left="1300" w:hanging="320"/>
        <w:spacing w:after="0" w:line="242" w:lineRule="auto"/>
        <w:tabs>
          <w:tab w:leader="none" w:pos="130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Involuntary Termination by the Company or by the Executive for Good Reason Following a Change in Control</w:t>
      </w:r>
      <w:r>
        <w:rPr>
          <w:rFonts w:ascii="Times New Roman" w:cs="Times New Roman" w:eastAsia="Times New Roman" w:hAnsi="Times New Roman"/>
          <w:sz w:val="21"/>
          <w:szCs w:val="21"/>
          <w:color w:val="auto"/>
        </w:rPr>
        <w:t>. If the Company terminates the Executive’s employment without Cause during the 12-month period following a Change in Control, or the Executive voluntarily terminates his employment for Good Reason during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three times the sum of the Executive’s Base Salary and average Incentive Bonus Payment paid or payable to the Executive for the three completed years prior to the year of such termination, payable within 60 days following the Executive’s termination of employment, provided, however, 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w:t>
      </w:r>
    </w:p>
    <w:p>
      <w:pPr>
        <w:ind w:left="1300"/>
        <w:spacing w:after="0" w:line="230" w:lineRule="auto"/>
        <w:rPr>
          <w:sz w:val="20"/>
          <w:szCs w:val="20"/>
          <w:color w:val="auto"/>
        </w:rPr>
      </w:pPr>
      <w:r>
        <w:rPr>
          <w:rFonts w:ascii="Times New Roman" w:cs="Times New Roman" w:eastAsia="Times New Roman" w:hAnsi="Times New Roman"/>
          <w:sz w:val="21"/>
          <w:szCs w:val="21"/>
          <w:color w:val="auto"/>
        </w:rPr>
        <w:t>30 days or such longer period as provided under the terms of such option. In no event shall the payment in clause</w:t>
      </w:r>
    </w:p>
    <w:p>
      <w:pPr>
        <w:spacing w:after="0" w:line="1" w:lineRule="exact"/>
        <w:rPr>
          <w:sz w:val="20"/>
          <w:szCs w:val="20"/>
          <w:color w:val="auto"/>
        </w:rPr>
      </w:pPr>
    </w:p>
    <w:p>
      <w:pPr>
        <w:ind w:left="1300" w:right="200"/>
        <w:spacing w:after="0" w:line="247" w:lineRule="auto"/>
        <w:rPr>
          <w:sz w:val="20"/>
          <w:szCs w:val="20"/>
          <w:color w:val="auto"/>
        </w:rPr>
      </w:pPr>
      <w:r>
        <w:rPr>
          <w:rFonts w:ascii="Times New Roman" w:cs="Times New Roman" w:eastAsia="Times New Roman" w:hAnsi="Times New Roman"/>
          <w:sz w:val="21"/>
          <w:szCs w:val="21"/>
          <w:color w:val="auto"/>
        </w:rPr>
        <w:t>(b) be included for purposes of the Restoration Plan or the Pension Plan. Notwithstanding anything herein to the contrary, the payment described in clause (b) and vesting described in clause (d)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196" w:lineRule="exact"/>
        <w:rPr>
          <w:sz w:val="20"/>
          <w:szCs w:val="20"/>
          <w:color w:val="auto"/>
        </w:rPr>
      </w:pPr>
    </w:p>
    <w:p>
      <w:pPr>
        <w:ind w:left="1300" w:right="160" w:hanging="320"/>
        <w:spacing w:after="0" w:line="239" w:lineRule="auto"/>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w:t>
      </w:r>
      <w:r>
        <w:rPr>
          <w:rFonts w:ascii="Times New Roman" w:cs="Times New Roman" w:eastAsia="Times New Roman" w:hAnsi="Times New Roman"/>
          <w:sz w:val="22"/>
          <w:szCs w:val="22"/>
          <w:color w:val="auto"/>
        </w:rPr>
        <w:t>. 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spacing w:after="0" w:line="207" w:lineRule="exact"/>
        <w:rPr>
          <w:rFonts w:ascii="Times New Roman" w:cs="Times New Roman" w:eastAsia="Times New Roman" w:hAnsi="Times New Roman"/>
          <w:sz w:val="22"/>
          <w:szCs w:val="22"/>
          <w:color w:val="auto"/>
        </w:rPr>
      </w:pPr>
    </w:p>
    <w:p>
      <w:pPr>
        <w:ind w:left="1300" w:right="100" w:hanging="320"/>
        <w:spacing w:after="0" w:line="233" w:lineRule="auto"/>
        <w:tabs>
          <w:tab w:leader="none" w:pos="129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Excise Taxes</w:t>
      </w:r>
      <w:r>
        <w:rPr>
          <w:rFonts w:ascii="Times New Roman" w:cs="Times New Roman" w:eastAsia="Times New Roman" w:hAnsi="Times New Roman"/>
          <w:sz w:val="22"/>
          <w:szCs w:val="22"/>
          <w:color w:val="auto"/>
        </w:rPr>
        <w:t>. If any payment or benefit, or the acceleration of any payment or benefit, the Executive would receive from the Company under this Agreement or otherwise in connection with a Change in Control (collectively,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either (a) such Payments will be reduced or delayed by the minimum amount necessary such that no portion of the Payments is subject to the Excise Tax, or (b) the full amount of the Payments shall be made, whichever, after taking into account all applicable taxes, including the Excise Tax, results in the Executive’s receipt, on an after-tax basis, of the greater amount. If a reduction or delay in the Payments is necessary, such reduction or delay will occur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40"/>
          </w:cols>
          <w:pgMar w:left="320" w:top="1440" w:right="339" w:bottom="1440" w:gutter="0" w:footer="0" w:header="0"/>
        </w:sectPr>
      </w:pPr>
    </w:p>
    <w:bookmarkStart w:id="109" w:name="page110"/>
    <w:bookmarkEnd w:id="109"/>
    <w:p>
      <w:pPr>
        <w:ind w:left="1300"/>
        <w:spacing w:after="0" w:line="249" w:lineRule="auto"/>
        <w:rPr>
          <w:sz w:val="20"/>
          <w:szCs w:val="20"/>
          <w:color w:val="auto"/>
        </w:rPr>
      </w:pPr>
      <w:r>
        <w:rPr>
          <w:rFonts w:ascii="Times New Roman" w:cs="Times New Roman" w:eastAsia="Times New Roman" w:hAnsi="Times New Roman"/>
          <w:sz w:val="21"/>
          <w:szCs w:val="21"/>
          <w:color w:val="auto"/>
        </w:rPr>
        <w:t>following order: (1) cancellation of accelerated vesting of stock and option awards (reduced from the highest value to the lowest value under Section 280G of the Code) with the understanding that such awards may be replaced with the right to an equivalent cash payment at such future time because of the delisting of the underlying stock;</w:t>
      </w:r>
    </w:p>
    <w:p>
      <w:pPr>
        <w:spacing w:after="0" w:line="1" w:lineRule="exact"/>
        <w:rPr>
          <w:sz w:val="20"/>
          <w:szCs w:val="20"/>
          <w:color w:val="auto"/>
        </w:rPr>
      </w:pPr>
    </w:p>
    <w:p>
      <w:pPr>
        <w:ind w:left="1300" w:right="100"/>
        <w:spacing w:after="0" w:line="230" w:lineRule="auto"/>
        <w:rPr>
          <w:sz w:val="20"/>
          <w:szCs w:val="20"/>
          <w:color w:val="auto"/>
        </w:rPr>
      </w:pPr>
      <w:r>
        <w:rPr>
          <w:rFonts w:ascii="Times New Roman" w:cs="Times New Roman" w:eastAsia="Times New Roman" w:hAnsi="Times New Roman"/>
          <w:sz w:val="22"/>
          <w:szCs w:val="22"/>
          <w:color w:val="auto"/>
        </w:rPr>
        <w:t>(2) reduction or delay of cash payments (reduced from the latest payment to the earliest payment); and (3) reduction of other benefits payable to the Executive (reduced from the highest value to the lowest value under Section 280G of the Code). The Company will select a reputable third party professional firm to make all determinations required to be made under this provision. The Company will bear all reasonable expenses with respect to the determinations by such firm required to be made hereunder. For the avoidance of doubt, neither the Company nor any of its affiliates shall have any obligation to indemnify, gross-up or otherwise pay or reimburse the Executive for any Excise Tax assessed on any payment or benefit made or provided, or required to be made or provided, to the Executive by the Company under this Agreement or otherwise.</w:t>
      </w:r>
    </w:p>
    <w:p>
      <w:pPr>
        <w:spacing w:after="0" w:line="210" w:lineRule="exact"/>
        <w:rPr>
          <w:sz w:val="20"/>
          <w:szCs w:val="20"/>
          <w:color w:val="auto"/>
        </w:rPr>
      </w:pPr>
    </w:p>
    <w:p>
      <w:pPr>
        <w:jc w:val="both"/>
        <w:ind w:left="1300" w:right="400" w:hanging="320"/>
        <w:spacing w:after="0" w:line="244" w:lineRule="auto"/>
        <w:tabs>
          <w:tab w:leader="none" w:pos="129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Upon the termination of the Executive’s employment for whatever reason, the Executive shall be deemed to have automatically resigned without claims for compensation as a director of Crown Singapore and from any position he holds with the Company.</w:t>
      </w:r>
    </w:p>
    <w:p>
      <w:pPr>
        <w:spacing w:after="0" w:line="200" w:lineRule="exact"/>
        <w:rPr>
          <w:rFonts w:ascii="Times New Roman" w:cs="Times New Roman" w:eastAsia="Times New Roman" w:hAnsi="Times New Roman"/>
          <w:sz w:val="22"/>
          <w:szCs w:val="22"/>
          <w:color w:val="auto"/>
        </w:rPr>
      </w:pPr>
    </w:p>
    <w:p>
      <w:pPr>
        <w:ind w:left="660" w:right="80" w:hanging="328"/>
        <w:spacing w:after="0" w:line="242" w:lineRule="auto"/>
        <w:tabs>
          <w:tab w:leader="none" w:pos="6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 Notwithstanding the foregoing, (i) nothing in this Section or Agreement shall prohibit the Executive from reporting possible violations of federal law or regulation to any governmental agency or entity or self-regulatory organization or making disclosures that are protected under the whistleblower provisions of applicable law or regulation (and the Executive shall not be required to obtain the written consent of the Company prior to making any such reports or disclosures); and (ii) in accordance with the Defend Trade Secrets Act of 2016, (A)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40"/>
          </w:cols>
          <w:pgMar w:left="320" w:top="1408" w:right="339" w:bottom="1440" w:gutter="0" w:footer="0" w:header="0"/>
        </w:sectPr>
      </w:pPr>
    </w:p>
    <w:bookmarkStart w:id="110" w:name="page111"/>
    <w:bookmarkEnd w:id="110"/>
    <w:p>
      <w:pPr>
        <w:ind w:left="660"/>
        <w:spacing w:after="0" w:line="238" w:lineRule="auto"/>
        <w:rPr>
          <w:sz w:val="20"/>
          <w:szCs w:val="20"/>
          <w:color w:val="auto"/>
        </w:rPr>
      </w:pPr>
      <w:r>
        <w:rPr>
          <w:rFonts w:ascii="Times New Roman" w:cs="Times New Roman" w:eastAsia="Times New Roman" w:hAnsi="Times New Roman"/>
          <w:sz w:val="22"/>
          <w:szCs w:val="22"/>
          <w:color w:val="auto"/>
        </w:rPr>
        <w:t>purpose of reporting or investigating a suspected violation of law; or (b) is made in a complaint or other document filed in a lawsuit or other proceeding, if such filing is made under seal, and (B)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w:t>
      </w:r>
    </w:p>
    <w:p>
      <w:pPr>
        <w:spacing w:after="0" w:line="204" w:lineRule="exact"/>
        <w:rPr>
          <w:sz w:val="20"/>
          <w:szCs w:val="20"/>
          <w:color w:val="auto"/>
        </w:rPr>
      </w:pPr>
    </w:p>
    <w:p>
      <w:pPr>
        <w:jc w:val="both"/>
        <w:ind w:left="660" w:right="120" w:hanging="328"/>
        <w:spacing w:after="0" w:line="248" w:lineRule="auto"/>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Documents and Property</w:t>
      </w:r>
      <w:r>
        <w:rPr>
          <w:rFonts w:ascii="Times New Roman" w:cs="Times New Roman" w:eastAsia="Times New Roman" w:hAnsi="Times New Roman"/>
          <w:sz w:val="21"/>
          <w:szCs w:val="21"/>
          <w:color w:val="auto"/>
        </w:rPr>
        <w:t>. 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spacing w:after="0" w:line="196" w:lineRule="exact"/>
        <w:rPr>
          <w:rFonts w:ascii="Times New Roman" w:cs="Times New Roman" w:eastAsia="Times New Roman" w:hAnsi="Times New Roman"/>
          <w:sz w:val="21"/>
          <w:szCs w:val="21"/>
          <w:color w:val="auto"/>
        </w:rPr>
      </w:pPr>
    </w:p>
    <w:p>
      <w:pPr>
        <w:ind w:left="660" w:right="20" w:hanging="328"/>
        <w:spacing w:after="0" w:line="242" w:lineRule="auto"/>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By and in consideration of the salary and benefits to be provided by the Company hereunder, including the severance arrangements set forth herein, and further in consideration of the Executive’s exposure to the proprietary information of the Company, the 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 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spacing w:after="0" w:line="3" w:lineRule="exact"/>
        <w:rPr>
          <w:rFonts w:ascii="Times New Roman" w:cs="Times New Roman" w:eastAsia="Times New Roman" w:hAnsi="Times New Roman"/>
          <w:sz w:val="21"/>
          <w:szCs w:val="21"/>
          <w:color w:val="auto"/>
        </w:rPr>
      </w:pPr>
    </w:p>
    <w:p>
      <w:pPr>
        <w:ind w:left="660" w:hanging="328"/>
        <w:spacing w:after="0" w:line="242" w:lineRule="auto"/>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 law, court order, subpoena, compulsory process of law or governmental decree shall not constitute a violation or breach of this Section; provided that the Executive delivers written notice of such required disclosure to the Company or its designee promptly before making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00"/>
          </w:cols>
          <w:pgMar w:left="320" w:top="1408" w:right="379" w:bottom="1440" w:gutter="0" w:footer="0" w:header="0"/>
        </w:sectPr>
      </w:pPr>
    </w:p>
    <w:bookmarkStart w:id="111" w:name="page112"/>
    <w:bookmarkEnd w:id="111"/>
    <w:p>
      <w:pPr>
        <w:ind w:left="660" w:right="820"/>
        <w:spacing w:after="0" w:line="258" w:lineRule="auto"/>
        <w:rPr>
          <w:sz w:val="20"/>
          <w:szCs w:val="20"/>
          <w:color w:val="auto"/>
        </w:rPr>
      </w:pPr>
      <w:r>
        <w:rPr>
          <w:rFonts w:ascii="Times New Roman" w:cs="Times New Roman" w:eastAsia="Times New Roman" w:hAnsi="Times New Roman"/>
          <w:sz w:val="22"/>
          <w:szCs w:val="22"/>
          <w:color w:val="auto"/>
        </w:rPr>
        <w:t>disclosure if such notice is not prohibited by applicable law, court order, subpoena, compulsory process of law or governmental decree.</w:t>
      </w:r>
    </w:p>
    <w:p>
      <w:pPr>
        <w:spacing w:after="0" w:line="185" w:lineRule="exact"/>
        <w:rPr>
          <w:sz w:val="20"/>
          <w:szCs w:val="20"/>
          <w:color w:val="auto"/>
        </w:rPr>
      </w:pPr>
    </w:p>
    <w:p>
      <w:pPr>
        <w:ind w:left="660" w:right="80" w:hanging="328"/>
        <w:spacing w:after="0" w:line="249" w:lineRule="auto"/>
        <w:tabs>
          <w:tab w:leader="none" w:pos="66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w:t>
      </w:r>
      <w:r>
        <w:rPr>
          <w:rFonts w:ascii="Times New Roman" w:cs="Times New Roman" w:eastAsia="Times New Roman" w:hAnsi="Times New Roman"/>
          <w:sz w:val="21"/>
          <w:szCs w:val="21"/>
          <w:color w:val="auto"/>
        </w:rPr>
        <w:t>. The Executive acknowledges that (i) the Executive’s work for the Company has given and will continue to give him access to the confidential affairs and proprietary information of the Company; (ii) the covenants and agreements of the Executive contained in Sections 6, 7, 8 and 9 are essential to the business and goodwill of the Company; and (iii)</w:t>
      </w:r>
    </w:p>
    <w:p>
      <w:pPr>
        <w:ind w:left="660"/>
        <w:spacing w:after="0" w:line="229" w:lineRule="auto"/>
        <w:rPr>
          <w:sz w:val="20"/>
          <w:szCs w:val="20"/>
          <w:color w:val="auto"/>
        </w:rPr>
      </w:pPr>
      <w:r>
        <w:rPr>
          <w:rFonts w:ascii="Times New Roman" w:cs="Times New Roman" w:eastAsia="Times New Roman" w:hAnsi="Times New Roman"/>
          <w:sz w:val="21"/>
          <w:szCs w:val="21"/>
          <w:color w:val="auto"/>
        </w:rPr>
        <w:t>Crown would not have entered into this Agreement but for the covenants and agreements set forth in Sections 6, 7, 8 and</w:t>
      </w:r>
    </w:p>
    <w:p>
      <w:pPr>
        <w:ind w:left="660" w:right="140"/>
        <w:spacing w:after="0" w:line="233" w:lineRule="auto"/>
        <w:rPr>
          <w:sz w:val="20"/>
          <w:szCs w:val="20"/>
          <w:color w:val="auto"/>
        </w:rPr>
      </w:pPr>
      <w:r>
        <w:rPr>
          <w:rFonts w:ascii="Times New Roman" w:cs="Times New Roman" w:eastAsia="Times New Roman" w:hAnsi="Times New Roman"/>
          <w:sz w:val="22"/>
          <w:szCs w:val="22"/>
          <w:color w:val="auto"/>
        </w:rPr>
        <w:t>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spacing w:after="0" w:line="206" w:lineRule="exact"/>
        <w:rPr>
          <w:sz w:val="20"/>
          <w:szCs w:val="20"/>
          <w:color w:val="auto"/>
        </w:rPr>
      </w:pPr>
    </w:p>
    <w:p>
      <w:pPr>
        <w:ind w:left="660" w:right="240" w:hanging="328"/>
        <w:spacing w:after="0" w:line="236" w:lineRule="auto"/>
        <w:tabs>
          <w:tab w:leader="none" w:pos="65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ind w:left="19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w:t>
      </w:r>
    </w:p>
    <w:p>
      <w:pPr>
        <w:ind w:left="2600"/>
        <w:spacing w:after="0" w:line="218" w:lineRule="auto"/>
        <w:rPr>
          <w:sz w:val="20"/>
          <w:szCs w:val="20"/>
          <w:color w:val="auto"/>
        </w:rPr>
      </w:pPr>
      <w:r>
        <w:rPr>
          <w:rFonts w:ascii="Times New Roman" w:cs="Times New Roman" w:eastAsia="Times New Roman" w:hAnsi="Times New Roman"/>
          <w:sz w:val="22"/>
          <w:szCs w:val="22"/>
          <w:color w:val="auto"/>
        </w:rPr>
        <w:t>Crown Holdings, Inc.</w:t>
      </w:r>
    </w:p>
    <w:p>
      <w:pPr>
        <w:ind w:left="2600"/>
        <w:spacing w:after="0" w:line="230" w:lineRule="auto"/>
        <w:rPr>
          <w:sz w:val="20"/>
          <w:szCs w:val="20"/>
          <w:color w:val="auto"/>
        </w:rPr>
      </w:pPr>
      <w:r>
        <w:rPr>
          <w:rFonts w:ascii="Times New Roman" w:cs="Times New Roman" w:eastAsia="Times New Roman" w:hAnsi="Times New Roman"/>
          <w:sz w:val="22"/>
          <w:szCs w:val="22"/>
          <w:color w:val="auto"/>
        </w:rPr>
        <w:t>770 Township Line Road</w:t>
      </w:r>
    </w:p>
    <w:p>
      <w:pPr>
        <w:ind w:left="2600"/>
        <w:spacing w:after="0" w:line="231" w:lineRule="auto"/>
        <w:rPr>
          <w:sz w:val="20"/>
          <w:szCs w:val="20"/>
          <w:color w:val="auto"/>
        </w:rPr>
      </w:pPr>
      <w:r>
        <w:rPr>
          <w:rFonts w:ascii="Times New Roman" w:cs="Times New Roman" w:eastAsia="Times New Roman" w:hAnsi="Times New Roman"/>
          <w:sz w:val="22"/>
          <w:szCs w:val="22"/>
          <w:color w:val="auto"/>
        </w:rPr>
        <w:t>Yardley, PA 19067</w:t>
      </w:r>
    </w:p>
    <w:p>
      <w:pPr>
        <w:ind w:left="260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Executive, notice shall be sent to the Executive’s address on file with the Company.</w:t>
      </w:r>
    </w:p>
    <w:p>
      <w:pPr>
        <w:spacing w:after="0" w:line="233" w:lineRule="exact"/>
        <w:rPr>
          <w:sz w:val="20"/>
          <w:szCs w:val="20"/>
          <w:color w:val="auto"/>
        </w:rPr>
      </w:pPr>
    </w:p>
    <w:p>
      <w:pPr>
        <w:ind w:left="660" w:hanging="328"/>
        <w:spacing w:after="0" w:line="258"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Agreement may be amended, modified or superseded only by a written instrument executed by both of the parties hereto.</w:t>
      </w:r>
    </w:p>
    <w:p>
      <w:pPr>
        <w:spacing w:after="0" w:line="185" w:lineRule="exact"/>
        <w:rPr>
          <w:rFonts w:ascii="Times New Roman" w:cs="Times New Roman" w:eastAsia="Times New Roman" w:hAnsi="Times New Roman"/>
          <w:sz w:val="22"/>
          <w:szCs w:val="22"/>
          <w:color w:val="auto"/>
        </w:rPr>
      </w:pPr>
    </w:p>
    <w:p>
      <w:pPr>
        <w:ind w:left="660" w:right="320" w:hanging="328"/>
        <w:spacing w:after="0" w:line="258"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inure to the benefit of and shall be binding upon the Company and the Executive and their respective heirs, executors, personal representatives, successors and permitted assigns.</w:t>
      </w:r>
    </w:p>
    <w:p>
      <w:pPr>
        <w:spacing w:after="0" w:line="185" w:lineRule="exact"/>
        <w:rPr>
          <w:rFonts w:ascii="Times New Roman" w:cs="Times New Roman" w:eastAsia="Times New Roman" w:hAnsi="Times New Roman"/>
          <w:sz w:val="22"/>
          <w:szCs w:val="22"/>
          <w:color w:val="auto"/>
        </w:rPr>
      </w:pPr>
    </w:p>
    <w:p>
      <w:pPr>
        <w:ind w:left="660" w:right="60" w:hanging="328"/>
        <w:spacing w:after="0" w:line="234"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This Agreement shall not be assignable, in whole or in part, by either party, without the prior written consent of the other party, provided that (i) this Agreement shall be binding upon and shall be assigned by Crown to any person, firm or corporation with which Crown may be merged or consolidated or which may acquire all or substantially all of the assets of Crown, or its successor (“</w:t>
      </w:r>
      <w:r>
        <w:rPr>
          <w:rFonts w:ascii="Times New Roman" w:cs="Times New Roman" w:eastAsia="Times New Roman" w:hAnsi="Times New Roman"/>
          <w:sz w:val="22"/>
          <w:szCs w:val="22"/>
          <w:u w:val="single" w:color="auto"/>
          <w:color w:val="auto"/>
        </w:rPr>
        <w:t>Crown’s Successor</w:t>
      </w:r>
      <w:r>
        <w:rPr>
          <w:rFonts w:ascii="Times New Roman" w:cs="Times New Roman" w:eastAsia="Times New Roman" w:hAnsi="Times New Roman"/>
          <w:sz w:val="22"/>
          <w:szCs w:val="22"/>
          <w:color w:val="auto"/>
        </w:rPr>
        <w:t>”), (ii) Crown shall require Crown’s Successor to expressly assume in writing all of Crown’s obligations under this Agreement and (iii) Crown’s Successor shall be deemed substituted for Crown for all purposes of this Agreement.</w:t>
      </w:r>
    </w:p>
    <w:p>
      <w:pPr>
        <w:spacing w:after="0" w:line="207" w:lineRule="exact"/>
        <w:rPr>
          <w:rFonts w:ascii="Times New Roman" w:cs="Times New Roman" w:eastAsia="Times New Roman" w:hAnsi="Times New Roman"/>
          <w:sz w:val="22"/>
          <w:szCs w:val="22"/>
          <w:color w:val="auto"/>
        </w:rPr>
      </w:pPr>
    </w:p>
    <w:p>
      <w:pPr>
        <w:ind w:left="660" w:right="40" w:hanging="328"/>
        <w:spacing w:after="0" w:line="258" w:lineRule="auto"/>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Except as provided in Section 10 of this Agreement, any controversy or claim arising out of or relating to this Agreement or the breach thereof shall be settled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40"/>
          </w:cols>
          <w:pgMar w:left="320" w:top="1408" w:right="339" w:bottom="1440" w:gutter="0" w:footer="0" w:header="0"/>
        </w:sectPr>
      </w:pPr>
    </w:p>
    <w:bookmarkStart w:id="112" w:name="page113"/>
    <w:bookmarkEnd w:id="112"/>
    <w:p>
      <w:pPr>
        <w:ind w:left="660" w:right="160"/>
        <w:spacing w:after="0" w:line="239" w:lineRule="auto"/>
        <w:rPr>
          <w:sz w:val="20"/>
          <w:szCs w:val="20"/>
          <w:color w:val="auto"/>
        </w:rPr>
      </w:pPr>
      <w:r>
        <w:rPr>
          <w:rFonts w:ascii="Times New Roman" w:cs="Times New Roman" w:eastAsia="Times New Roman" w:hAnsi="Times New Roman"/>
          <w:sz w:val="22"/>
          <w:szCs w:val="22"/>
          <w:color w:val="auto"/>
        </w:rPr>
        <w:t>arbitration in Philadelphia, Pennsylvania in accordance with the rules of the American Arbitration Association, and judgment upon any award so rendered may be entered in any court having jurisdiction thereof. The determination of the arbitrator(s) shall be conclusive and binding on the Company and the Executive, and judgment may be entered on the arbitrator(s)’ award in any court having jurisdiction.</w:t>
      </w:r>
    </w:p>
    <w:p>
      <w:pPr>
        <w:spacing w:after="0" w:line="207" w:lineRule="exact"/>
        <w:rPr>
          <w:sz w:val="20"/>
          <w:szCs w:val="20"/>
          <w:color w:val="auto"/>
        </w:rPr>
      </w:pPr>
    </w:p>
    <w:p>
      <w:pPr>
        <w:ind w:left="660" w:right="80" w:hanging="328"/>
        <w:spacing w:after="0" w:line="258"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Except to the extent such laws are superseded by Federal laws, this Agreement shall be governed by the laws of the Commonwealth of Pennsylvania without reference to principles of conflict of laws.</w:t>
      </w:r>
    </w:p>
    <w:p>
      <w:pPr>
        <w:spacing w:after="0" w:line="171" w:lineRule="exact"/>
        <w:rPr>
          <w:rFonts w:ascii="Times New Roman" w:cs="Times New Roman" w:eastAsia="Times New Roman" w:hAnsi="Times New Roman"/>
          <w:sz w:val="22"/>
          <w:szCs w:val="22"/>
          <w:color w:val="auto"/>
        </w:rPr>
      </w:pPr>
    </w:p>
    <w:p>
      <w:pPr>
        <w:ind w:left="660" w:right="140" w:hanging="328"/>
        <w:spacing w:after="0" w:line="239"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between the parties relative to its subject matter, superseding all prior agreements or understandings of the parties relating thereto including the Severance Letter. In the event of any conflict between this Agreement and the terms of any benefit plan or any other agreement, the terms of this Agreement will control.</w:t>
      </w:r>
    </w:p>
    <w:p>
      <w:pPr>
        <w:spacing w:after="0" w:line="207" w:lineRule="exact"/>
        <w:rPr>
          <w:rFonts w:ascii="Times New Roman" w:cs="Times New Roman" w:eastAsia="Times New Roman" w:hAnsi="Times New Roman"/>
          <w:sz w:val="22"/>
          <w:szCs w:val="22"/>
          <w:color w:val="auto"/>
        </w:rPr>
      </w:pPr>
    </w:p>
    <w:p>
      <w:pPr>
        <w:ind w:left="660" w:hanging="328"/>
        <w:spacing w:after="0" w:line="238"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spacing w:after="0" w:line="203" w:lineRule="exact"/>
        <w:rPr>
          <w:rFonts w:ascii="Times New Roman" w:cs="Times New Roman" w:eastAsia="Times New Roman" w:hAnsi="Times New Roman"/>
          <w:sz w:val="22"/>
          <w:szCs w:val="22"/>
          <w:color w:val="auto"/>
        </w:rPr>
      </w:pPr>
    </w:p>
    <w:p>
      <w:pPr>
        <w:ind w:left="660" w:right="80" w:hanging="328"/>
        <w:spacing w:after="0" w:line="238"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spacing w:after="0" w:line="205" w:lineRule="exact"/>
        <w:rPr>
          <w:rFonts w:ascii="Times New Roman" w:cs="Times New Roman" w:eastAsia="Times New Roman" w:hAnsi="Times New Roman"/>
          <w:sz w:val="22"/>
          <w:szCs w:val="22"/>
          <w:color w:val="auto"/>
        </w:rPr>
      </w:pPr>
    </w:p>
    <w:p>
      <w:pPr>
        <w:ind w:left="660" w:right="80" w:hanging="328"/>
        <w:spacing w:after="0" w:line="239"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Anything contained in this Agreement to the contrary notwithstanding, the provisions of Sections 6, 7, 8, 9, 13, 14, 15, 16 and 17, (and the other provisions of this Agreement to the extent necessary to effectuate the survival of Sections 6, 7, 8, 9, 13, 14, 15, 16 and 17), shall survive termination of this Agreement and any termination of the Executive’s employment hereunder.</w:t>
      </w:r>
    </w:p>
    <w:p>
      <w:pPr>
        <w:spacing w:after="0" w:line="207" w:lineRule="exact"/>
        <w:rPr>
          <w:rFonts w:ascii="Times New Roman" w:cs="Times New Roman" w:eastAsia="Times New Roman" w:hAnsi="Times New Roman"/>
          <w:sz w:val="22"/>
          <w:szCs w:val="22"/>
          <w:color w:val="auto"/>
        </w:rPr>
      </w:pPr>
    </w:p>
    <w:p>
      <w:pPr>
        <w:ind w:left="660" w:right="40" w:hanging="328"/>
        <w:spacing w:after="0" w:line="234"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Portion of Agreement</w:t>
      </w:r>
      <w:r>
        <w:rPr>
          <w:rFonts w:ascii="Times New Roman" w:cs="Times New Roman" w:eastAsia="Times New Roman" w:hAnsi="Times New Roman"/>
          <w:sz w:val="22"/>
          <w:szCs w:val="22"/>
          <w:color w:val="auto"/>
        </w:rPr>
        <w:t>. 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spacing w:after="0" w:line="207" w:lineRule="exact"/>
        <w:rPr>
          <w:rFonts w:ascii="Times New Roman" w:cs="Times New Roman" w:eastAsia="Times New Roman" w:hAnsi="Times New Roman"/>
          <w:sz w:val="22"/>
          <w:szCs w:val="22"/>
          <w:color w:val="auto"/>
        </w:rPr>
      </w:pPr>
    </w:p>
    <w:p>
      <w:pPr>
        <w:ind w:left="660" w:right="160" w:hanging="328"/>
        <w:spacing w:after="0" w:line="239"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Code Section 409A</w:t>
      </w:r>
      <w:r>
        <w:rPr>
          <w:rFonts w:ascii="Times New Roman" w:cs="Times New Roman" w:eastAsia="Times New Roman" w:hAnsi="Times New Roman"/>
          <w:sz w:val="22"/>
          <w:szCs w:val="22"/>
          <w:color w:val="auto"/>
        </w:rPr>
        <w:t>. 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 If the Executive’s termination of employment hereunder does not constitute a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80"/>
          </w:cols>
          <w:pgMar w:left="320" w:top="1408" w:right="399" w:bottom="1440" w:gutter="0" w:footer="0" w:header="0"/>
        </w:sectPr>
      </w:pPr>
    </w:p>
    <w:bookmarkStart w:id="113" w:name="page114"/>
    <w:bookmarkEnd w:id="113"/>
    <w:p>
      <w:pPr>
        <w:ind w:left="660"/>
        <w:spacing w:after="0" w:line="233" w:lineRule="auto"/>
        <w:rPr>
          <w:sz w:val="20"/>
          <w:szCs w:val="20"/>
          <w:color w:val="auto"/>
        </w:rPr>
      </w:pPr>
      <w:r>
        <w:rPr>
          <w:rFonts w:ascii="Times New Roman" w:cs="Times New Roman" w:eastAsia="Times New Roman" w:hAnsi="Times New Roman"/>
          <w:sz w:val="22"/>
          <w:szCs w:val="22"/>
          <w:color w:val="auto"/>
        </w:rPr>
        <w:t>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For purposes of the application of Code Section 409A, each payment in a series of payments will be deemed a separate payment.</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60"/>
          </w:cols>
          <w:pgMar w:left="320" w:top="1408" w:right="419" w:bottom="1440" w:gutter="0" w:footer="0" w:header="0"/>
        </w:sectPr>
      </w:pPr>
    </w:p>
    <w:bookmarkStart w:id="114" w:name="page115"/>
    <w:bookmarkEnd w:id="114"/>
    <w:p>
      <w:pPr>
        <w:ind w:left="1300"/>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this Agreement as of the date first written above.</w:t>
      </w:r>
    </w:p>
    <w:p>
      <w:pPr>
        <w:sectPr>
          <w:pgSz w:w="11900" w:h="16838" w:orient="portrait"/>
          <w:cols w:equalWidth="0" w:num="1">
            <w:col w:w="11200"/>
          </w:cols>
          <w:pgMar w:left="320" w:top="1408" w:right="379" w:bottom="1440" w:gutter="0" w:footer="0" w:header="0"/>
        </w:sectPr>
      </w:pP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Crown Holdings, Inc.</w:t>
      </w:r>
    </w:p>
    <w:p>
      <w:pPr>
        <w:ind w:left="8000"/>
        <w:spacing w:after="0"/>
        <w:rPr>
          <w:sz w:val="20"/>
          <w:szCs w:val="20"/>
          <w:color w:val="auto"/>
        </w:rPr>
      </w:pPr>
      <w:r>
        <w:rPr>
          <w:rFonts w:ascii="Times New Roman" w:cs="Times New Roman" w:eastAsia="Times New Roman" w:hAnsi="Times New Roman"/>
          <w:sz w:val="21"/>
          <w:szCs w:val="21"/>
          <w:color w:val="auto"/>
        </w:rPr>
        <w:t>/s/Timothy J. Donahue</w:t>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Executive</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/s/Carlos Baila</w:t>
      </w:r>
    </w:p>
    <w:p>
      <w:pPr>
        <w:sectPr>
          <w:pgSz w:w="11900" w:h="16838" w:orient="portrait"/>
          <w:cols w:equalWidth="0" w:num="1">
            <w:col w:w="11200"/>
          </w:cols>
          <w:pgMar w:left="320" w:top="14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00"/>
          </w:cols>
          <w:pgMar w:left="320" w:top="1408" w:right="379" w:bottom="1440" w:gutter="0" w:footer="0" w:header="0"/>
          <w:type w:val="continuous"/>
        </w:sectPr>
      </w:pPr>
    </w:p>
    <w:bookmarkStart w:id="115" w:name="page116"/>
    <w:bookmarkEnd w:id="115"/>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GENERAL RELEASE</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NOTICE</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This is a very important document and you should thoroughly review and understand the terms and effect of this document before signing it. By signing this General Release you will be releasing the Company from all liability to you. Therefore, you should consult with an attorney before signing the General Release. You have 60 days to consider this document. If you have not returned a signed copy of the General Release by that time, we will assume that you have elected not to sign the General Release. If you choose to sign the General Release, you will have an additional 7 days following the date of your signature to revoke the General Release by providing written notice to the Company to be received during such 7-day revocation period and the General Release shall not become effective or enforceable until the revocation period has expired without revocation.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consideration of pay and benefits provided to me by Crown Holdings, Inc. as set forth in my Employment Agreement, dated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 2023, and other good and valuable consideration to which I would not otherwise be entitled, I, Carlos Baila, on</w:t>
      </w:r>
    </w:p>
    <w:p>
      <w:pPr>
        <w:ind w:right="20"/>
        <w:spacing w:after="0" w:line="241" w:lineRule="auto"/>
        <w:rPr>
          <w:sz w:val="20"/>
          <w:szCs w:val="20"/>
          <w:color w:val="auto"/>
        </w:rPr>
      </w:pPr>
      <w:r>
        <w:rPr>
          <w:rFonts w:ascii="Times New Roman" w:cs="Times New Roman" w:eastAsia="Times New Roman" w:hAnsi="Times New Roman"/>
          <w:sz w:val="21"/>
          <w:szCs w:val="21"/>
          <w:color w:val="auto"/>
        </w:rPr>
        <w:t>behalf of myself, my heirs, assigns, executors, agents and representatives, hereby release and discharge Crown Holdings, Inc. and its affiliates, parents, subsidiaries, successors, and predecessors, and all of their respective shareholders, employees, agents, officers and directors (hereinafter collectively referred to as the “Company”) from any and all claims, demands, charges, complaints and/or causes of action, known or unknown, which I may have or could claim to have against the Company arising at any time up to and including the date of my signing of this General Release. This General Release includes, but is not limited to, all claims arising from or during my employment or as a result of the termination of my employment and all claims arising under federal, state or local laws prohibiting employment discrimination based upon age, race, sex, religion, disability, handicap, national origin or any other protected characteristic, including, but not limited to any and all claims arising under the Age Discrimination in Employment Act, as amended, Title VII of the Civil Rights Act, as amended, the Americans with Disabilities Act, and all similar state or local laws, and/or any claims arising out of any legal restrictions, expressed or implied, on the Company’s right to control or terminate the employment of its employees. Notwithstanding the foregoing, this General Release does not apply to claims for (i) amounts payable to me under Section 5 of my Employment Agreement or (ii) payments due to me under any outstanding stock option, restricted stock or other equity award agreement between me and the Company.</w:t>
      </w:r>
    </w:p>
    <w:p>
      <w:pPr>
        <w:spacing w:after="0" w:line="212"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I further agree that I will not file (or join, or accept any relief in) a lawsuit against the Company pleading or asserting any claims released in this General Release. If I breach this promise, and the action is found to be barred in whole or in part by this General Release, I agree to pay the attorneys’ fees and costs, or the proportions thereof, incurred by the Company in defending against those claims that are found to be barred by this General Release. Nothing in this paragraph precludes me from challenging the validity of this General Release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33" w:lineRule="auto"/>
        <w:rPr>
          <w:sz w:val="20"/>
          <w:szCs w:val="20"/>
          <w:color w:val="auto"/>
        </w:rPr>
      </w:pPr>
      <w:r>
        <w:rPr>
          <w:rFonts w:ascii="Times New Roman" w:cs="Times New Roman" w:eastAsia="Times New Roman" w:hAnsi="Times New Roman"/>
          <w:sz w:val="22"/>
          <w:szCs w:val="22"/>
          <w:color w:val="auto"/>
        </w:rPr>
        <w:t>requirements of the Age Discrimination in Employment Act, and I shall not be responsible for reimbursing the attorneys’ fees and costs of the Company in connection with such a challenge to the validity of the release. However, I acknowledge that this General Release applies to all claims I have under the Age Discrimination in Employment Act, and that, unless this General Release is held to be invalid, all of my claims under that Act shall be extinguished. I further acknowledge and agree that nothing in this General Release precludes or prevents me from filing a charge with the U.S. Equal Employment Opportunity Commission or other government agency. I agree that I will not seek or accept any relief obtained on my behalf by any government agency, private party, class, or otherwise with respect to any claims released in this General Release, provided that this General Release does not limit my right to receive an award for information provided to any government agency.</w:t>
      </w:r>
    </w:p>
    <w:p>
      <w:pPr>
        <w:spacing w:after="0" w:line="20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I further acknowledge and agree that nothing in this General Release, or the confidentiality and non-disparagement provisions of the employment agreement prohibit me or the Company or any person or entity from (i) reporting possible violation of federal law or regulation to any governmental agency or entity or self-regulatory organization or making disclosures that are protected under the whistleblower provisions of federal law or regulation, or (ii) supplying truthful information to any governmental authority or in response to any lawful subpoena or other legal process.</w:t>
      </w:r>
    </w:p>
    <w:p>
      <w:pPr>
        <w:spacing w:after="0" w:line="204"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 xml:space="preserve">Further, nothing in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xml:space="preserve"> shall preclude or prevent me from filing a charge with, providing information to, communicating with or cooperating with any governmental agency, including but not limited to the U.S. Equal Employment Opportunity Commission. I agree that I will not seek or accept any relief obtained on my behalf by any governmental agency, private party, class, or otherwise with respect to any claims released in this General Release provided that this General Release does not limit my right to receive an award for information provided to any governmental agency.</w:t>
      </w:r>
    </w:p>
    <w:p>
      <w:pPr>
        <w:spacing w:after="0" w:line="200" w:lineRule="exact"/>
        <w:rPr>
          <w:sz w:val="20"/>
          <w:szCs w:val="20"/>
          <w:color w:val="auto"/>
        </w:rPr>
      </w:pPr>
    </w:p>
    <w:p>
      <w:pPr>
        <w:spacing w:after="0" w:line="24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Company relating to the subject matter covered by this General Release, and all other prior or contemporaneous written or oral agreements or representations, if any, relating to the subject matter covered by this General Release are null and void. Neither the Company nor its agents, representatives or attorneys have made any representations to me concerning the terms or effects of this General Release other than those contained herein. It is also expressly understood and agreed that the terms of this General Release may not be altered except in a writing signed by both me and the Company.</w:t>
      </w:r>
    </w:p>
    <w:p>
      <w:pPr>
        <w:spacing w:after="0" w:line="200" w:lineRule="exact"/>
        <w:rPr>
          <w:sz w:val="20"/>
          <w:szCs w:val="20"/>
          <w:color w:val="auto"/>
        </w:rPr>
      </w:pPr>
    </w:p>
    <w:p>
      <w:pPr>
        <w:spacing w:after="0" w:line="2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Company; that I sign this General Release knowingly and voluntarily; that I have been advised to consult with an attorney before signing it; and that this General Release shall not be subject to claims of fraud, duress and/or mistake.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1180"/>
          </w:cols>
          <w:pgMar w:left="320" w:top="1408" w:right="399" w:bottom="1440" w:gutter="0" w:footer="0" w:header="0"/>
        </w:sectPr>
      </w:pPr>
    </w:p>
    <w:bookmarkStart w:id="117" w:name="page118"/>
    <w:bookmarkEnd w:id="11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INTENDING TO BE LEGALLY BOUND, I hereby set my hand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BY: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 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Carlos Baila 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WITNESSED BY: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 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signature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BUSINESS.29436846.3</w:t>
      </w:r>
    </w:p>
    <w:p>
      <w:pPr>
        <w:sectPr>
          <w:pgSz w:w="11900" w:h="16838" w:orient="portrait"/>
          <w:cols w:equalWidth="0" w:num="1">
            <w:col w:w="10139"/>
          </w:cols>
          <w:pgMar w:left="320" w:top="1440"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DEFERRED COMPENSATION PLAN FOR DIRECTORS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Amended and Restated Effective Februray 23, 2023)</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This is the Crown Holdings, Inc. Deferred Compensation Plan for Directors, as amended and restated effective February 23, 2023.</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DEFINITIONS</w:t>
      </w:r>
    </w:p>
    <w:p>
      <w:pPr>
        <w:spacing w:after="0" w:line="233" w:lineRule="exact"/>
        <w:rPr>
          <w:sz w:val="20"/>
          <w:szCs w:val="20"/>
          <w:color w:val="auto"/>
        </w:rPr>
      </w:pPr>
    </w:p>
    <w:p>
      <w:pPr>
        <w:ind w:right="680" w:firstLine="648"/>
        <w:spacing w:after="0" w:line="258" w:lineRule="auto"/>
        <w:rPr>
          <w:sz w:val="20"/>
          <w:szCs w:val="20"/>
          <w:color w:val="auto"/>
        </w:rPr>
      </w:pPr>
      <w:r>
        <w:rPr>
          <w:rFonts w:ascii="Times New Roman" w:cs="Times New Roman" w:eastAsia="Times New Roman" w:hAnsi="Times New Roman"/>
          <w:sz w:val="22"/>
          <w:szCs w:val="22"/>
          <w:color w:val="auto"/>
        </w:rPr>
        <w:t>The following words and phrases as used herein have the following meanings unless a different meaning is plainly required by the context:</w:t>
      </w:r>
    </w:p>
    <w:p>
      <w:pPr>
        <w:spacing w:after="0" w:line="185" w:lineRule="exact"/>
        <w:rPr>
          <w:sz w:val="20"/>
          <w:szCs w:val="20"/>
          <w:color w:val="auto"/>
        </w:rPr>
      </w:pPr>
    </w:p>
    <w:p>
      <w:pPr>
        <w:ind w:left="980" w:right="300" w:hanging="323"/>
        <w:spacing w:after="0" w:line="258" w:lineRule="auto"/>
        <w:rPr>
          <w:sz w:val="20"/>
          <w:szCs w:val="20"/>
          <w:color w:val="auto"/>
        </w:rPr>
      </w:pPr>
      <w:r>
        <w:rPr>
          <w:rFonts w:ascii="Times New Roman" w:cs="Times New Roman" w:eastAsia="Times New Roman" w:hAnsi="Times New Roman"/>
          <w:sz w:val="22"/>
          <w:szCs w:val="22"/>
          <w:color w:val="auto"/>
        </w:rPr>
        <w:t>1.1 “Account” means the separate bookkeeping account established under the Plan for each Participant, as described in Section 4.1.</w:t>
      </w:r>
    </w:p>
    <w:p>
      <w:pPr>
        <w:spacing w:after="0" w:line="185" w:lineRule="exact"/>
        <w:rPr>
          <w:sz w:val="20"/>
          <w:szCs w:val="20"/>
          <w:color w:val="auto"/>
        </w:rPr>
      </w:pPr>
    </w:p>
    <w:p>
      <w:pPr>
        <w:jc w:val="both"/>
        <w:ind w:left="980" w:right="460" w:hanging="323"/>
        <w:spacing w:after="0" w:line="244" w:lineRule="auto"/>
        <w:rPr>
          <w:sz w:val="20"/>
          <w:szCs w:val="20"/>
          <w:color w:val="auto"/>
        </w:rPr>
      </w:pPr>
      <w:r>
        <w:rPr>
          <w:rFonts w:ascii="Times New Roman" w:cs="Times New Roman" w:eastAsia="Times New Roman" w:hAnsi="Times New Roman"/>
          <w:sz w:val="22"/>
          <w:szCs w:val="22"/>
          <w:color w:val="auto"/>
        </w:rPr>
        <w:t>1.2 “Administrator” means the Compensation Committee of the Board, or the person or committee appointed by the Compensation Committee, which shall be responsible for those functions assigned to the Administrator under the Plan.</w:t>
      </w:r>
    </w:p>
    <w:p>
      <w:pPr>
        <w:spacing w:after="0" w:line="200" w:lineRule="exact"/>
        <w:rPr>
          <w:sz w:val="20"/>
          <w:szCs w:val="20"/>
          <w:color w:val="auto"/>
        </w:rPr>
      </w:pPr>
    </w:p>
    <w:p>
      <w:pPr>
        <w:ind w:left="980" w:right="140" w:hanging="323"/>
        <w:spacing w:after="0" w:line="244" w:lineRule="auto"/>
        <w:rPr>
          <w:sz w:val="20"/>
          <w:szCs w:val="20"/>
          <w:color w:val="auto"/>
        </w:rPr>
      </w:pPr>
      <w:r>
        <w:rPr>
          <w:rFonts w:ascii="Times New Roman" w:cs="Times New Roman" w:eastAsia="Times New Roman" w:hAnsi="Times New Roman"/>
          <w:sz w:val="22"/>
          <w:szCs w:val="22"/>
          <w:color w:val="auto"/>
        </w:rPr>
        <w:t>1.3 “Beneficiary” means the person, persons or trust designated by a Participant as direct or contingent beneficiary in the manner prescribed by the Administrator. The Beneficiary of a Participant who has not effectively designated a Beneficiary shall be the Participant’s estate.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 “Board” means the Board of Directors of the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 “Change of Control” means:</w:t>
      </w:r>
    </w:p>
    <w:p>
      <w:pPr>
        <w:spacing w:after="0" w:line="233" w:lineRule="exact"/>
        <w:rPr>
          <w:sz w:val="20"/>
          <w:szCs w:val="20"/>
          <w:color w:val="auto"/>
        </w:rPr>
      </w:pPr>
    </w:p>
    <w:p>
      <w:pPr>
        <w:ind w:left="1960" w:right="20" w:hanging="647"/>
        <w:spacing w:after="0" w:line="235" w:lineRule="auto"/>
        <w:rPr>
          <w:sz w:val="20"/>
          <w:szCs w:val="20"/>
          <w:color w:val="auto"/>
        </w:rPr>
      </w:pPr>
      <w:r>
        <w:rPr>
          <w:rFonts w:ascii="Times New Roman" w:cs="Times New Roman" w:eastAsia="Times New Roman" w:hAnsi="Times New Roman"/>
          <w:sz w:val="22"/>
          <w:szCs w:val="22"/>
          <w:color w:val="auto"/>
        </w:rPr>
        <w:t>1.5.1 A “person” (as such term is used in Sections 13(d) and 14(d) of the Securities Exchange Act of 1934, as amended (the “Exchange Act”),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(as defined in Rule 13D-3 under the Exchange Act)), directly or indirectly, of securities of the Company representing 35% or more of the combined voting power of the Company’s then outstanding securities; or</w:t>
      </w:r>
    </w:p>
    <w:p>
      <w:pPr>
        <w:spacing w:after="0" w:line="210" w:lineRule="exact"/>
        <w:rPr>
          <w:sz w:val="20"/>
          <w:szCs w:val="20"/>
          <w:color w:val="auto"/>
        </w:rPr>
      </w:pPr>
    </w:p>
    <w:p>
      <w:pPr>
        <w:ind w:left="1960" w:right="20" w:hanging="647"/>
        <w:spacing w:after="0" w:line="235" w:lineRule="auto"/>
        <w:rPr>
          <w:sz w:val="20"/>
          <w:szCs w:val="20"/>
          <w:color w:val="auto"/>
        </w:rPr>
      </w:pPr>
      <w:r>
        <w:rPr>
          <w:rFonts w:ascii="Times New Roman" w:cs="Times New Roman" w:eastAsia="Times New Roman" w:hAnsi="Times New Roman"/>
          <w:sz w:val="22"/>
          <w:szCs w:val="22"/>
          <w:color w:val="auto"/>
        </w:rPr>
        <w:t>1.5.2 During any 12 month period, individuals who at the beginning of such period constitute the Board and any new director (other than a director designated by a person who has entered into an agreement with the Company to effect a transaction described in Section 1.5.1, Section 1.5.3 or Section 1.5.4 hereof) whose election by the Board or nomination for election by the Company’s stockholders was approved by a vote of a majority of the directors then still in office who either were directors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40"/>
          </w:cols>
          <w:pgMar w:left="320" w:top="1408" w:right="339" w:bottom="1440" w:gutter="0" w:footer="0" w:header="0"/>
        </w:sectPr>
      </w:pPr>
    </w:p>
    <w:bookmarkStart w:id="119" w:name="page120"/>
    <w:bookmarkEnd w:id="119"/>
    <w:p>
      <w:pPr>
        <w:ind w:left="1960" w:right="20"/>
        <w:spacing w:after="0" w:line="258" w:lineRule="auto"/>
        <w:rPr>
          <w:sz w:val="20"/>
          <w:szCs w:val="20"/>
          <w:color w:val="auto"/>
        </w:rPr>
      </w:pPr>
      <w:r>
        <w:rPr>
          <w:rFonts w:ascii="Times New Roman" w:cs="Times New Roman" w:eastAsia="Times New Roman" w:hAnsi="Times New Roman"/>
          <w:sz w:val="22"/>
          <w:szCs w:val="22"/>
          <w:color w:val="auto"/>
        </w:rPr>
        <w:t>beginning of the period or whose election or nomination for election was previously so approved, cease for any reason to constitute a majority thereof; or</w:t>
      </w:r>
    </w:p>
    <w:p>
      <w:pPr>
        <w:spacing w:after="0" w:line="185" w:lineRule="exact"/>
        <w:rPr>
          <w:sz w:val="20"/>
          <w:szCs w:val="20"/>
          <w:color w:val="auto"/>
        </w:rPr>
      </w:pPr>
    </w:p>
    <w:p>
      <w:pPr>
        <w:ind w:left="1960" w:right="60" w:hanging="647"/>
        <w:spacing w:after="0" w:line="235" w:lineRule="auto"/>
        <w:rPr>
          <w:sz w:val="20"/>
          <w:szCs w:val="20"/>
          <w:color w:val="auto"/>
        </w:rPr>
      </w:pPr>
      <w:r>
        <w:rPr>
          <w:rFonts w:ascii="Times New Roman" w:cs="Times New Roman" w:eastAsia="Times New Roman" w:hAnsi="Times New Roman"/>
          <w:sz w:val="22"/>
          <w:szCs w:val="22"/>
          <w:color w:val="auto"/>
        </w:rPr>
        <w:t>1.5.3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70% of the combined voting power of the voting securities of the Company or such surviving entity outstanding immediately after such merger or consolidation; or</w:t>
      </w:r>
    </w:p>
    <w:p>
      <w:pPr>
        <w:spacing w:after="0" w:line="206" w:lineRule="exact"/>
        <w:rPr>
          <w:sz w:val="20"/>
          <w:szCs w:val="20"/>
          <w:color w:val="auto"/>
        </w:rPr>
      </w:pPr>
    </w:p>
    <w:p>
      <w:pPr>
        <w:ind w:left="1960" w:right="260" w:hanging="647"/>
        <w:spacing w:after="0" w:line="258" w:lineRule="auto"/>
        <w:rPr>
          <w:sz w:val="20"/>
          <w:szCs w:val="20"/>
          <w:color w:val="auto"/>
        </w:rPr>
      </w:pPr>
      <w:r>
        <w:rPr>
          <w:rFonts w:ascii="Times New Roman" w:cs="Times New Roman" w:eastAsia="Times New Roman" w:hAnsi="Times New Roman"/>
          <w:sz w:val="22"/>
          <w:szCs w:val="22"/>
          <w:color w:val="auto"/>
        </w:rPr>
        <w:t>1.5.4 A complete liquidation of the Company or sale or disposition by the Company of all or substantially all of the Company’s assets.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1.6 “Code” means the Internal Revenue Code of 1986,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1.7 “Company” means Crown Holdings, Inc.</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1.8 “Director” means a member of the Board.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1.9 “Directors’ Fees” means the cash fees paid to a Director for his or her service on the Board or any committee thereof.</w:t>
      </w:r>
    </w:p>
    <w:p>
      <w:pPr>
        <w:spacing w:after="0" w:line="245" w:lineRule="exact"/>
        <w:rPr>
          <w:sz w:val="20"/>
          <w:szCs w:val="20"/>
          <w:color w:val="auto"/>
        </w:rPr>
      </w:pPr>
    </w:p>
    <w:p>
      <w:pPr>
        <w:ind w:left="980" w:right="240" w:hanging="323"/>
        <w:spacing w:after="0" w:line="258" w:lineRule="auto"/>
        <w:rPr>
          <w:sz w:val="20"/>
          <w:szCs w:val="20"/>
          <w:color w:val="auto"/>
        </w:rPr>
      </w:pPr>
      <w:r>
        <w:rPr>
          <w:rFonts w:ascii="Times New Roman" w:cs="Times New Roman" w:eastAsia="Times New Roman" w:hAnsi="Times New Roman"/>
          <w:sz w:val="22"/>
          <w:szCs w:val="22"/>
          <w:color w:val="auto"/>
        </w:rPr>
        <w:t>1.10 “Participant” means a Director who elects to participate in the Plan in accordance with the terms and conditions of the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1.11 “Plan” means the Crown Holdings, Inc. Deferred Compensation Plan for Directors.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1.12 “Plan Year” means the calendar year.</w:t>
      </w:r>
    </w:p>
    <w:p>
      <w:pPr>
        <w:spacing w:after="0" w:line="220" w:lineRule="exact"/>
        <w:rPr>
          <w:sz w:val="20"/>
          <w:szCs w:val="20"/>
          <w:color w:val="auto"/>
        </w:rPr>
      </w:pPr>
    </w:p>
    <w:p>
      <w:pPr>
        <w:ind w:left="980" w:hanging="323"/>
        <w:spacing w:after="0" w:line="238" w:lineRule="auto"/>
        <w:rPr>
          <w:sz w:val="20"/>
          <w:szCs w:val="20"/>
          <w:color w:val="auto"/>
        </w:rPr>
      </w:pPr>
      <w:r>
        <w:rPr>
          <w:rFonts w:ascii="Times New Roman" w:cs="Times New Roman" w:eastAsia="Times New Roman" w:hAnsi="Times New Roman"/>
          <w:sz w:val="22"/>
          <w:szCs w:val="22"/>
          <w:color w:val="auto"/>
        </w:rPr>
        <w:t>1.13 “Unforeseeable Emergency” means a severe financial hardship to the Participant resulting from an illness or accident of the Participant, the Participant’s spouse, beneficiary or “dependent” (as defined in Code Section 152, without regard to Code Section 152(b)(1), (b)(2) and (d)(1)(B)); loss of the Participant’s property due or casualty; or other similar extraordinary and unforeseeable circumstances arising as a result of events beyond the control of the Participant.</w:t>
      </w:r>
    </w:p>
    <w:p>
      <w:pPr>
        <w:spacing w:after="0" w:line="2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PARTICIPATION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2.1 Eligibility. Each non-employee Director who is entitled to Directors’ Fees is eligible to elect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20"/>
          </w:cols>
          <w:pgMar w:left="320" w:top="1408" w:right="359" w:bottom="1440" w:gutter="0" w:footer="0" w:header="0"/>
        </w:sectPr>
      </w:pPr>
    </w:p>
    <w:bookmarkStart w:id="120" w:name="page121"/>
    <w:bookmarkEnd w:id="120"/>
    <w:p>
      <w:pPr>
        <w:ind w:left="980" w:right="140" w:hanging="323"/>
        <w:spacing w:after="0" w:line="282" w:lineRule="auto"/>
        <w:rPr>
          <w:sz w:val="20"/>
          <w:szCs w:val="20"/>
          <w:color w:val="auto"/>
        </w:rPr>
      </w:pPr>
      <w:r>
        <w:rPr>
          <w:rFonts w:ascii="Times New Roman" w:cs="Times New Roman" w:eastAsia="Times New Roman" w:hAnsi="Times New Roman"/>
          <w:sz w:val="21"/>
          <w:szCs w:val="21"/>
          <w:color w:val="auto"/>
        </w:rPr>
        <w:t>2.2 Participation. A Director who meets the eligibility requirements of Section 2.1 may elect to participate in the Plan by delivering to the Administrator a properly executed deferral election in the form provided by the Administrator.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DEFERRAL OF DIRECTORS’ FEES</w:t>
      </w:r>
    </w:p>
    <w:p>
      <w:pPr>
        <w:spacing w:after="0" w:line="233" w:lineRule="exact"/>
        <w:rPr>
          <w:sz w:val="20"/>
          <w:szCs w:val="20"/>
          <w:color w:val="auto"/>
        </w:rPr>
      </w:pPr>
    </w:p>
    <w:p>
      <w:pPr>
        <w:ind w:left="980" w:right="20" w:hanging="323"/>
        <w:spacing w:after="0" w:line="234" w:lineRule="auto"/>
        <w:rPr>
          <w:sz w:val="20"/>
          <w:szCs w:val="20"/>
          <w:color w:val="auto"/>
        </w:rPr>
      </w:pPr>
      <w:r>
        <w:rPr>
          <w:rFonts w:ascii="Times New Roman" w:cs="Times New Roman" w:eastAsia="Times New Roman" w:hAnsi="Times New Roman"/>
          <w:sz w:val="22"/>
          <w:szCs w:val="22"/>
          <w:color w:val="auto"/>
        </w:rPr>
        <w:t>3.1 Deferral Election. A Director who elects to become a Participant may elect to defer receipt of all, or any part, of his or her Directors’ Fees for any Plan Year by delivering a properly executed deferral election form to the Administrator on or before December 31 of the preceding Plan Year, which form shall specify the amount or percentage of Directors’ Fees to be deferred. An individual who is initially elected as a Director during a Plan Year may elect within 30 days of such election to make a deferral election in accordance with this Section 3.1, provided that such election shall be effective only as to Directors’ Fees earned subsequent to such deferral election. Except as otherwise provided, a deferral election is irrevocable once the Plan Year to which it applies has commenced.</w:t>
      </w:r>
    </w:p>
    <w:p>
      <w:pPr>
        <w:spacing w:after="0" w:line="204" w:lineRule="exact"/>
        <w:rPr>
          <w:sz w:val="20"/>
          <w:szCs w:val="20"/>
          <w:color w:val="auto"/>
        </w:rPr>
      </w:pPr>
    </w:p>
    <w:p>
      <w:pPr>
        <w:ind w:left="980" w:hanging="323"/>
        <w:spacing w:after="0" w:line="232" w:lineRule="auto"/>
        <w:rPr>
          <w:sz w:val="20"/>
          <w:szCs w:val="20"/>
          <w:color w:val="auto"/>
        </w:rPr>
      </w:pPr>
      <w:r>
        <w:rPr>
          <w:rFonts w:ascii="Times New Roman" w:cs="Times New Roman" w:eastAsia="Times New Roman" w:hAnsi="Times New Roman"/>
          <w:sz w:val="22"/>
          <w:szCs w:val="22"/>
          <w:color w:val="auto"/>
        </w:rPr>
        <w:t>3.2 Payment Election. Concurrently with the initial deferral election under Section 3.1, a Director who elects to be a Participant shall deliver a properly executed election form to the Administrator designating (i) the Beneficiary of his or her Account in the event of the Participant’s death; (ii) the time at which the Participant’s Account shall be distributed or begin to be distributed; and (iii) the form in which the Participant’s Account shall be distributed. The time and form of payment may be changed by a subsequent election (in accordance with procedures established by the Administrator) only if (i) the subsequent election will not take effect until at least 12 months after the date on which the subsequent election is made; (ii) the payment with respect to which the subsequent election is made is deferred for at least five years from the date such payment would otherwise have been paid (or commence); and (iii) the subsequent election is made at least 12 months before the date the payment was otherwise scheduled to be paid (or commence).</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ACCOUNTING FOR DEFERRED DIRECTORS’ FEES</w:t>
      </w:r>
    </w:p>
    <w:p>
      <w:pPr>
        <w:spacing w:after="0" w:line="233" w:lineRule="exact"/>
        <w:rPr>
          <w:sz w:val="20"/>
          <w:szCs w:val="20"/>
          <w:color w:val="auto"/>
        </w:rPr>
      </w:pPr>
    </w:p>
    <w:p>
      <w:pPr>
        <w:jc w:val="both"/>
        <w:ind w:left="980" w:right="160" w:hanging="323"/>
        <w:spacing w:after="0" w:line="244" w:lineRule="auto"/>
        <w:rPr>
          <w:sz w:val="20"/>
          <w:szCs w:val="20"/>
          <w:color w:val="auto"/>
        </w:rPr>
      </w:pPr>
      <w:r>
        <w:rPr>
          <w:rFonts w:ascii="Times New Roman" w:cs="Times New Roman" w:eastAsia="Times New Roman" w:hAnsi="Times New Roman"/>
          <w:sz w:val="22"/>
          <w:szCs w:val="22"/>
          <w:color w:val="auto"/>
        </w:rPr>
        <w:t>4.1 Establishment of an Account. The Administrator shall establish an Account for each Participant. Directors’ Fees that are deferred shall be credited to such Account as of the date such Directors’ Fees would otherwise have been paid to the Participant.</w:t>
      </w:r>
    </w:p>
    <w:p>
      <w:pPr>
        <w:spacing w:after="0" w:line="200" w:lineRule="exact"/>
        <w:rPr>
          <w:sz w:val="20"/>
          <w:szCs w:val="20"/>
          <w:color w:val="auto"/>
        </w:rPr>
      </w:pPr>
    </w:p>
    <w:p>
      <w:pPr>
        <w:ind w:left="980" w:right="160" w:hanging="323"/>
        <w:spacing w:after="0" w:line="255" w:lineRule="auto"/>
        <w:rPr>
          <w:sz w:val="20"/>
          <w:szCs w:val="20"/>
          <w:color w:val="auto"/>
        </w:rPr>
      </w:pPr>
      <w:r>
        <w:rPr>
          <w:rFonts w:ascii="Times New Roman" w:cs="Times New Roman" w:eastAsia="Times New Roman" w:hAnsi="Times New Roman"/>
          <w:sz w:val="21"/>
          <w:szCs w:val="21"/>
          <w:color w:val="auto"/>
        </w:rPr>
        <w:t>4.2 Earnings on the Account. As of the first day of each month, a Participant’s Account shall be credited with an amount equal to the product of: (i) one-twelfth of the prime interest rate as reported in the Wall Street Journal as of the first day of the preceding month and (ii) the Participant’s Account balance as of the last day of the preceding month.</w:t>
      </w:r>
    </w:p>
    <w:p>
      <w:pPr>
        <w:spacing w:after="0" w:line="18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20"/>
          </w:cols>
          <w:pgMar w:left="320" w:top="1408" w:right="359" w:bottom="1440" w:gutter="0" w:footer="0" w:header="0"/>
        </w:sectPr>
      </w:pPr>
    </w:p>
    <w:bookmarkStart w:id="121" w:name="page122"/>
    <w:bookmarkEnd w:id="121"/>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DISTRIBUTION OF A PARTICIPANT’S ACCOUNT</w:t>
      </w:r>
    </w:p>
    <w:p>
      <w:pPr>
        <w:spacing w:after="0" w:line="233" w:lineRule="exact"/>
        <w:rPr>
          <w:sz w:val="20"/>
          <w:szCs w:val="20"/>
          <w:color w:val="auto"/>
        </w:rPr>
      </w:pPr>
    </w:p>
    <w:p>
      <w:pPr>
        <w:ind w:left="980" w:right="360" w:hanging="323"/>
        <w:spacing w:after="0" w:line="258" w:lineRule="auto"/>
        <w:rPr>
          <w:sz w:val="20"/>
          <w:szCs w:val="20"/>
          <w:color w:val="auto"/>
        </w:rPr>
      </w:pPr>
      <w:r>
        <w:rPr>
          <w:rFonts w:ascii="Times New Roman" w:cs="Times New Roman" w:eastAsia="Times New Roman" w:hAnsi="Times New Roman"/>
          <w:sz w:val="22"/>
          <w:szCs w:val="22"/>
          <w:color w:val="auto"/>
        </w:rPr>
        <w:t>5.1 Distributions. Except as otherwise provided herein, a Participant’s Account shall be distributed only in accordance with Section 5.2, Section 5.3 or Section 5.4.</w:t>
      </w:r>
    </w:p>
    <w:p>
      <w:pPr>
        <w:spacing w:after="0" w:line="185" w:lineRule="exact"/>
        <w:rPr>
          <w:sz w:val="20"/>
          <w:szCs w:val="20"/>
          <w:color w:val="auto"/>
        </w:rPr>
      </w:pPr>
    </w:p>
    <w:p>
      <w:pPr>
        <w:ind w:left="980" w:right="20" w:hanging="323"/>
        <w:spacing w:after="0" w:line="244" w:lineRule="auto"/>
        <w:rPr>
          <w:sz w:val="20"/>
          <w:szCs w:val="20"/>
          <w:color w:val="auto"/>
        </w:rPr>
      </w:pPr>
      <w:r>
        <w:rPr>
          <w:rFonts w:ascii="Times New Roman" w:cs="Times New Roman" w:eastAsia="Times New Roman" w:hAnsi="Times New Roman"/>
          <w:sz w:val="22"/>
          <w:szCs w:val="22"/>
          <w:color w:val="auto"/>
        </w:rPr>
        <w:t>5.2 Normal Payment Date. Subject to Section 5.3 and Section 5.4, a Participant’s Account shall be distributed (or begin to be distributed) on the date, or upon the permissible payment event, specified in the Participant’s deferral election form.</w:t>
      </w:r>
    </w:p>
    <w:p>
      <w:pPr>
        <w:spacing w:after="0" w:line="187" w:lineRule="exact"/>
        <w:rPr>
          <w:sz w:val="20"/>
          <w:szCs w:val="20"/>
          <w:color w:val="auto"/>
        </w:rPr>
      </w:pPr>
    </w:p>
    <w:p>
      <w:pPr>
        <w:ind w:left="980" w:right="400" w:hanging="323"/>
        <w:spacing w:after="0" w:line="258" w:lineRule="auto"/>
        <w:rPr>
          <w:sz w:val="20"/>
          <w:szCs w:val="20"/>
          <w:color w:val="auto"/>
        </w:rPr>
      </w:pPr>
      <w:r>
        <w:rPr>
          <w:rFonts w:ascii="Times New Roman" w:cs="Times New Roman" w:eastAsia="Times New Roman" w:hAnsi="Times New Roman"/>
          <w:sz w:val="22"/>
          <w:szCs w:val="22"/>
          <w:color w:val="auto"/>
        </w:rPr>
        <w:t>5.3 Change of Control. Notwithstanding Section 5.2, a Participant shall receive a distribution of his or her Account as soon as administratively feasible following a Change of Control.</w:t>
      </w:r>
    </w:p>
    <w:p>
      <w:pPr>
        <w:spacing w:after="0" w:line="185" w:lineRule="exact"/>
        <w:rPr>
          <w:sz w:val="20"/>
          <w:szCs w:val="20"/>
          <w:color w:val="auto"/>
        </w:rPr>
      </w:pPr>
    </w:p>
    <w:p>
      <w:pPr>
        <w:ind w:left="980" w:right="200" w:hanging="323"/>
        <w:spacing w:after="0" w:line="258" w:lineRule="auto"/>
        <w:rPr>
          <w:sz w:val="20"/>
          <w:szCs w:val="20"/>
          <w:color w:val="auto"/>
        </w:rPr>
      </w:pPr>
      <w:r>
        <w:rPr>
          <w:rFonts w:ascii="Times New Roman" w:cs="Times New Roman" w:eastAsia="Times New Roman" w:hAnsi="Times New Roman"/>
          <w:sz w:val="22"/>
          <w:szCs w:val="22"/>
          <w:color w:val="auto"/>
        </w:rPr>
        <w:t>5.4 Participant’s Death. If a Participant dies while serving on the Board, the Participant’s Account shall be distributed to his or her Beneficiary as soon as administratively feasible following the Participant’s death.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5.5 Form of Distribution.</w:t>
      </w:r>
    </w:p>
    <w:p>
      <w:pPr>
        <w:spacing w:after="0" w:line="233" w:lineRule="exact"/>
        <w:rPr>
          <w:sz w:val="20"/>
          <w:szCs w:val="20"/>
          <w:color w:val="auto"/>
        </w:rPr>
      </w:pPr>
    </w:p>
    <w:p>
      <w:pPr>
        <w:ind w:left="1620" w:right="40" w:hanging="323"/>
        <w:spacing w:after="0" w:line="244" w:lineRule="auto"/>
        <w:rPr>
          <w:sz w:val="20"/>
          <w:szCs w:val="20"/>
          <w:color w:val="auto"/>
        </w:rPr>
      </w:pPr>
      <w:r>
        <w:rPr>
          <w:rFonts w:ascii="Times New Roman" w:cs="Times New Roman" w:eastAsia="Times New Roman" w:hAnsi="Times New Roman"/>
          <w:sz w:val="22"/>
          <w:szCs w:val="22"/>
          <w:color w:val="auto"/>
        </w:rPr>
        <w:t>5.5.1 Pre-Change of Control Distribution of Account. In the event of a distribution pursuant to Section 5.2 or Section 5.4, a Participant’s Account shall be distributed in the following form, as designated by the Participant in accordance with Section 3.2:</w:t>
      </w:r>
    </w:p>
    <w:p>
      <w:pPr>
        <w:spacing w:after="0" w:line="2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5.5.1.1 a lump sum; or</w:t>
      </w:r>
    </w:p>
    <w:p>
      <w:pPr>
        <w:spacing w:after="0" w:line="233" w:lineRule="exact"/>
        <w:rPr>
          <w:sz w:val="20"/>
          <w:szCs w:val="20"/>
          <w:color w:val="auto"/>
        </w:rPr>
      </w:pPr>
    </w:p>
    <w:p>
      <w:pPr>
        <w:ind w:left="2920" w:right="220" w:hanging="323"/>
        <w:spacing w:after="0"/>
        <w:rPr>
          <w:sz w:val="20"/>
          <w:szCs w:val="20"/>
          <w:color w:val="auto"/>
        </w:rPr>
      </w:pPr>
      <w:r>
        <w:rPr>
          <w:rFonts w:ascii="Times New Roman" w:cs="Times New Roman" w:eastAsia="Times New Roman" w:hAnsi="Times New Roman"/>
          <w:sz w:val="22"/>
          <w:szCs w:val="22"/>
          <w:color w:val="auto"/>
        </w:rPr>
        <w:t>5.5.1.2 in monthly installments over a period, not to exceed 10 years.</w:t>
      </w:r>
      <w:r>
        <w:rPr>
          <w:sz w:val="20"/>
          <w:szCs w:val="20"/>
          <w:color w:val="auto"/>
        </w:rPr>
        <w:t xml:space="preserve"> </w:t>
      </w:r>
      <w:r>
        <w:rPr>
          <w:rFonts w:ascii="Times New Roman" w:cs="Times New Roman" w:eastAsia="Times New Roman" w:hAnsi="Times New Roman"/>
          <w:sz w:val="22"/>
          <w:szCs w:val="22"/>
          <w:color w:val="auto"/>
        </w:rPr>
        <w:t>During the installment period, a Participant’s Account shall continue to be credited with earnings in accordance with Section 4.2.</w:t>
      </w:r>
    </w:p>
    <w:p>
      <w:pPr>
        <w:spacing w:after="0" w:line="200" w:lineRule="exact"/>
        <w:rPr>
          <w:sz w:val="20"/>
          <w:szCs w:val="20"/>
          <w:color w:val="auto"/>
        </w:rPr>
      </w:pPr>
    </w:p>
    <w:p>
      <w:pPr>
        <w:spacing w:after="0" w:line="253" w:lineRule="exact"/>
        <w:rPr>
          <w:sz w:val="20"/>
          <w:szCs w:val="20"/>
          <w:color w:val="auto"/>
        </w:rPr>
      </w:pPr>
    </w:p>
    <w:p>
      <w:pPr>
        <w:ind w:left="1620" w:hanging="323"/>
        <w:spacing w:after="0" w:line="258" w:lineRule="auto"/>
        <w:rPr>
          <w:sz w:val="20"/>
          <w:szCs w:val="20"/>
          <w:color w:val="auto"/>
        </w:rPr>
      </w:pPr>
      <w:r>
        <w:rPr>
          <w:rFonts w:ascii="Times New Roman" w:cs="Times New Roman" w:eastAsia="Times New Roman" w:hAnsi="Times New Roman"/>
          <w:sz w:val="22"/>
          <w:szCs w:val="22"/>
          <w:color w:val="auto"/>
        </w:rPr>
        <w:t>5.5.2 Distribution on Account of a Change of Control. Notwithstanding Section 5.5.1, in the event of a distribution pursuant to Section 5.3, a Participant’s Account will be distributed in a cash lump sum.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UNFORESEEABLE EMERGENCY</w:t>
      </w:r>
    </w:p>
    <w:p>
      <w:pPr>
        <w:spacing w:after="0" w:line="233" w:lineRule="exact"/>
        <w:rPr>
          <w:sz w:val="20"/>
          <w:szCs w:val="20"/>
          <w:color w:val="auto"/>
        </w:rPr>
      </w:pPr>
    </w:p>
    <w:p>
      <w:pPr>
        <w:ind w:left="980" w:right="260" w:hanging="323"/>
        <w:spacing w:after="0" w:line="255" w:lineRule="auto"/>
        <w:rPr>
          <w:sz w:val="20"/>
          <w:szCs w:val="20"/>
          <w:color w:val="auto"/>
        </w:rPr>
      </w:pPr>
      <w:r>
        <w:rPr>
          <w:rFonts w:ascii="Times New Roman" w:cs="Times New Roman" w:eastAsia="Times New Roman" w:hAnsi="Times New Roman"/>
          <w:sz w:val="21"/>
          <w:szCs w:val="21"/>
          <w:color w:val="auto"/>
        </w:rPr>
        <w:t>6.1 In General. Notwithstanding any other provision of the Plan, in the event of an Unforeseeable Emergency, a Participant may request, in accordance with procedures established by the Administrator, a cancellation of deferrals under this Plan or a distribution in accordance with this Article VI. The determination of whether a Participant has experienced an Unforeseeable Emergency will be in the Administrator’s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20"/>
          </w:cols>
          <w:pgMar w:left="320" w:top="1440" w:right="359" w:bottom="1440" w:gutter="0" w:footer="0" w:header="0"/>
        </w:sectPr>
      </w:pPr>
    </w:p>
    <w:bookmarkStart w:id="122" w:name="page123"/>
    <w:bookmarkEnd w:id="122"/>
    <w:p>
      <w:pPr>
        <w:ind w:left="980" w:right="320" w:hanging="323"/>
        <w:spacing w:after="0" w:line="258" w:lineRule="auto"/>
        <w:rPr>
          <w:sz w:val="20"/>
          <w:szCs w:val="20"/>
          <w:color w:val="auto"/>
        </w:rPr>
      </w:pPr>
      <w:r>
        <w:rPr>
          <w:rFonts w:ascii="Times New Roman" w:cs="Times New Roman" w:eastAsia="Times New Roman" w:hAnsi="Times New Roman"/>
          <w:sz w:val="22"/>
          <w:szCs w:val="22"/>
          <w:color w:val="auto"/>
        </w:rPr>
        <w:t>6.2 Cancellation of Deferrals. A Participant’s deferral election may be canceled by the Administrator in the event of an Unforeseeable Emergency. Any later deferral election shall be made in accordance with Section 3.1.</w:t>
      </w:r>
    </w:p>
    <w:p>
      <w:pPr>
        <w:spacing w:after="0" w:line="1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6.3 Permitted Distribution. The Administrator may permit a distribution due to an Unforeseeable Emergency in an amount</w:t>
      </w:r>
    </w:p>
    <w:p>
      <w:pPr>
        <w:spacing w:after="0" w:line="26" w:lineRule="exact"/>
        <w:rPr>
          <w:sz w:val="20"/>
          <w:szCs w:val="20"/>
          <w:color w:val="auto"/>
        </w:rPr>
      </w:pPr>
    </w:p>
    <w:p>
      <w:pPr>
        <w:ind w:left="980" w:right="340"/>
        <w:spacing w:after="0" w:line="237" w:lineRule="auto"/>
        <w:rPr>
          <w:sz w:val="20"/>
          <w:szCs w:val="20"/>
          <w:color w:val="auto"/>
        </w:rPr>
      </w:pPr>
      <w:r>
        <w:rPr>
          <w:rFonts w:ascii="Times New Roman" w:cs="Times New Roman" w:eastAsia="Times New Roman" w:hAnsi="Times New Roman"/>
          <w:sz w:val="22"/>
          <w:szCs w:val="22"/>
          <w:color w:val="auto"/>
        </w:rPr>
        <w:t>limited to the amount reasonably necessary to satisfy such emergency and to pay any necessary taxes and penalties related to such distribution.</w:t>
      </w:r>
    </w:p>
    <w:p>
      <w:pPr>
        <w:spacing w:after="0" w:line="2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AMENDMENT AND TERMINATION</w:t>
      </w:r>
    </w:p>
    <w:p>
      <w:pPr>
        <w:spacing w:after="0" w:line="233" w:lineRule="exact"/>
        <w:rPr>
          <w:sz w:val="20"/>
          <w:szCs w:val="20"/>
          <w:color w:val="auto"/>
        </w:rPr>
      </w:pPr>
    </w:p>
    <w:p>
      <w:pPr>
        <w:ind w:left="980" w:right="100" w:hanging="323"/>
        <w:spacing w:after="0" w:line="236" w:lineRule="auto"/>
        <w:rPr>
          <w:sz w:val="20"/>
          <w:szCs w:val="20"/>
          <w:color w:val="auto"/>
        </w:rPr>
      </w:pPr>
      <w:r>
        <w:rPr>
          <w:rFonts w:ascii="Times New Roman" w:cs="Times New Roman" w:eastAsia="Times New Roman" w:hAnsi="Times New Roman"/>
          <w:sz w:val="22"/>
          <w:szCs w:val="22"/>
          <w:color w:val="auto"/>
        </w:rPr>
        <w:t>7.1 Amendment. The Board reserves the right to amend the Plan at any time, in any manner whatsoever, after delivery of written notification to all Directors of its intention and the effective date thereof; provided, however, that no such amendment shall operate to reduce the benefit that any Participant who is participating at the time such amendment is adopted would otherwise receive hereunder.</w:t>
      </w:r>
    </w:p>
    <w:p>
      <w:pPr>
        <w:spacing w:after="0" w:line="1" w:lineRule="exact"/>
        <w:rPr>
          <w:sz w:val="20"/>
          <w:szCs w:val="20"/>
          <w:color w:val="auto"/>
        </w:rPr>
      </w:pPr>
    </w:p>
    <w:p>
      <w:pPr>
        <w:ind w:left="980" w:right="120" w:hanging="323"/>
        <w:spacing w:after="0" w:line="230" w:lineRule="auto"/>
        <w:rPr>
          <w:sz w:val="20"/>
          <w:szCs w:val="20"/>
          <w:color w:val="auto"/>
        </w:rPr>
      </w:pPr>
      <w:r>
        <w:rPr>
          <w:rFonts w:ascii="Times New Roman" w:cs="Times New Roman" w:eastAsia="Times New Roman" w:hAnsi="Times New Roman"/>
          <w:sz w:val="22"/>
          <w:szCs w:val="22"/>
          <w:color w:val="auto"/>
        </w:rPr>
        <w:t>7.2 Termination of the Plan. Continuance of the Plan is completely voluntary, and is not assumed as a contractual obligation of the Company. The Company, having adopted the Plan, shall have the right, at any time, prospectively to discontinue the Plan by action of the Board; provided, however, that such termination shall not operate to reduce the benefit that any Participant who is participating at the time such amendment is adopted would otherwise receive hereunder. In the event of a Plan termination, Participants’ Accounts shall be paid in accordance with the Plan as in effect immediately prior to such termination, provided that the Company may accelerate payments to the extent permitted under Section 409A of the Code.</w:t>
      </w:r>
    </w:p>
    <w:p>
      <w:pPr>
        <w:spacing w:after="0" w:line="2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MISCELLANEOUS</w:t>
      </w:r>
    </w:p>
    <w:p>
      <w:pPr>
        <w:spacing w:after="0" w:line="233" w:lineRule="exact"/>
        <w:rPr>
          <w:sz w:val="20"/>
          <w:szCs w:val="20"/>
          <w:color w:val="auto"/>
        </w:rPr>
      </w:pPr>
    </w:p>
    <w:p>
      <w:pPr>
        <w:ind w:left="980" w:right="20" w:hanging="323"/>
        <w:spacing w:after="0" w:line="232" w:lineRule="auto"/>
        <w:rPr>
          <w:sz w:val="20"/>
          <w:szCs w:val="20"/>
          <w:color w:val="auto"/>
        </w:rPr>
      </w:pPr>
      <w:r>
        <w:rPr>
          <w:rFonts w:ascii="Times New Roman" w:cs="Times New Roman" w:eastAsia="Times New Roman" w:hAnsi="Times New Roman"/>
          <w:sz w:val="22"/>
          <w:szCs w:val="22"/>
          <w:color w:val="auto"/>
        </w:rPr>
        <w:t>8.1 409A Compliance. The Plan and all benefits payable hereunder are intended to comply with Code Section 409A and the regulations and guidance promulgated thereunder (“Section 409A”). Accordingly, to the maximum extent permitted, the Plan shall be administered, interpreted and construed in a manner consistent with Section 409A. Notwithstanding anything contained in the Plan to the contrary, a Participant shall not be considered to have terminated service with the Company until such Participant would be considered to have incurred a “separation from service” from the Company within the meaning of Section 409A. Each amount or installment payable under the Plan shall be considered a separate and distinct payment for purposes of Section 409A. Notwithstanding anything contained herein to the contrary, to the extent required to avoid tax penalties under Section 409A, amounts that would otherwise be payable during the six (6) month period immediately following the Participant’s separation from service shall instead be paid on the first business day after the date that is six (6) months following the Participant’s separation from service (or, if earlier, the Participant’s date of death). The Company makes no representations that any or all payments under the Plan will be exempt or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40"/>
          </w:cols>
          <w:pgMar w:left="320" w:top="1408" w:right="339" w:bottom="1440" w:gutter="0" w:footer="0" w:header="0"/>
        </w:sectPr>
      </w:pPr>
    </w:p>
    <w:bookmarkStart w:id="123" w:name="page124"/>
    <w:bookmarkEnd w:id="123"/>
    <w:p>
      <w:pPr>
        <w:ind w:left="980" w:right="140"/>
        <w:spacing w:after="0" w:line="258" w:lineRule="auto"/>
        <w:rPr>
          <w:sz w:val="20"/>
          <w:szCs w:val="20"/>
          <w:color w:val="auto"/>
        </w:rPr>
      </w:pPr>
      <w:r>
        <w:rPr>
          <w:rFonts w:ascii="Times New Roman" w:cs="Times New Roman" w:eastAsia="Times New Roman" w:hAnsi="Times New Roman"/>
          <w:sz w:val="22"/>
          <w:szCs w:val="22"/>
          <w:color w:val="auto"/>
        </w:rPr>
        <w:t>Section 409A and shall have no liability to any Participant or any other person if such payments are not so exempt or compliant.</w:t>
      </w:r>
    </w:p>
    <w:p>
      <w:pPr>
        <w:spacing w:after="0" w:line="185" w:lineRule="exact"/>
        <w:rPr>
          <w:sz w:val="20"/>
          <w:szCs w:val="20"/>
          <w:color w:val="auto"/>
        </w:rPr>
      </w:pPr>
    </w:p>
    <w:p>
      <w:pPr>
        <w:ind w:left="980" w:hanging="323"/>
        <w:spacing w:after="0" w:line="235" w:lineRule="auto"/>
        <w:rPr>
          <w:sz w:val="20"/>
          <w:szCs w:val="20"/>
          <w:color w:val="auto"/>
        </w:rPr>
      </w:pPr>
      <w:r>
        <w:rPr>
          <w:rFonts w:ascii="Times New Roman" w:cs="Times New Roman" w:eastAsia="Times New Roman" w:hAnsi="Times New Roman"/>
          <w:sz w:val="22"/>
          <w:szCs w:val="22"/>
          <w:color w:val="auto"/>
        </w:rPr>
        <w:t>8.2 Participant’s Rights Unsecured. The right of any Participant or Beneficiary to receive future payments under the provisions of the Plan shall be an unsecured claim against the general assets of the Company. Any fund, account, trust, contract or arrangement the Company chooses to establish for the future payment of benefits under the Plan shall remain part of the Company’s general assets and no person claiming payments under the Plan shall have any right, title or interest in or to any such fund, account, trust, contract or arrangement.</w:t>
      </w:r>
    </w:p>
    <w:p>
      <w:pPr>
        <w:spacing w:after="0" w:line="206" w:lineRule="exact"/>
        <w:rPr>
          <w:sz w:val="20"/>
          <w:szCs w:val="20"/>
          <w:color w:val="auto"/>
        </w:rPr>
      </w:pPr>
    </w:p>
    <w:p>
      <w:pPr>
        <w:jc w:val="center"/>
        <w:ind w:left="820" w:right="160"/>
        <w:spacing w:after="0" w:line="258" w:lineRule="auto"/>
        <w:rPr>
          <w:sz w:val="20"/>
          <w:szCs w:val="20"/>
          <w:color w:val="auto"/>
        </w:rPr>
      </w:pPr>
      <w:r>
        <w:rPr>
          <w:rFonts w:ascii="Times New Roman" w:cs="Times New Roman" w:eastAsia="Times New Roman" w:hAnsi="Times New Roman"/>
          <w:sz w:val="22"/>
          <w:szCs w:val="22"/>
          <w:color w:val="auto"/>
        </w:rPr>
        <w:t>8.3 Administration. The Plan shall be administered by the Administrator, who shall have the authority to adopt rules and regulations for carrying out the Plan, and who shall interpret, construe and implement the provisions of the Plan.</w:t>
      </w:r>
    </w:p>
    <w:p>
      <w:pPr>
        <w:spacing w:after="0" w:line="185" w:lineRule="exact"/>
        <w:rPr>
          <w:sz w:val="20"/>
          <w:szCs w:val="20"/>
          <w:color w:val="auto"/>
        </w:rPr>
      </w:pPr>
    </w:p>
    <w:p>
      <w:pPr>
        <w:ind w:left="980" w:hanging="323"/>
        <w:spacing w:after="0" w:line="258" w:lineRule="auto"/>
        <w:rPr>
          <w:sz w:val="20"/>
          <w:szCs w:val="20"/>
          <w:color w:val="auto"/>
        </w:rPr>
      </w:pPr>
      <w:r>
        <w:rPr>
          <w:rFonts w:ascii="Times New Roman" w:cs="Times New Roman" w:eastAsia="Times New Roman" w:hAnsi="Times New Roman"/>
          <w:sz w:val="22"/>
          <w:szCs w:val="22"/>
          <w:color w:val="auto"/>
        </w:rPr>
        <w:t>8.4 Non-alienation. The right of any Participant to the payment of any benefit hereunder shall not be assigned, transferred, pledged or encumbered.</w:t>
      </w:r>
    </w:p>
    <w:p>
      <w:pPr>
        <w:spacing w:after="0" w:line="185" w:lineRule="exact"/>
        <w:rPr>
          <w:sz w:val="20"/>
          <w:szCs w:val="20"/>
          <w:color w:val="auto"/>
        </w:rPr>
      </w:pPr>
    </w:p>
    <w:p>
      <w:pPr>
        <w:ind w:left="980" w:right="40" w:hanging="323"/>
        <w:spacing w:after="0" w:line="234" w:lineRule="auto"/>
        <w:rPr>
          <w:sz w:val="20"/>
          <w:szCs w:val="20"/>
          <w:color w:val="auto"/>
        </w:rPr>
      </w:pPr>
      <w:r>
        <w:rPr>
          <w:rFonts w:ascii="Times New Roman" w:cs="Times New Roman" w:eastAsia="Times New Roman" w:hAnsi="Times New Roman"/>
          <w:sz w:val="22"/>
          <w:szCs w:val="22"/>
          <w:color w:val="auto"/>
        </w:rPr>
        <w:t>8.5 Incapacity. If the Administrator shall determine that a Participant or Beneficiary to whom any payment is due under the Plan is unable to care for his or her affairs because of illness or incapacity, any payment due (unless a prior claim therefor shall have been made by a duly appointed guardian, committee or other legal representative) may be paid to the spouse of the Participant or Beneficiary, to his or her child, parent, brother or sister, or to any other person deemed by the Administrator to have incurred expenses for such person otherwise entitled to payment, in such manner and proportions as the Administrator may determine. Any such payment shall be a complete discharge of the liabilities of the Company under the Plan.</w:t>
      </w:r>
    </w:p>
    <w:p>
      <w:pPr>
        <w:spacing w:after="0" w:line="204" w:lineRule="exact"/>
        <w:rPr>
          <w:sz w:val="20"/>
          <w:szCs w:val="20"/>
          <w:color w:val="auto"/>
        </w:rPr>
      </w:pPr>
    </w:p>
    <w:p>
      <w:pPr>
        <w:ind w:left="980" w:right="240" w:hanging="323"/>
        <w:spacing w:after="0" w:line="258" w:lineRule="auto"/>
        <w:rPr>
          <w:sz w:val="20"/>
          <w:szCs w:val="20"/>
          <w:color w:val="auto"/>
        </w:rPr>
      </w:pPr>
      <w:r>
        <w:rPr>
          <w:rFonts w:ascii="Times New Roman" w:cs="Times New Roman" w:eastAsia="Times New Roman" w:hAnsi="Times New Roman"/>
          <w:sz w:val="22"/>
          <w:szCs w:val="22"/>
          <w:color w:val="auto"/>
        </w:rPr>
        <w:t>8.6 Succession. The Plan shall be binding upon and inure to the benefit of the Company, its successors and assigns, and the Participants and their heirs, executors, administrators, and legal representatives.</w:t>
      </w:r>
    </w:p>
    <w:p>
      <w:pPr>
        <w:spacing w:after="0" w:line="185" w:lineRule="exact"/>
        <w:rPr>
          <w:sz w:val="20"/>
          <w:szCs w:val="20"/>
          <w:color w:val="auto"/>
        </w:rPr>
      </w:pPr>
    </w:p>
    <w:p>
      <w:pPr>
        <w:ind w:left="980" w:right="220" w:hanging="323"/>
        <w:spacing w:after="0" w:line="258" w:lineRule="auto"/>
        <w:rPr>
          <w:sz w:val="20"/>
          <w:szCs w:val="20"/>
          <w:color w:val="auto"/>
        </w:rPr>
      </w:pPr>
      <w:r>
        <w:rPr>
          <w:rFonts w:ascii="Times New Roman" w:cs="Times New Roman" w:eastAsia="Times New Roman" w:hAnsi="Times New Roman"/>
          <w:sz w:val="22"/>
          <w:szCs w:val="22"/>
          <w:color w:val="auto"/>
        </w:rPr>
        <w:t>8.7 Governing Law. The Plan shall be construed in accordance with and governed by the laws of the Commonwealth of Pennsylvania, except to the extent superseded by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TAX.11796865.6</w:t>
      </w:r>
    </w:p>
    <w:p>
      <w:pPr>
        <w:sectPr>
          <w:pgSz w:w="11900" w:h="16838" w:orient="portrait"/>
          <w:cols w:equalWidth="0" w:num="1">
            <w:col w:w="11220"/>
          </w:cols>
          <w:pgMar w:left="320" w:top="1408" w:right="359" w:bottom="1440" w:gutter="0" w:footer="0" w:header="0"/>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Crown Holdings, Inc.</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Exhibit 21 - Subsidiaries of Registrant</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III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and Seal Receivables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Receivables III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Investment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Crownway Insurance Company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Vermont</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Australia Pty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Australia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(Barbados)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Barbados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Belgium BVBA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Verpakking België NV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Shippers Europe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bl>
    <w:p>
      <w:pPr>
        <w:sectPr>
          <w:pgSz w:w="11900" w:h="16838" w:orient="portrait"/>
          <w:cols w:equalWidth="0" w:num="1">
            <w:col w:w="11060"/>
          </w:cols>
          <w:pgMar w:left="420" w:top="759" w:right="41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Belgium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Belgium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Hanoi Investment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Bermuda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Brasil Holdings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Embalagens Métalicas da Amazonia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Brasil Ltda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Brazil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Bulgaria EOOD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Bulgaria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(Cambodia)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Sihanoukville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Khmer Beverage Cans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Cambodia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Metal Packaging Canada LP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Canada ULC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Canada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CMB Machinery and Technology (Shanghai)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Hangzhou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Heshan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Huizhou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Putian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Ziyang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Heshan Trading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Continental Can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Foshan Crown Easy-Opening End Co.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(Qingdao)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rPr>
              <w:t>China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Colombiana,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Colombia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Colombia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Denmark ApS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Denmark</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Finland Oy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Finland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Butimove</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Developpement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European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Europe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Services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France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Société Civile Immobilière des Baquets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Societe Civile Immobiliere Rousseau-Ivry</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France Holdings SAS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France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Deutschland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Mezger Heftsysteme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Germany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System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SMP Schwede Maschinenbau Weischlitz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Germany Service Management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Systems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Germany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Hellas Can Packaging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Greece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China Holdings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(H.K.)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Hong Kong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Hong Kong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Services Hungary Kft</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Hungary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India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India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Beverage Cans Indonesia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PT CROWN Indonesia Trading</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Ireland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Ireland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Italia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Italy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Strapex Srl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Italy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Jamaica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Jamaica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Japan K.K.</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Japan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Middle East Can Co.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7"/>
              </w:rPr>
              <w:t>Jordan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Kazakhstan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Kazakhstan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Kenya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Kenya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Lux III S.à.r.l.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Lux S.A.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Luxembourg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Industrial Packaging S.a.r.l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Luxembourg</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Malaysia Sdn. Bhd.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Malaysia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Envases Mexico,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Famosa,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Fabricas Monterrey,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Mexico, S.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 Del Istmo,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Silices De Veracruz, S.A. DE C.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De Mexico S. de R.L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Vichisa, S.A. de C.V.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Mexico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Myanmar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Myanmar</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SPG Packaging Netherlands B.V.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Netherlands</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New Zealand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New Zealand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Norway AS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Norway</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Poland Sp. z.o.o.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Poland sp. Z.o.o.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Portugal LDA</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Portugal</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Arabia Can Company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Saudi Arabia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Asia Pacific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Speciality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Investment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Singapore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Investments Holdings Pte.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Superior Multi-Packaging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Singapore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Slovakia s.r.o.</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Slovakia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Korea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South Korea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Espana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Commercial de Envases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Holdings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Packaging Spain SL</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rPr>
              <w:t>Spain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Josef Kihlberg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Sweden AB</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7"/>
              </w:rPr>
              <w:t>Sweden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Division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European Holdings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Switzerland GmbH</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Switzerland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Caretex Asia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AP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Bevcan and Closures (Thailand)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(Hat Yai)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Foodcan (Nakhon Pathom)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Food Packaging (Thailand) Public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TCP Beverage Cans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Pet Containers (Thailand)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(Thailand)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8"/>
              </w:rPr>
              <w:t>Thailand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Trinidad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8"/>
              </w:rPr>
              <w:t>Trinidad</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Maghreb Can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6"/>
              </w:rPr>
              <w:t>Tunisia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line="230" w:lineRule="exact"/>
              <w:rPr>
                <w:sz w:val="20"/>
                <w:szCs w:val="20"/>
                <w:color w:val="auto"/>
              </w:rPr>
            </w:pPr>
            <w:r>
              <w:rPr>
                <w:rFonts w:ascii="Times New Roman" w:cs="Times New Roman" w:eastAsia="Times New Roman" w:hAnsi="Times New Roman"/>
                <w:sz w:val="20"/>
                <w:szCs w:val="20"/>
                <w:color w:val="auto"/>
              </w:rPr>
              <w:t>CROWN Bevcan 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rkiye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Form Koruyucu Ambalaj Sanayi Ve Ticaret Limited Sirketi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6"/>
              </w:rPr>
              <w:t>Turkey</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Emirates Company Limited</w:t>
            </w:r>
          </w:p>
        </w:tc>
        <w:tc>
          <w:tcPr>
            <w:tcW w:w="316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United Arab Emirates</w:t>
            </w:r>
          </w:p>
        </w:tc>
        <w:tc>
          <w:tcPr>
            <w:tcW w:w="0" w:type="dxa"/>
            <w:vAlign w:val="bottom"/>
          </w:tcPr>
          <w:p>
            <w:pPr>
              <w:spacing w:after="0"/>
              <w:rPr>
                <w:sz w:val="1"/>
                <w:szCs w:val="1"/>
                <w:color w:val="auto"/>
              </w:rPr>
            </w:pPr>
          </w:p>
        </w:tc>
      </w:tr>
    </w:tbl>
    <w:p>
      <w:pPr>
        <w:sectPr>
          <w:pgSz w:w="11900" w:h="16838" w:orient="portrait"/>
          <w:cols w:equalWidth="0" w:num="1">
            <w:col w:w="11060"/>
          </w:cols>
          <w:pgMar w:left="420" w:top="794" w:right="41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tcBorders>
              <w:top w:val="single" w:sz="8" w:color="auto"/>
              <w:left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660" w:type="dxa"/>
            <w:vAlign w:val="bottom"/>
            <w:tcBorders>
              <w:top w:val="single" w:sz="8" w:color="auto"/>
              <w:right w:val="single" w:sz="8" w:color="auto"/>
            </w:tcBorders>
          </w:tcPr>
          <w:p>
            <w:pPr>
              <w:spacing w:after="0"/>
              <w:rPr>
                <w:sz w:val="17"/>
                <w:szCs w:val="17"/>
                <w:color w:val="auto"/>
              </w:rPr>
            </w:pPr>
          </w:p>
        </w:tc>
        <w:tc>
          <w:tcPr>
            <w:tcW w:w="3160" w:type="dxa"/>
            <w:vAlign w:val="bottom"/>
            <w:tcBorders>
              <w:top w:val="single" w:sz="8" w:color="auto"/>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202"/>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Engineering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Group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CarnaudMetalbox Overseas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Commercial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Distribution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Manufacturing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UK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UK Holdings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Mec-A-Tec Services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UK Ltd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United Kingdom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Danang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(Dong Nai)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Hanoi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Saigon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Cans Vung Tau Company Limited</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5"/>
              </w:rPr>
              <w:t>Vietnam</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hanging="308"/>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includes only consolidated subsidiaries which are directly owned or indirectly owned by the Registrant.</w:t>
      </w:r>
    </w:p>
    <w:p>
      <w:pPr>
        <w:spacing w:after="0" w:line="27" w:lineRule="exact"/>
        <w:rPr>
          <w:rFonts w:ascii="Times New Roman" w:cs="Times New Roman" w:eastAsia="Times New Roman" w:hAnsi="Times New Roman"/>
          <w:sz w:val="18"/>
          <w:szCs w:val="18"/>
          <w:color w:val="auto"/>
        </w:rPr>
      </w:pPr>
    </w:p>
    <w:p>
      <w:pPr>
        <w:ind w:left="560" w:hanging="328"/>
        <w:spacing w:after="0" w:line="255" w:lineRule="auto"/>
        <w:tabs>
          <w:tab w:leader="none" w:pos="5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1100"/>
          </w:cols>
          <w:pgMar w:left="420" w:top="794" w:right="37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December 31, 2022,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December 31, 2022,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35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57" w:lineRule="auto"/>
        <w:rPr>
          <w:sz w:val="20"/>
          <w:szCs w:val="20"/>
          <w:color w:val="auto"/>
        </w:rPr>
      </w:pPr>
      <w:r>
        <w:rPr>
          <w:rFonts w:ascii="Georgia" w:cs="Georgia" w:eastAsia="Georgia" w:hAnsi="Georgia"/>
          <w:sz w:val="17"/>
          <w:szCs w:val="17"/>
          <w:color w:val="auto"/>
        </w:rPr>
        <w:t>We hereby consent to the incorporation by reference in the Registration Statements on Form S-8 (Nos. 333-188568, 333-166764, 333-140992, 333-140991, 333-230008, and 333-268351) of Crown Holdings, Inc. of our report dated February 27, 2023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8" w:lineRule="auto"/>
        <w:rPr>
          <w:sz w:val="20"/>
          <w:szCs w:val="20"/>
          <w:color w:val="auto"/>
        </w:rPr>
      </w:pPr>
      <w:r>
        <w:rPr>
          <w:rFonts w:ascii="Georgia" w:cs="Georgia" w:eastAsia="Georgia" w:hAnsi="Georgia"/>
          <w:sz w:val="18"/>
          <w:szCs w:val="18"/>
          <w:color w:val="auto"/>
        </w:rPr>
        <w:t>Philadelphia, Pennsylvania</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27, 2023</w:t>
      </w:r>
    </w:p>
    <w:p>
      <w:pPr>
        <w:sectPr>
          <w:pgSz w:w="11900" w:h="16838" w:orient="portrait"/>
          <w:cols w:equalWidth="0" w:num="1">
            <w:col w:w="11240"/>
          </w:cols>
          <w:pgMar w:left="320" w:top="1134" w:right="339" w:bottom="1440" w:gutter="0" w:footer="0" w:header="0"/>
        </w:sectPr>
      </w:pPr>
    </w:p>
    <w:bookmarkStart w:id="131" w:name="page132"/>
    <w:bookmarkEnd w:id="13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 Donahue,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132" w:name="page133"/>
    <w:bookmarkEnd w:id="13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Clothier, certify that:</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Crown Holdings, Inc. (“the registrant”);</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2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28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39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Annual Report of Crown Holdings, Inc. (the “Company”) on Form 10-K for the period ending December 31, 2022 (the “Report”), each of the undersigned officers certify, pursuant to 18 U.S.C. § 1350, as adopted pursuant to § 906 of the Sarbanes-Oxley Act of 2002, that:</w:t>
      </w:r>
    </w:p>
    <w:p>
      <w:pPr>
        <w:spacing w:after="0" w:line="27"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position and results of operations of the Company.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upperLetter"/>
      <w:start w:val="16"/>
    </w:lvl>
  </w:abstractNum>
  <w:abstractNum w:abstractNumId="10">
    <w:nsid w:val="580BD78F"/>
    <w:multiLevelType w:val="hybridMultilevel"/>
    <w:lvl w:ilvl="0">
      <w:lvlJc w:val="left"/>
      <w:lvlText w:val="%1:"/>
      <w:numFmt w:val="upperLetter"/>
      <w:start w:val="19"/>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abstractNum>
  <w:abstractNum w:abstractNumId="21">
    <w:nsid w:val="4B588F54"/>
    <w:multiLevelType w:val="hybridMultilevel"/>
    <w:lvl w:ilvl="0">
      <w:lvlJc w:val="left"/>
      <w:lvlText w:val="%1."/>
      <w:numFmt w:val="upperLetter"/>
      <w:start w:val="1"/>
    </w:lvl>
  </w:abstractNum>
  <w:abstractNum w:abstractNumId="22">
    <w:nsid w:val="542289EC"/>
    <w:multiLevelType w:val="hybridMultilevel"/>
    <w:lvl w:ilvl="0">
      <w:lvlJc w:val="left"/>
      <w:lvlText w:val="%1."/>
      <w:numFmt w:val="upperLetter"/>
      <w:start w:val="16"/>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upperLetter"/>
      <w:start w:val="20"/>
    </w:lvl>
  </w:abstractNum>
  <w:abstractNum w:abstractNumId="27">
    <w:nsid w:val="684A481A"/>
    <w:multiLevelType w:val="hybridMultilevel"/>
    <w:lvl w:ilvl="0">
      <w:lvlJc w:val="left"/>
      <w:lvlText w:val="%1."/>
      <w:numFmt w:val="upperLetter"/>
      <w:start w:val="25"/>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lowerLetter"/>
      <w:start w:val="1"/>
    </w:lvl>
    <w:lvl w:ilvl="1">
      <w:lvlJc w:val="left"/>
      <w:lvlText w:val="(%2)"/>
      <w:numFmt w:val="decimal"/>
      <w:start w:val="1"/>
    </w:lvl>
  </w:abstractNum>
  <w:abstractNum w:abstractNumId="30">
    <w:nsid w:val="3DC240FB"/>
    <w:multiLevelType w:val="hybridMultilevel"/>
    <w:lvl w:ilvl="0">
      <w:lvlJc w:val="left"/>
      <w:lvlText w:val="(%1)"/>
      <w:numFmt w:val="decimal"/>
      <w:start w:val="3"/>
    </w:lvl>
  </w:abstractNum>
  <w:abstractNum w:abstractNumId="31">
    <w:nsid w:val="1BA026FA"/>
    <w:multiLevelType w:val="hybridMultilevel"/>
    <w:lvl w:ilvl="0">
      <w:lvlJc w:val="left"/>
      <w:lvlText w:val="%1."/>
      <w:numFmt w:val="decimal"/>
      <w:start w:val="4"/>
    </w:lvl>
  </w:abstractNum>
  <w:abstractNum w:abstractNumId="32">
    <w:nsid w:val="79A1DEAA"/>
    <w:multiLevelType w:val="hybridMultilevel"/>
    <w:lvl w:ilvl="0">
      <w:lvlJc w:val="left"/>
      <w:lvlText w:val="%1."/>
      <w:numFmt w:val="decimal"/>
      <w:start w:val="4"/>
    </w:lvl>
  </w:abstractNum>
  <w:abstractNum w:abstractNumId="33">
    <w:nsid w:val="75C6C33A"/>
    <w:multiLevelType w:val="hybridMultilevel"/>
    <w:lvl w:ilvl="0">
      <w:lvlJc w:val="left"/>
      <w:lvlText w:val="%1."/>
      <w:numFmt w:val="decimal"/>
      <w:start w:val="4"/>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5"/>
    </w:lvl>
  </w:abstractNum>
  <w:abstractNum w:abstractNumId="37">
    <w:nsid w:val="374A3FE6"/>
    <w:multiLevelType w:val="hybridMultilevel"/>
    <w:lvl w:ilvl="0">
      <w:lvlJc w:val="left"/>
      <w:lvlText w:val="%1"/>
      <w:numFmt w:val="decimal"/>
      <w:start w:val="21"/>
    </w:lvl>
  </w:abstractNum>
  <w:abstractNum w:abstractNumId="38">
    <w:nsid w:val="4F4EF005"/>
    <w:multiLevelType w:val="hybridMultilevel"/>
    <w:lvl w:ilvl="0">
      <w:lvlJc w:val="left"/>
      <w:lvlText w:val="%1"/>
      <w:numFmt w:val="decimal"/>
      <w:start w:val="32"/>
    </w:lvl>
    <w:lvl w:ilvl="1">
      <w:lvlJc w:val="left"/>
      <w:lvlText w:val="%2"/>
      <w:numFmt w:val="upperLetter"/>
      <w:start w:val="1"/>
    </w:lvl>
  </w:abstractNum>
  <w:abstractNum w:abstractNumId="39">
    <w:nsid w:val="23F9C13C"/>
    <w:multiLevelType w:val="hybridMultilevel"/>
    <w:lvl w:ilvl="0">
      <w:lvlJc w:val="left"/>
      <w:lvlText w:val="%1"/>
      <w:numFmt w:val="decimal"/>
      <w:start w:val="101"/>
    </w:lvl>
  </w:abstractNum>
  <w:abstractNum w:abstractNumId="40">
    <w:nsid w:val="649BB77C"/>
    <w:multiLevelType w:val="hybridMultilevel"/>
    <w:lvl w:ilvl="0">
      <w:lvlJc w:val="left"/>
      <w:lvlText w:val="%1"/>
      <w:numFmt w:val="decimal"/>
      <w:start w:val="104"/>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180115BE"/>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45">
    <w:nsid w:val="235BA861"/>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46">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47">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Roman"/>
      <w:start w:val="1"/>
    </w:lvl>
  </w:abstractNum>
  <w:abstractNum w:abstractNumId="48">
    <w:nsid w:val="15B5AF5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49">
    <w:nsid w:val="741226B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0">
    <w:nsid w:val="D34B6A8"/>
    <w:multiLevelType w:val="hybridMultilevel"/>
    <w:lvl w:ilvl="0">
      <w:lvlJc w:val="left"/>
      <w:lvlText w:val="%1."/>
      <w:numFmt w:val="decimal"/>
      <w:start w:val="3"/>
    </w:lvl>
    <w:lvl w:ilvl="1">
      <w:lvlJc w:val="left"/>
      <w:lvlText w:val="%2."/>
      <w:numFmt w:val="low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4"/>
    </w:lvl>
  </w:abstractNum>
  <w:abstractNum w:abstractNumId="52">
    <w:nsid w:val="3F6AB60F"/>
    <w:multiLevelType w:val="hybridMultilevel"/>
    <w:lvl w:ilvl="0">
      <w:lvlJc w:val="left"/>
      <w:lvlText w:val="%1."/>
      <w:numFmt w:val="decimal"/>
      <w:start w:val="5"/>
    </w:lvl>
    <w:lvl w:ilvl="1">
      <w:lvlJc w:val="left"/>
      <w:lvlText w:val="%2"/>
      <w:numFmt w:val="lowerLetter"/>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3"/>
    </w:lvl>
  </w:abstractNum>
  <w:abstractNum w:abstractNumId="55">
    <w:nsid w:val="77AE35EB"/>
    <w:multiLevelType w:val="hybridMultilevel"/>
    <w:lvl w:ilvl="0">
      <w:lvlJc w:val="left"/>
      <w:lvlText w:val="%1."/>
      <w:numFmt w:val="lowerLetter"/>
      <w:start w:val="5"/>
    </w:lvl>
  </w:abstractNum>
  <w:abstractNum w:abstractNumId="56">
    <w:nsid w:val="579BE4F1"/>
    <w:multiLevelType w:val="hybridMultilevel"/>
    <w:lvl w:ilvl="0">
      <w:lvlJc w:val="left"/>
      <w:lvlText w:val="%1."/>
      <w:numFmt w:val="lowerLetter"/>
      <w:start w:val="6"/>
    </w:lvl>
  </w:abstractNum>
  <w:abstractNum w:abstractNumId="57">
    <w:nsid w:val="310C50B3"/>
    <w:multiLevelType w:val="hybridMultilevel"/>
    <w:lvl w:ilvl="0">
      <w:lvlJc w:val="left"/>
      <w:lvlText w:val="%1."/>
      <w:numFmt w:val="lowerLetter"/>
      <w:start w:val="7"/>
    </w:lvl>
  </w:abstractNum>
  <w:abstractNum w:abstractNumId="58">
    <w:nsid w:val="5FF87E05"/>
    <w:multiLevelType w:val="hybridMultilevel"/>
    <w:lvl w:ilvl="0">
      <w:lvlJc w:val="left"/>
      <w:lvlText w:val="%1."/>
      <w:numFmt w:val="lowerLetter"/>
      <w:start w:val="8"/>
    </w:lvl>
  </w:abstractNum>
  <w:abstractNum w:abstractNumId="59">
    <w:nsid w:val="2F305DEF"/>
    <w:multiLevelType w:val="hybridMultilevel"/>
    <w:lvl w:ilvl="0">
      <w:lvlJc w:val="left"/>
      <w:lvlText w:val="%1"/>
      <w:numFmt w:val="decimal"/>
      <w:start w:val="1"/>
    </w:lvl>
    <w:lvl w:ilvl="1">
      <w:lvlJc w:val="left"/>
      <w:lvlText w:val="%2."/>
      <w:numFmt w:val="lowerLetter"/>
      <w:start w:val="10"/>
    </w:lvl>
  </w:abstractNum>
  <w:abstractNum w:abstractNumId="60">
    <w:nsid w:val="25A70BF7"/>
    <w:multiLevelType w:val="hybridMultilevel"/>
    <w:lvl w:ilvl="0">
      <w:lvlJc w:val="left"/>
      <w:lvlText w:val="%1."/>
      <w:numFmt w:val="decimal"/>
      <w:start w:val="6"/>
    </w:lvl>
    <w:lvl w:ilvl="1">
      <w:lvlJc w:val="left"/>
      <w:lvlText w:val="%2"/>
      <w:numFmt w:val="lowerLetter"/>
      <w:start w:val="1"/>
    </w:lvl>
  </w:abstractNum>
  <w:abstractNum w:abstractNumId="61">
    <w:nsid w:val="1DBABF00"/>
    <w:multiLevelType w:val="hybridMultilevel"/>
    <w:lvl w:ilvl="0">
      <w:lvlJc w:val="left"/>
      <w:lvlText w:val="%1."/>
      <w:numFmt w:val="decimal"/>
      <w:start w:val="7"/>
    </w:lvl>
  </w:abstractNum>
  <w:abstractNum w:abstractNumId="62">
    <w:nsid w:val="4AD084E9"/>
    <w:multiLevelType w:val="hybridMultilevel"/>
    <w:lvl w:ilvl="0">
      <w:lvlJc w:val="left"/>
      <w:lvlText w:val="%1."/>
      <w:numFmt w:val="decimal"/>
      <w:start w:val="10"/>
    </w:lvl>
  </w:abstractNum>
  <w:abstractNum w:abstractNumId="63">
    <w:nsid w:val="1F48EAA1"/>
    <w:multiLevelType w:val="hybridMultilevel"/>
    <w:lvl w:ilvl="0">
      <w:lvlJc w:val="left"/>
      <w:lvlText w:val="%1."/>
      <w:numFmt w:val="decimal"/>
      <w:start w:val="11"/>
    </w:lvl>
  </w:abstractNum>
  <w:abstractNum w:abstractNumId="64">
    <w:nsid w:val="1381823A"/>
    <w:multiLevelType w:val="hybridMultilevel"/>
    <w:lvl w:ilvl="0">
      <w:lvlJc w:val="left"/>
      <w:lvlText w:val="%1."/>
      <w:numFmt w:val="decimal"/>
      <w:start w:val="12"/>
    </w:lvl>
  </w:abstractNum>
  <w:abstractNum w:abstractNumId="65">
    <w:nsid w:val="5DB70AE5"/>
    <w:multiLevelType w:val="hybridMultilevel"/>
    <w:lvl w:ilvl="0">
      <w:lvlJc w:val="left"/>
      <w:lvlText w:val="%1."/>
      <w:numFmt w:val="decimal"/>
      <w:start w:val="16"/>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6" Type="http://schemas.openxmlformats.org/officeDocument/2006/relationships/image" Target="media/image128.png"/><Relationship Id="rId146" Type="http://schemas.openxmlformats.org/officeDocument/2006/relationships/image" Target="media/image129.png"/><Relationship Id="rId149" Type="http://schemas.openxmlformats.org/officeDocument/2006/relationships/image" Target="media/image130.png"/><Relationship Id="rId158"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35" Type="http://schemas.openxmlformats.org/officeDocument/2006/relationships/hyperlink" Target="http://www.sec.gov/Archives/edgar/data/1219601/000121960105000069/ex3a2004.htm" TargetMode="External"/><Relationship Id="rId137" Type="http://schemas.openxmlformats.org/officeDocument/2006/relationships/hyperlink" Target="http://www.sec.gov/Archives/edgar/data/1219601/000095016803000549/dex45.htm" TargetMode="External"/><Relationship Id="rId138" Type="http://schemas.openxmlformats.org/officeDocument/2006/relationships/hyperlink" Target="https://www.sec.gov/Archives/edgar/data/1219601/000119312516712850/d213162dex41.htm" TargetMode="External"/><Relationship Id="rId139" Type="http://schemas.openxmlformats.org/officeDocument/2006/relationships/hyperlink" Target="https://www.sec.gov/Archives/edgar/data/1219601/000119312516712850/d213162dex42.htm" TargetMode="External"/><Relationship Id="rId140" Type="http://schemas.openxmlformats.org/officeDocument/2006/relationships/hyperlink" Target="http://www.sec.gov/Archives/edgar/data/1219601/000121960115000034/ex10.htm" TargetMode="External"/><Relationship Id="rId141" Type="http://schemas.openxmlformats.org/officeDocument/2006/relationships/hyperlink" Target="http://www.sec.gov/Archives/edgar/data/1219601/000121960117000016/ex4march2017.htm" TargetMode="External"/><Relationship Id="rId142" Type="http://schemas.openxmlformats.org/officeDocument/2006/relationships/hyperlink" Target="http://www.sec.gov/Archives/edgar/data/1219601/000121960118000009/ex4dec2017.htm" TargetMode="External"/><Relationship Id="rId143" Type="http://schemas.openxmlformats.org/officeDocument/2006/relationships/hyperlink" Target="http://www.sec.gov/Archives/edgar/data/1219601/000121960119000005/ex4dec2018.htm" TargetMode="External"/><Relationship Id="rId144" Type="http://schemas.openxmlformats.org/officeDocument/2006/relationships/hyperlink" Target="http://www.sec.gov/Archives/edgar/data/1219601/000119312518029266/d470596dex41.htm" TargetMode="External"/><Relationship Id="rId145" Type="http://schemas.openxmlformats.org/officeDocument/2006/relationships/hyperlink" Target="http://www.sec.gov/Archives/edgar/data/1219601/000119312518029266/d470596dex42.htm" TargetMode="External"/><Relationship Id="rId147" Type="http://schemas.openxmlformats.org/officeDocument/2006/relationships/hyperlink" Target="http://www.sec.gov/Archives/edgar/data/1219601/000119312518029266/d470596dex43.htm" TargetMode="External"/><Relationship Id="rId148" Type="http://schemas.openxmlformats.org/officeDocument/2006/relationships/hyperlink" Target="http://www.sec.gov/Archives/edgar/data/1219601/000119312520053971/d896926dex41.htm" TargetMode="External"/><Relationship Id="rId150" Type="http://schemas.openxmlformats.org/officeDocument/2006/relationships/hyperlink" Target="http://www.sec.gov/Archives/edgar/data/1219601/000121960116000041/ex101.htm" TargetMode="External"/><Relationship Id="rId151" Type="http://schemas.openxmlformats.org/officeDocument/2006/relationships/hyperlink" Target="http://www.sec.gov/Archives/edgar/data/1219601/000121960113000032/ex103june2013.htm" TargetMode="External"/><Relationship Id="rId152" Type="http://schemas.openxmlformats.org/officeDocument/2006/relationships/hyperlink" Target="http://www.sec.gov/Archives/edgar/data/1219601/000121960112000033/ex101a.htm" TargetMode="External"/><Relationship Id="rId153" Type="http://schemas.openxmlformats.org/officeDocument/2006/relationships/hyperlink" Target="http://www.sec.gov/Archives/edgar/data/1219601/000121960119000005/ex10bdec2018.htm" TargetMode="External"/><Relationship Id="rId154" Type="http://schemas.openxmlformats.org/officeDocument/2006/relationships/hyperlink" Target="http://www.sec.gov/Archives/edgar/data/1219601/000121960108000009/ex10l.htm" TargetMode="External"/><Relationship Id="rId155" Type="http://schemas.openxmlformats.org/officeDocument/2006/relationships/hyperlink" Target="http://www.sec.gov/Archives/edgar/data/1219601/000121960107000020/ex104emarch07.htm" TargetMode="External"/><Relationship Id="rId156" Type="http://schemas.openxmlformats.org/officeDocument/2006/relationships/hyperlink" Target="http://www.sec.gov/Archives/edgar/data/1219601/000121960112000033/ex102.htm" TargetMode="External"/><Relationship Id="rId157" Type="http://schemas.openxmlformats.org/officeDocument/2006/relationships/hyperlink" Target="http://www.sec.gov/Archives/edgar/data/1219601/000121960113000007/ex10m7dec2012.htm" TargetMode="External"/><Relationship Id="rId159" Type="http://schemas.openxmlformats.org/officeDocument/2006/relationships/hyperlink" Target="http://www.sec.gov/Archives/edgar/data/1219601/000121960104000206/ex106sep04.htm" TargetMode="External"/><Relationship Id="rId160" Type="http://schemas.openxmlformats.org/officeDocument/2006/relationships/hyperlink" Target="http://www.sec.gov/Archives/edgar/data/1219601/000121960109000010/exhibit10w-2008.htm" TargetMode="External"/><Relationship Id="rId161" Type="http://schemas.openxmlformats.org/officeDocument/2006/relationships/hyperlink" Target="http://www.sec.gov/Archives/edgar/data/1219601/000095015904000314/crownproxy.txt" TargetMode="External"/><Relationship Id="rId162" Type="http://schemas.openxmlformats.org/officeDocument/2006/relationships/hyperlink" Target="http://www.sec.gov/Archives/edgar/data/1219601/000121960105000075/ex10q1-2005.htm" TargetMode="External"/><Relationship Id="rId163" Type="http://schemas.openxmlformats.org/officeDocument/2006/relationships/hyperlink" Target="http://www.sec.gov/Archives/edgar/data/1219601/000095015913000173/crownproxy.htm" TargetMode="External"/><Relationship Id="rId164" Type="http://schemas.openxmlformats.org/officeDocument/2006/relationships/hyperlink" Target="http://www.sec.gov/Archives/edgar/data/1219601/000121960113000045/ex10sept2013.htm" TargetMode="External"/><Relationship Id="rId165" Type="http://schemas.openxmlformats.org/officeDocument/2006/relationships/hyperlink" Target="http://www.sec.gov/Archives/edgar/data/1219601/000121960113000045/ex102sept2013.htm" TargetMode="External"/><Relationship Id="rId166" Type="http://schemas.openxmlformats.org/officeDocument/2006/relationships/hyperlink" Target="http://www.sec.gov/Archives/edgar/data/1219601/000121960112000033/ex103.htm" TargetMode="External"/><Relationship Id="rId167" Type="http://schemas.openxmlformats.org/officeDocument/2006/relationships/hyperlink" Target="http://www.sec.gov/Archives/edgar/data/1219601/000121960112000033/ex104.htm" TargetMode="External"/><Relationship Id="rId168" Type="http://schemas.openxmlformats.org/officeDocument/2006/relationships/hyperlink" Target="https://www.sec.gov/Archives/edgar/data/1219601/000121960120000018/ex10uamendment1.htm" TargetMode="External"/><Relationship Id="rId169" Type="http://schemas.openxmlformats.org/officeDocument/2006/relationships/hyperlink" Target="https://www.sec.gov/Archives/edgar/data/1219601/000121960121000005/ex10vamendment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2023-02-27T12:23:50Z</dcterms:created>
  <dcterms:modified xsi:type="dcterms:W3CDTF">2023-02-27T12:23:50Z</dcterms:modified>
</cp:coreProperties>
</file>