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KELLY THOMAS 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01/08/2021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Senior Vice President &amp; CFO</w:t>
      </w:r>
    </w:p>
    <w:p>
      <w:pPr>
        <w:spacing w:after="0" w:line="3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YARDLEY</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2056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056130"/>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1,050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12,807</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134,913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6,440</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141,353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6,331</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100.04</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135,022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jc w:val="center"/>
              <w:ind w:right="298"/>
              <w:spacing w:after="0"/>
              <w:rPr>
                <w:sz w:val="20"/>
                <w:szCs w:val="20"/>
                <w:color w:val="auto"/>
              </w:rPr>
            </w:pPr>
            <w:r>
              <w:rPr>
                <w:rFonts w:ascii="Arial" w:cs="Arial" w:eastAsia="Arial" w:hAnsi="Arial"/>
                <w:sz w:val="12"/>
                <w:szCs w:val="12"/>
                <w:b w:val="1"/>
                <w:bCs w:val="1"/>
                <w:color w:val="auto"/>
                <w:w w:val="99"/>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12,807 shares of Restricted Common Stock under the 2013 Stock-Based Compensation Plan. 4,399 time-vested restricted shares vest over a three year period as follows: 1,467 time-vested restricted shares on January 10, 2022 and 1,466 time-vested restricted shares on January 09, 2023 and January 8, 2024, respectively. 4,009 performance-based restricted shares are targeted to vest on January 8, 2024 based on the Company's Total Shareholder Return versus a defined peer group of companies, with the final number of performance-based vested shares varying from 0 to 200% of 4,009. 4,399 performance-based restricted shares are targeted to vest on January 8, 2024 based on the Return on Invested Capital achieved by the Company compared to the ROIC target, with the final number of performance-based vested shares varying from 0 to 200% of 4,399.</w:t>
      </w:r>
    </w:p>
    <w:p>
      <w:pPr>
        <w:spacing w:after="0" w:line="26" w:lineRule="exact"/>
        <w:rPr>
          <w:rFonts w:ascii="Times New Roman" w:cs="Times New Roman" w:eastAsia="Times New Roman" w:hAnsi="Times New Roman"/>
          <w:sz w:val="13"/>
          <w:szCs w:val="13"/>
          <w:color w:val="008000"/>
        </w:rPr>
      </w:pPr>
    </w:p>
    <w:p>
      <w:pPr>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January 11, 2021 whose grant was originally reported on a Form 4 filed with the U.S. Securities and Exchange Commission on January 8, 2018 (the "Original Form 4"). As reported on the Original Form 4, such performance-based shares were originally granted to the Reporting Person based on the Company's Total Shareholder Return versus a defined group of companies with the final number of performance-based vested shares varying from 0 to 200% of 6,440.</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Rosemary M. Haselroth,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8690"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2021-01-12T14:22:18Z</dcterms:created>
  <dcterms:modified xsi:type="dcterms:W3CDTF">2021-01-12T14:22:18Z</dcterms:modified>
</cp:coreProperties>
</file>