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CROWN HOLDINGS,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228368106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12/31/2021</w:t>
      </w:r>
    </w:p>
    <w:p>
      <w:pPr>
        <w:spacing w:after="0" w:line="200" w:lineRule="exact"/>
        <w:rPr>
          <w:sz w:val="24"/>
          <w:szCs w:val="24"/>
          <w:color w:val="auto"/>
        </w:rPr>
      </w:pPr>
    </w:p>
    <w:p>
      <w:pPr>
        <w:spacing w:after="0" w:line="209" w:lineRule="exact"/>
        <w:rPr>
          <w:sz w:val="24"/>
          <w:szCs w:val="24"/>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9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228368106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19" w:hanging="952"/>
        <w:spacing w:after="0" w:line="290"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540" w:right="75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7,809,786**</w:t>
      </w:r>
    </w:p>
    <w:p>
      <w:pPr>
        <w:spacing w:after="0" w:line="208" w:lineRule="exact"/>
        <w:rPr>
          <w:rFonts w:ascii="Courier New" w:cs="Courier New" w:eastAsia="Courier New" w:hAnsi="Courier New"/>
          <w:sz w:val="18"/>
          <w:szCs w:val="18"/>
          <w:color w:val="auto"/>
        </w:rPr>
      </w:pPr>
    </w:p>
    <w:p>
      <w:pPr>
        <w:ind w:left="540" w:right="7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540" w:right="70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7,809,786**</w:t>
      </w:r>
    </w:p>
    <w:p>
      <w:pPr>
        <w:spacing w:after="0" w:line="208" w:lineRule="exact"/>
        <w:rPr>
          <w:rFonts w:ascii="Courier New" w:cs="Courier New" w:eastAsia="Courier New" w:hAnsi="Courier New"/>
          <w:sz w:val="18"/>
          <w:szCs w:val="18"/>
          <w:color w:val="auto"/>
        </w:rPr>
      </w:pPr>
    </w:p>
    <w:p>
      <w:pPr>
        <w:ind w:left="540" w:right="3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7,809,786**</w:t>
      </w:r>
    </w:p>
    <w:p>
      <w:pPr>
        <w:spacing w:after="0" w:line="208" w:lineRule="exact"/>
        <w:rPr>
          <w:rFonts w:ascii="Courier New" w:cs="Courier New" w:eastAsia="Courier New" w:hAnsi="Courier New"/>
          <w:sz w:val="18"/>
          <w:szCs w:val="18"/>
          <w:color w:val="auto"/>
        </w:rPr>
      </w:pPr>
    </w:p>
    <w:p>
      <w:pPr>
        <w:ind w:right="3179" w:firstLine="8"/>
        <w:spacing w:after="0" w:line="235"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47" w:orient="portrait"/>
          <w:cols w:equalWidth="0" w:num="1">
            <w:col w:w="10139"/>
          </w:cols>
          <w:pgMar w:left="32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5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spacing w:after="0" w:line="238" w:lineRule="auto"/>
        <w:rPr>
          <w:sz w:val="20"/>
          <w:szCs w:val="20"/>
          <w:color w:val="auto"/>
        </w:rPr>
      </w:pPr>
      <w:r>
        <w:rPr>
          <w:rFonts w:ascii="Courier New" w:cs="Courier New" w:eastAsia="Courier New" w:hAnsi="Courier New"/>
          <w:sz w:val="18"/>
          <w:szCs w:val="18"/>
          <w:color w:val="auto"/>
        </w:rPr>
        <w:t>(a). Name of Issuer: CROWN HOLDINGS, INC. ("Crown")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770 Township Line Road</w:t>
      </w:r>
    </w:p>
    <w:p>
      <w:pPr>
        <w:ind w:left="960"/>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spacing w:after="0" w:line="238" w:lineRule="auto"/>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0"/>
          <w:szCs w:val="20"/>
          <w:color w:val="auto"/>
        </w:rPr>
      </w:pPr>
    </w:p>
    <w:p>
      <w:pPr>
        <w:ind w:left="1480" w:right="6019" w:hanging="524"/>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spacing w:after="0" w:line="5" w:lineRule="exact"/>
        <w:rPr>
          <w:rFonts w:ascii="Courier New" w:cs="Courier New" w:eastAsia="Courier New" w:hAnsi="Courier New"/>
          <w:sz w:val="18"/>
          <w:szCs w:val="18"/>
          <w:color w:val="auto"/>
        </w:rPr>
      </w:pPr>
    </w:p>
    <w:p>
      <w:pPr>
        <w:ind w:left="1480" w:right="48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EC2M 3AE, United Kingdom Citizenship: Jersey, Channel Islands</w:t>
      </w:r>
    </w:p>
    <w:p>
      <w:pPr>
        <w:spacing w:after="0" w:line="164"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Janus Henderson has an indirect 97% ownership stake in Intech Investment Management LLC ("Intech") and a 100% ownership stake in Janus Henderson Investors U.S. LLC ("JHIUS"),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216"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7,796,657 shares or 6.1% of the shares outstanding of Crown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8"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These shares were acquired in the ordinary course of business,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with the purpose of changing or influencing control of the Issuer.</w:t>
      </w:r>
    </w:p>
    <w:p>
      <w:pPr>
        <w:spacing w:after="0" w:line="224" w:lineRule="exact"/>
        <w:rPr>
          <w:sz w:val="20"/>
          <w:szCs w:val="20"/>
          <w:color w:val="auto"/>
        </w:rPr>
      </w:pPr>
    </w:p>
    <w:p>
      <w:pPr>
        <w:ind w:right="28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ind w:right="3079"/>
        <w:spacing w:after="0" w:line="236" w:lineRule="auto"/>
        <w:rPr>
          <w:sz w:val="20"/>
          <w:szCs w:val="20"/>
          <w:color w:val="auto"/>
        </w:rPr>
      </w:pPr>
      <w:r>
        <w:rPr>
          <w:rFonts w:ascii="Courier New" w:cs="Courier New" w:eastAsia="Courier New" w:hAnsi="Courier New"/>
          <w:sz w:val="18"/>
          <w:szCs w:val="18"/>
          <w:color w:val="auto"/>
        </w:rPr>
        <w:t>Intech, JHIUS, HGIL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4" w:lineRule="exact"/>
        <w:rPr>
          <w:sz w:val="20"/>
          <w:szCs w:val="20"/>
          <w:color w:val="auto"/>
        </w:rPr>
      </w:pPr>
    </w:p>
    <w:p>
      <w:pPr>
        <w:ind w:right="4439"/>
        <w:spacing w:after="0" w:line="235" w:lineRule="auto"/>
        <w:rPr>
          <w:sz w:val="20"/>
          <w:szCs w:val="20"/>
          <w:color w:val="auto"/>
        </w:rPr>
      </w:pPr>
      <w:r>
        <w:rPr>
          <w:rFonts w:ascii="Courier New" w:cs="Courier New" w:eastAsia="Courier New" w:hAnsi="Courier New"/>
          <w:sz w:val="18"/>
          <w:szCs w:val="18"/>
          <w:color w:val="auto"/>
        </w:rPr>
        <w:t>Kristin Mariani, Head of North America Compliance, CCO Date 2/10/2022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69" w:lineRule="auto"/>
        <w:rPr>
          <w:sz w:val="20"/>
          <w:szCs w:val="20"/>
          <w:color w:val="auto"/>
        </w:rPr>
      </w:pPr>
      <w:r>
        <w:rPr>
          <w:rFonts w:ascii="Courier New" w:cs="Courier New" w:eastAsia="Courier New" w:hAnsi="Courier New"/>
          <w:sz w:val="16"/>
          <w:szCs w:val="16"/>
          <w:color w:val="auto"/>
        </w:rPr>
        <w:t>The undersigned, Janus Henderson Group plc ("the Company"), does hereby make, constitute and appoint each of Kristin Mariani and Caroline Barotti acting severally, as its true and lawful attorneys-in-fact,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w:t>
      </w:r>
    </w:p>
    <w:p>
      <w:pPr>
        <w:sectPr>
          <w:pgSz w:w="11900" w:h="16838" w:orient="portrait"/>
          <w:cols w:equalWidth="0" w:num="1">
            <w:col w:w="10139"/>
          </w:cols>
          <w:pgMar w:left="320" w:top="136" w:right="1440" w:bottom="122" w:gutter="0" w:footer="0" w:header="0"/>
        </w:sectPr>
      </w:pPr>
    </w:p>
    <w:bookmarkStart w:id="3" w:name="page4"/>
    <w:bookmarkEnd w:id="3"/>
    <w:p>
      <w:pPr>
        <w:ind w:right="2859"/>
        <w:spacing w:after="0" w:line="237" w:lineRule="auto"/>
        <w:rPr>
          <w:sz w:val="20"/>
          <w:szCs w:val="20"/>
          <w:color w:val="auto"/>
        </w:rPr>
      </w:pPr>
      <w:r>
        <w:rPr>
          <w:rFonts w:ascii="Courier New" w:cs="Courier New" w:eastAsia="Courier New" w:hAnsi="Courier New"/>
          <w:sz w:val="18"/>
          <w:szCs w:val="18"/>
          <w:color w:val="auto"/>
        </w:rPr>
        <w:t>to be done by virtue hereof. Any such determination by an attorney-in-fact named herein shall be conclusively evidenced by such person's execution, delivery, furnishing or filing of the applicable document.</w:t>
      </w:r>
    </w:p>
    <w:p>
      <w:pPr>
        <w:spacing w:after="0" w:line="207"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1"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September, 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Bruce Koepfgen</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Bruce Koepfgen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 Head of North America</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2022-02-11T22:01:36Z</dcterms:created>
  <dcterms:modified xsi:type="dcterms:W3CDTF">2022-02-11T22:01:36Z</dcterms:modified>
</cp:coreProperties>
</file>