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19,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60" w:type="dxa"/>
            <w:vAlign w:val="bottom"/>
          </w:tcPr>
          <w:p>
            <w:pPr>
              <w:jc w:val="center"/>
              <w:ind w:right="87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400" w:type="dxa"/>
            <w:vAlign w:val="bottom"/>
          </w:tcPr>
          <w:p>
            <w:pPr>
              <w:spacing w:after="0"/>
              <w:rPr>
                <w:sz w:val="18"/>
                <w:szCs w:val="18"/>
                <w:color w:val="auto"/>
              </w:rPr>
            </w:pPr>
          </w:p>
        </w:tc>
      </w:tr>
      <w:tr>
        <w:trPr>
          <w:trHeight w:val="206"/>
        </w:trPr>
        <w:tc>
          <w:tcPr>
            <w:tcW w:w="258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780" w:type="dxa"/>
            <w:vAlign w:val="bottom"/>
          </w:tcPr>
          <w:p>
            <w:pPr>
              <w:ind w:left="480"/>
              <w:spacing w:after="0"/>
              <w:rPr>
                <w:sz w:val="20"/>
                <w:szCs w:val="20"/>
                <w:color w:val="auto"/>
              </w:rPr>
            </w:pPr>
            <w:r>
              <w:rPr>
                <w:rFonts w:ascii="Arial" w:cs="Arial" w:eastAsia="Arial" w:hAnsi="Arial"/>
                <w:sz w:val="16"/>
                <w:szCs w:val="16"/>
                <w:color w:val="auto"/>
              </w:rPr>
              <w:t>CCK</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780" w:type="dxa"/>
            <w:vAlign w:val="bottom"/>
          </w:tcPr>
          <w:p>
            <w:pPr>
              <w:ind w:left="480"/>
              <w:spacing w:after="0"/>
              <w:rPr>
                <w:sz w:val="20"/>
                <w:szCs w:val="20"/>
                <w:color w:val="auto"/>
              </w:rPr>
            </w:pPr>
            <w:r>
              <w:rPr>
                <w:rFonts w:ascii="Arial" w:cs="Arial" w:eastAsia="Arial" w:hAnsi="Arial"/>
                <w:sz w:val="16"/>
                <w:szCs w:val="16"/>
                <w:color w:val="auto"/>
              </w:rPr>
              <w:t>CCK26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780" w:type="dxa"/>
            <w:vAlign w:val="bottom"/>
          </w:tcPr>
          <w:p>
            <w:pPr>
              <w:ind w:left="480"/>
              <w:spacing w:after="0"/>
              <w:rPr>
                <w:sz w:val="20"/>
                <w:szCs w:val="20"/>
                <w:color w:val="auto"/>
              </w:rPr>
            </w:pPr>
            <w:r>
              <w:rPr>
                <w:rFonts w:ascii="Arial" w:cs="Arial" w:eastAsia="Arial" w:hAnsi="Arial"/>
                <w:sz w:val="16"/>
                <w:szCs w:val="16"/>
                <w:color w:val="auto"/>
              </w:rPr>
              <w:t>CCK96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965"/>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11" w:gutter="0" w:footer="0" w:header="0"/>
        </w:sectPr>
      </w:pPr>
    </w:p>
    <w:bookmarkStart w:id="1" w:name="page2"/>
    <w:bookmarkEnd w:id="1"/>
    <w:p>
      <w:pPr>
        <w:spacing w:after="0" w:line="42" w:lineRule="exact"/>
        <w:rPr>
          <w:sz w:val="20"/>
          <w:szCs w:val="20"/>
          <w:color w:val="auto"/>
        </w:rPr>
      </w:pPr>
    </w:p>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On April 19, 2021 Crown Holdings, Inc. issued a press release announcing its earnings for the first quarter ended March 31, 2021. A copy of the press release is attached hereto as Exhibit 99 and incorporated herein by reference.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98" w:lineRule="exact"/>
        <w:rPr>
          <w:sz w:val="20"/>
          <w:szCs w:val="20"/>
          <w:color w:val="auto"/>
        </w:rPr>
      </w:pPr>
    </w:p>
    <w:p>
      <w:pPr>
        <w:ind w:left="500" w:hanging="492"/>
        <w:spacing w:after="0"/>
        <w:tabs>
          <w:tab w:leader="none" w:pos="500" w:val="left"/>
        </w:tabs>
        <w:numPr>
          <w:ilvl w:val="0"/>
          <w:numId w:val="2"/>
        </w:numPr>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Press release, dated April 19, 2021, issued by Crown Holdings, Inc.</w:t>
        </w:r>
      </w:hyperlink>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8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Beaver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 April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20"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332105</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CROWN HOLDINGS, INC. REPORTS STRONG FIRST QUARTER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99695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Yardley, PA - April 19, 2021. </w:t>
      </w:r>
      <w:r>
        <w:rPr>
          <w:rFonts w:ascii="Arial" w:cs="Arial" w:eastAsia="Arial" w:hAnsi="Arial"/>
          <w:sz w:val="17"/>
          <w:szCs w:val="17"/>
          <w:color w:val="auto"/>
        </w:rPr>
        <w:t>Crown Holdings, Inc. (NYSE: CCK) today announced its financial results for the first quarter ended March 31,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Earnings per share $1.57 versus $0.65 in 2020</w:t>
      </w:r>
    </w:p>
    <w:p>
      <w:pPr>
        <w:spacing w:after="0" w:line="15"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Adjusted earnings per share increased to $1.83 over the $1.13 in 2020</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Global beverage can volumes grew 8%; capacity expansion projects on schedule</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Solid food can demand</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Announced agreement to sell European Tinplate business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Announces Investor Event</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in the first quarter were $3,078 million compared to $2,757 million in the first quarter of 2020 reflecting increased sales unit volumes in all segments and favorable currency translation of $92 million.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was $384 million in the first quarter compared to $246 million in the first quarter of 2020. Segment income was $433 million in the first quarter compared to $298 million in the prior year first quarter primarily due to increased sales unit volumes and $11 million of favorable currency translation. In addition, the results for European Food and the other segments in 2020 included unfavorable impacts of $18 million and $16 million, respectively, arising from the carryover of tinplate costs from the prior year end inventory.</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Commenting on the quarter, Timothy J. Donahue, President and Chief Executive Officer, stated, “The Company’s performance during the first quarter was excellent, as adjusted earnings per share and segment income grew 62% and 45%, respectively, from prior year results. Each of our global businesses executed well both commercially and operationally in the face of the challenges posed by the continuing pandemic. Beverage can volumes were strong across all global regions, led by North America, as consumers and customers alike continue to increasingly prefer the infinitely recyclable aluminum can over other packaging options. Transit Packaging, having successfully implemented several cost reduction initiatives, exceeded our expectations and is well positioned for continuing improvement as global manufacturing activity further accelerates.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April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the Company announced an agreement to sell its European Tinplate business, which is comprised of 44 manufacturing facilities in Europe, the Middle East and Africa that produce food cans and ends, aerosol cans, metal closures and promotional packaging for various consumer brands. We are very pleased that the business will have a strong owner in KPS Capital Partners to support future profitable growth and innovation initiatives. Net proceeds from the transaction will be used for debt reduction, beverage can capital projects and share repurchases over time.</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meet accelerating demand for beverage cans, which now account for approximately 75% of our income from operations, the Company is implementing several capacity expansion projects globally, which include both the construction of new plants and the addition of production lines to existing facilities. Between 2020 and the end of 2022, we expect to add 15 billion units of annual capacity to the 2019 base of 70 billion units. During 2021, we will be commercializing approximately 6 billion units of annual capacity with projects including a new, two-line facility in Bowling Green, Kentucky and a new one-line plant in Vung Tau, Vietnam as well as additional production lines in Olympia, Washington and Rio Verde, Brazil.”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$71 million in the first quarter of 2021 compared to $80 million in 2020 primarily due to lower outstanding debt balances.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attributable to Crown Holdings in the first quarter was $211 million compared to $88 million in the first quarter of 2020. Reported diluted earnings per share were $1.57 in the first quarter of 2021 compared to $0.65 in 2020. Adjusted diluted earnings per share increased to $1.83 over the $1.13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9</w:t>
      </w:r>
    </w:p>
    <w:p>
      <w:pPr>
        <w:sectPr>
          <w:pgSz w:w="11900" w:h="16838" w:orient="portrait"/>
          <w:cols w:equalWidth="0" w:num="1">
            <w:col w:w="11240"/>
          </w:cols>
          <w:pgMar w:left="320" w:top="487"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 currently expects second quarter adjusted earnings to be in the range of $1.70 to $1.80 per share. This guidance includes the results of the European Tinplate operations, which will be reported as discontinued operations beginning with the second quarter results.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full year adjusted earnings guidance of $6.60 to $6.80 per share is consistent with its previous guidance, as the assumed dilution from the sale of the European Tinplate business in the third quarter is expected to be offset by improved performance in the remaining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Event</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will present to the investment community on Thursday, May 27, 2021 during its virtual investor day. Crown senior management will discuss trends, opportunities and key metrics of the Company followed by a question and answer session. Additional information will be provided in a future communication.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Segment income, adjusted free cash flow, adjusted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views segment income as the principal measure of the performance of its operations and adjusted free cash flow and adjusted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second quarter and full year of 2021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adjusted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hold a conference call tomorrow, April 20, 2021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www.crowncork.com. A replay of the conference call will be available for a one-week period ending at midnight on April 27. The telephone numbers for the replay are 203-369-3560 or toll free 800-879-1876.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9</w:t>
      </w:r>
    </w:p>
    <w:p>
      <w:pPr>
        <w:sectPr>
          <w:pgSz w:w="11900" w:h="16838" w:orient="portrait"/>
          <w:cols w:equalWidth="0" w:num="1">
            <w:col w:w="11240"/>
          </w:cols>
          <w:pgMar w:left="320" w:top="595"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2021, including consumer preference for beverage cans and increasing global beverage can demand; future demand for food cans; the Company’s ability to close the European Tinplate sale in the third quarter of 2021, or at all, and the impact of the transaction on the Company’s earnings; and the Company’s ability to successfully complete its previously announced capacity expansion projects and begin production within expected timelines, including any delays related to the pandemic,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2020 and in subsequent filings made prior to or after the date hereof. The Company does not intend to review or revise any particular forward-looking statement in light of future events.</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520"/>
        <w:spacing w:after="0" w:line="323" w:lineRule="auto"/>
        <w:rPr>
          <w:sz w:val="20"/>
          <w:szCs w:val="20"/>
          <w:color w:val="auto"/>
        </w:rPr>
      </w:pPr>
      <w:r>
        <w:rPr>
          <w:rFonts w:ascii="Arial" w:cs="Arial" w:eastAsia="Arial" w:hAnsi="Arial"/>
          <w:sz w:val="16"/>
          <w:szCs w:val="16"/>
          <w:color w:val="auto"/>
        </w:rPr>
        <w:t>Thomas A. Kelly, Senior Vice President and Chief Financial Officer, (215) 698-5341 Thomas T. Fischer, Vice President, Investor Relations and Corporate Affairs, (215) 552-3720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9</w:t>
      </w:r>
    </w:p>
    <w:p>
      <w:pPr>
        <w:sectPr>
          <w:pgSz w:w="11900" w:h="16838" w:orient="portrait"/>
          <w:cols w:equalWidth="0" w:num="1">
            <w:col w:w="11240"/>
          </w:cols>
          <w:pgMar w:left="320" w:top="595"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-145415</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0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20"/>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millions, except share and per share data)</w:t>
      </w:r>
    </w:p>
    <w:p>
      <w:pPr>
        <w:spacing w:after="0" w:line="124"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4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3,078</w:t>
            </w:r>
          </w:p>
        </w:tc>
        <w:tc>
          <w:tcPr>
            <w:tcW w:w="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r>
      <w:tr>
        <w:trPr>
          <w:trHeight w:val="250"/>
        </w:trPr>
        <w:tc>
          <w:tcPr>
            <w:tcW w:w="4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6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r>
      <w:tr>
        <w:trPr>
          <w:trHeight w:val="162"/>
        </w:trPr>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settlements and curtailments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227</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4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75"/>
        </w:trPr>
        <w:tc>
          <w:tcPr>
            <w:tcW w:w="46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Earnings per share attributable to Crown</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0"/>
        </w:trPr>
        <w:tc>
          <w:tcPr>
            <w:tcW w:w="4660" w:type="dxa"/>
            <w:vAlign w:val="bottom"/>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4"/>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60" w:type="dxa"/>
            <w:vAlign w:val="bottom"/>
          </w:tcPr>
          <w:p>
            <w:pPr>
              <w:ind w:left="26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w:t>
            </w:r>
          </w:p>
        </w:tc>
        <w:tc>
          <w:tcPr>
            <w:tcW w:w="4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6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133,616,057</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134,082,846</w:t>
            </w: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134,612,182</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135,044,981</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Actual common shares outstanding at quarter end</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134,909,337</w:t>
            </w:r>
          </w:p>
        </w:tc>
        <w:tc>
          <w:tcPr>
            <w:tcW w:w="4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134,654,046</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hanging="25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Reconciliation from income from operations to segment income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340"/>
        <w:spacing w:after="0"/>
        <w:rPr>
          <w:rFonts w:ascii="Arial" w:cs="Arial" w:eastAsia="Arial" w:hAnsi="Arial"/>
          <w:sz w:val="18"/>
          <w:szCs w:val="18"/>
          <w:color w:val="auto"/>
        </w:rPr>
      </w:pPr>
      <w:r>
        <w:rPr>
          <w:rFonts w:ascii="Arial" w:cs="Arial" w:eastAsia="Arial" w:hAnsi="Arial"/>
          <w:sz w:val="18"/>
          <w:szCs w:val="18"/>
          <w:color w:val="auto"/>
        </w:rPr>
        <w:t>4 of 9</w:t>
      </w:r>
    </w:p>
    <w:p>
      <w:pPr>
        <w:sectPr>
          <w:pgSz w:w="11900" w:h="16838" w:orient="portrait"/>
          <w:cols w:equalWidth="0" w:num="1">
            <w:col w:w="10059"/>
          </w:cols>
          <w:pgMar w:left="400" w:top="595" w:right="1440"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132" w:lineRule="exact"/>
        <w:rPr>
          <w:sz w:val="20"/>
          <w:szCs w:val="20"/>
          <w:color w:val="auto"/>
        </w:rPr>
      </w:pPr>
    </w:p>
    <w:tbl>
      <w:tblPr>
        <w:tblLayout w:type="fixed"/>
        <w:tblInd w:w="26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28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384</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Intangibles amortization</w:t>
            </w:r>
          </w:p>
        </w:tc>
        <w:tc>
          <w:tcPr>
            <w:tcW w:w="88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Segment income</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433</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r>
      <w:tr>
        <w:trPr>
          <w:trHeight w:val="21"/>
        </w:trPr>
        <w:tc>
          <w:tcPr>
            <w:tcW w:w="2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Segment Information</w:t>
      </w:r>
    </w:p>
    <w:p>
      <w:pPr>
        <w:spacing w:after="0" w:line="315" w:lineRule="exact"/>
        <w:rPr>
          <w:sz w:val="20"/>
          <w:szCs w:val="20"/>
          <w:color w:val="auto"/>
        </w:rPr>
      </w:pPr>
    </w:p>
    <w:tbl>
      <w:tblPr>
        <w:tblLayout w:type="fixed"/>
        <w:tblInd w:w="26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196"/>
        </w:trPr>
        <w:tc>
          <w:tcPr>
            <w:tcW w:w="286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0"/>
        </w:trPr>
        <w:tc>
          <w:tcPr>
            <w:tcW w:w="2860" w:type="dxa"/>
            <w:vAlign w:val="bottom"/>
            <w:gridSpan w:val="4"/>
          </w:tcPr>
          <w:p>
            <w:pPr>
              <w:ind w:left="20"/>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2860" w:type="dxa"/>
            <w:vAlign w:val="bottom"/>
            <w:gridSpan w:val="4"/>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2,730</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30"/>
        </w:trPr>
        <w:tc>
          <w:tcPr>
            <w:tcW w:w="286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segments </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net sales</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3,078</w:t>
            </w:r>
          </w:p>
        </w:tc>
        <w:tc>
          <w:tcPr>
            <w:tcW w:w="5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2,757</w:t>
            </w:r>
          </w:p>
        </w:tc>
        <w:tc>
          <w:tcPr>
            <w:tcW w:w="0" w:type="dxa"/>
            <w:vAlign w:val="bottom"/>
          </w:tcPr>
          <w:p>
            <w:pPr>
              <w:spacing w:after="0"/>
              <w:rPr>
                <w:sz w:val="1"/>
                <w:szCs w:val="1"/>
                <w:color w:val="auto"/>
              </w:rPr>
            </w:pPr>
          </w:p>
        </w:tc>
      </w:tr>
      <w:tr>
        <w:trPr>
          <w:trHeight w:val="20"/>
        </w:trPr>
        <w:tc>
          <w:tcPr>
            <w:tcW w:w="28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8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860" w:type="dxa"/>
            <w:vAlign w:val="bottom"/>
            <w:gridSpan w:val="4"/>
          </w:tcPr>
          <w:p>
            <w:pPr>
              <w:ind w:left="20"/>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860" w:type="dxa"/>
            <w:vAlign w:val="bottom"/>
            <w:gridSpan w:val="4"/>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286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segments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w w:val="92"/>
              </w:rPr>
              <w:t>Corporate and other unallocated items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60" w:hanging="252"/>
        <w:spacing w:after="0" w:line="277"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8"/>
          <w:szCs w:val="18"/>
          <w:color w:val="auto"/>
        </w:rPr>
        <w:t>Includes the Company's food can and closures businesses in North America, aerosol can businesses in North America and Europe, the promotional packaging business in Europe, and beverage tooling and equipment operations in the U.S. and United Kingdom.</w:t>
      </w:r>
    </w:p>
    <w:p>
      <w:pPr>
        <w:sectPr>
          <w:pgSz w:w="11900" w:h="16838" w:orient="portrait"/>
          <w:cols w:equalWidth="0" w:num="1">
            <w:col w:w="11240"/>
          </w:cols>
          <w:pgMar w:left="320" w:top="595" w:right="339"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 of 9</w:t>
      </w:r>
    </w:p>
    <w:p>
      <w:pPr>
        <w:sectPr>
          <w:pgSz w:w="11900" w:h="16838" w:orient="portrait"/>
          <w:cols w:equalWidth="0" w:num="1">
            <w:col w:w="11240"/>
          </w:cols>
          <w:pgMar w:left="320" w:top="595" w:right="339" w:bottom="885"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and Diluted Earnings Per Share to Adjusted Net Income and Adjusted Diluted Earnings Per Share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325" w:lineRule="exact"/>
        <w:rPr>
          <w:sz w:val="20"/>
          <w:szCs w:val="20"/>
          <w:color w:val="auto"/>
        </w:rPr>
      </w:pPr>
    </w:p>
    <w:tbl>
      <w:tblPr>
        <w:tblLayout w:type="fixed"/>
        <w:tblInd w:w="2440" w:type="dxa"/>
        <w:tblCellMar>
          <w:top w:w="0" w:type="dxa"/>
          <w:left w:w="0" w:type="dxa"/>
          <w:bottom w:w="0" w:type="dxa"/>
          <w:right w:w="0" w:type="dxa"/>
        </w:tblCellMar>
      </w:tblPr>
      <w:tr>
        <w:trPr>
          <w:trHeight w:val="222"/>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9"/>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0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Net income/diluted earnings per share</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w w:val="96"/>
              </w:rPr>
              <w:t>attributable to Crown Holdings, as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221</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1.57</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88</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0.65</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p>
        </w:tc>
        <w:tc>
          <w:tcPr>
            <w:tcW w:w="18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20"/>
              <w:spacing w:after="0"/>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0.35</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15"/>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0"/>
              </w:rPr>
              <w:t>0.33</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0.01</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0.05</w:t>
            </w:r>
          </w:p>
        </w:tc>
        <w:tc>
          <w:tcPr>
            <w:tcW w:w="0" w:type="dxa"/>
            <w:vAlign w:val="bottom"/>
          </w:tcPr>
          <w:p>
            <w:pPr>
              <w:spacing w:after="0"/>
              <w:rPr>
                <w:sz w:val="1"/>
                <w:szCs w:val="1"/>
                <w:color w:val="auto"/>
              </w:rPr>
            </w:pPr>
          </w:p>
        </w:tc>
      </w:tr>
      <w:tr>
        <w:trPr>
          <w:trHeight w:val="175"/>
        </w:trPr>
        <w:tc>
          <w:tcPr>
            <w:tcW w:w="3000" w:type="dxa"/>
            <w:vAlign w:val="bottom"/>
          </w:tcPr>
          <w:p>
            <w:pPr>
              <w:ind w:left="220"/>
              <w:spacing w:after="0" w:line="176" w:lineRule="exact"/>
              <w:rPr>
                <w:sz w:val="20"/>
                <w:szCs w:val="20"/>
                <w:color w:val="auto"/>
              </w:rPr>
            </w:pPr>
            <w:r>
              <w:rPr>
                <w:rFonts w:ascii="Arial" w:cs="Arial" w:eastAsia="Arial" w:hAnsi="Arial"/>
                <w:sz w:val="18"/>
                <w:szCs w:val="18"/>
                <w:color w:val="auto"/>
                <w:w w:val="92"/>
              </w:rPr>
              <w:t>Pension settlements and curtailments</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Arial" w:cs="Arial" w:eastAsia="Arial" w:hAnsi="Arial"/>
                <w:sz w:val="17"/>
                <w:szCs w:val="17"/>
                <w:color w:val="auto"/>
                <w:w w:val="90"/>
              </w:rPr>
              <w:t>0.28</w:t>
            </w:r>
          </w:p>
        </w:tc>
        <w:tc>
          <w:tcPr>
            <w:tcW w:w="0" w:type="dxa"/>
            <w:vAlign w:val="bottom"/>
          </w:tcPr>
          <w:p>
            <w:pPr>
              <w:spacing w:after="0"/>
              <w:rPr>
                <w:sz w:val="1"/>
                <w:szCs w:val="1"/>
                <w:color w:val="auto"/>
              </w:rPr>
            </w:pPr>
          </w:p>
        </w:tc>
      </w:tr>
      <w:tr>
        <w:trPr>
          <w:trHeight w:val="160"/>
        </w:trPr>
        <w:tc>
          <w:tcPr>
            <w:tcW w:w="3000" w:type="dxa"/>
            <w:vAlign w:val="bottom"/>
          </w:tcPr>
          <w:p>
            <w:pPr>
              <w:ind w:left="22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3000" w:type="dxa"/>
            <w:vAlign w:val="bottom"/>
            <w:shd w:val="clear" w:color="auto" w:fill="CCEEFF"/>
          </w:tcPr>
          <w:p>
            <w:pPr>
              <w:ind w:left="240"/>
              <w:spacing w:after="0" w:line="258"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3"/>
                <w:szCs w:val="23"/>
                <w:color w:val="auto"/>
                <w:vertAlign w:val="superscript"/>
              </w:rPr>
              <w:t>(4)</w:t>
            </w:r>
          </w:p>
        </w:tc>
        <w:tc>
          <w:tcPr>
            <w:tcW w:w="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(0.10)</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(0.18)</w:t>
            </w:r>
          </w:p>
        </w:tc>
        <w:tc>
          <w:tcPr>
            <w:tcW w:w="0" w:type="dxa"/>
            <w:vAlign w:val="bottom"/>
          </w:tcPr>
          <w:p>
            <w:pPr>
              <w:spacing w:after="0"/>
              <w:rPr>
                <w:sz w:val="1"/>
                <w:szCs w:val="1"/>
                <w:color w:val="auto"/>
              </w:rPr>
            </w:pPr>
          </w:p>
        </w:tc>
      </w:tr>
      <w:tr>
        <w:trPr>
          <w:trHeight w:val="155"/>
        </w:trPr>
        <w:tc>
          <w:tcPr>
            <w:tcW w:w="3000" w:type="dxa"/>
            <w:vAlign w:val="bottom"/>
          </w:tcPr>
          <w:p>
            <w:pPr>
              <w:spacing w:after="0" w:line="156" w:lineRule="exact"/>
              <w:rPr>
                <w:sz w:val="20"/>
                <w:szCs w:val="20"/>
                <w:color w:val="auto"/>
              </w:rPr>
            </w:pPr>
            <w:r>
              <w:rPr>
                <w:rFonts w:ascii="Arial" w:cs="Arial" w:eastAsia="Arial" w:hAnsi="Arial"/>
                <w:sz w:val="18"/>
                <w:szCs w:val="18"/>
                <w:b w:val="1"/>
                <w:bCs w:val="1"/>
                <w:color w:val="auto"/>
                <w:w w:val="92"/>
              </w:rPr>
              <w:t>Adjusted net income/diluted earnings</w:t>
            </w: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256</w:t>
            </w:r>
          </w:p>
        </w:tc>
        <w:tc>
          <w:tcPr>
            <w:tcW w:w="16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1.83</w:t>
            </w:r>
          </w:p>
        </w:tc>
        <w:tc>
          <w:tcPr>
            <w:tcW w:w="16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153</w:t>
            </w:r>
          </w:p>
        </w:tc>
        <w:tc>
          <w:tcPr>
            <w:tcW w:w="16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1.13</w:t>
            </w:r>
          </w:p>
        </w:tc>
        <w:tc>
          <w:tcPr>
            <w:tcW w:w="0" w:type="dxa"/>
            <w:vAlign w:val="bottom"/>
          </w:tcPr>
          <w:p>
            <w:pPr>
              <w:spacing w:after="0"/>
              <w:rPr>
                <w:sz w:val="1"/>
                <w:szCs w:val="1"/>
                <w:color w:val="auto"/>
              </w:rPr>
            </w:pPr>
          </w:p>
        </w:tc>
      </w:tr>
      <w:tr>
        <w:trPr>
          <w:trHeight w:val="208"/>
        </w:trPr>
        <w:tc>
          <w:tcPr>
            <w:tcW w:w="3000" w:type="dxa"/>
            <w:vAlign w:val="bottom"/>
          </w:tcPr>
          <w:p>
            <w:pPr>
              <w:spacing w:after="0" w:line="202" w:lineRule="exact"/>
              <w:rPr>
                <w:sz w:val="20"/>
                <w:szCs w:val="20"/>
                <w:color w:val="auto"/>
              </w:rPr>
            </w:pPr>
            <w:r>
              <w:rPr>
                <w:rFonts w:ascii="Arial" w:cs="Arial" w:eastAsia="Arial" w:hAnsi="Arial"/>
                <w:sz w:val="18"/>
                <w:szCs w:val="18"/>
                <w:b w:val="1"/>
                <w:bCs w:val="1"/>
                <w:color w:val="auto"/>
              </w:rPr>
              <w:t>per share</w:t>
            </w:r>
          </w:p>
        </w:tc>
        <w:tc>
          <w:tcPr>
            <w:tcW w:w="18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Effective tax rate as reported</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23.6 %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25.2 %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Adjusted effective tax rate</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24.3 %</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25.8 %</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15" w:lineRule="exact"/>
        <w:rPr>
          <w:sz w:val="20"/>
          <w:szCs w:val="20"/>
          <w:color w:val="auto"/>
        </w:rPr>
      </w:pPr>
    </w:p>
    <w:p>
      <w:pPr>
        <w:ind w:left="340" w:right="200" w:hanging="332"/>
        <w:spacing w:after="0" w:line="261"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quarters of 2021 and 2020, the Company recorded charges of $47 million ($36 million net of tax) and $45 million ($34 million net of tax) for intangibles amortization arising from prior acquisitions.</w:t>
      </w:r>
    </w:p>
    <w:p>
      <w:pPr>
        <w:spacing w:after="0" w:line="197" w:lineRule="exact"/>
        <w:rPr>
          <w:rFonts w:ascii="Arial" w:cs="Arial" w:eastAsia="Arial" w:hAnsi="Arial"/>
          <w:sz w:val="18"/>
          <w:szCs w:val="18"/>
          <w:color w:val="auto"/>
        </w:rPr>
      </w:pPr>
    </w:p>
    <w:p>
      <w:pPr>
        <w:ind w:left="340" w:right="220" w:hanging="332"/>
        <w:spacing w:after="0" w:line="244"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quarters of 2021 and 2020, the Company recorded net restructuring and other charges of $2 million ($2 million of tax) and $7 million ($5 million net of tax) primarily related to business reorganization activities.</w:t>
      </w: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 of 2020, the Company recorded charges of $37 million ($30 million net of tax) arising from pension plan settlements.</w:t>
      </w:r>
    </w:p>
    <w:p>
      <w:pPr>
        <w:spacing w:after="0" w:line="222" w:lineRule="exact"/>
        <w:rPr>
          <w:rFonts w:ascii="Arial" w:cs="Arial" w:eastAsia="Arial" w:hAnsi="Arial"/>
          <w:sz w:val="18"/>
          <w:szCs w:val="18"/>
          <w:color w:val="auto"/>
        </w:rPr>
      </w:pPr>
    </w:p>
    <w:p>
      <w:pPr>
        <w:ind w:left="340" w:hanging="332"/>
        <w:spacing w:after="0" w:line="324" w:lineRule="auto"/>
        <w:tabs>
          <w:tab w:leader="none" w:pos="33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first quarters of 2021 and 2020, the Company recorded income tax benefits of $11 million and $20 million related to the items described above. Also in the first quarters of 2021 and 2020, the Company recorded tax benefits of $3 million and $4 million related to tax law changes in India.</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 of 9</w:t>
      </w:r>
    </w:p>
    <w:p>
      <w:pPr>
        <w:sectPr>
          <w:pgSz w:w="11900" w:h="16838" w:orient="portrait"/>
          <w:cols w:equalWidth="0" w:num="1">
            <w:col w:w="11240"/>
          </w:cols>
          <w:pgMar w:left="320" w:top="595" w:right="339" w:bottom="144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(Condensed &amp;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80" w:type="dxa"/>
            <w:vAlign w:val="bottom"/>
          </w:tcPr>
          <w:p>
            <w:pPr>
              <w:spacing w:after="0"/>
              <w:rPr>
                <w:sz w:val="20"/>
                <w:szCs w:val="20"/>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1,868</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4,603</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4,250</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4,190</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3,752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c>
          <w:tcPr>
            <w:tcW w:w="1480" w:type="dxa"/>
            <w:vAlign w:val="bottom"/>
          </w:tcPr>
          <w:p>
            <w:pPr>
              <w:spacing w:after="0"/>
              <w:rPr>
                <w:sz w:val="23"/>
                <w:szCs w:val="23"/>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16,180</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15,533</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3,060</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3,756</w:t>
            </w:r>
          </w:p>
        </w:tc>
        <w:tc>
          <w:tcPr>
            <w:tcW w:w="7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3,238</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7,875</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8,631</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Crown Holdings shareholders' equity</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1,664</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1480" w:type="dxa"/>
            <w:vAlign w:val="bottom"/>
          </w:tcPr>
          <w:p>
            <w:pPr>
              <w:spacing w:after="0"/>
              <w:rPr>
                <w:sz w:val="21"/>
                <w:szCs w:val="21"/>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16,180</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15,533</w:t>
            </w:r>
          </w:p>
        </w:tc>
        <w:tc>
          <w:tcPr>
            <w:tcW w:w="1480" w:type="dxa"/>
            <w:vAlign w:val="bottom"/>
          </w:tcPr>
          <w:p>
            <w:pPr>
              <w:spacing w:after="0"/>
              <w:rPr>
                <w:sz w:val="19"/>
                <w:szCs w:val="19"/>
                <w:color w:val="auto"/>
              </w:rPr>
            </w:pPr>
          </w:p>
        </w:tc>
      </w:tr>
      <w:tr>
        <w:trPr>
          <w:trHeight w:val="21"/>
        </w:trPr>
        <w:tc>
          <w:tcPr>
            <w:tcW w:w="1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27"/>
        </w:trPr>
        <w:tc>
          <w:tcPr>
            <w:tcW w:w="15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9</w:t>
      </w:r>
    </w:p>
    <w:p>
      <w:pPr>
        <w:sectPr>
          <w:pgSz w:w="11900" w:h="16838" w:orient="portrait"/>
          <w:cols w:equalWidth="0" w:num="1">
            <w:col w:w="11240"/>
          </w:cols>
          <w:pgMar w:left="320" w:top="595" w:right="339" w:bottom="1440" w:gutter="0" w:footer="0" w:header="0"/>
        </w:sectPr>
      </w:pPr>
    </w:p>
    <w:bookmarkStart w:id="11" w:name="page12"/>
    <w:bookmarkEnd w:id="11"/>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4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expense</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Pension contributions</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4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shd w:val="clear" w:color="auto" w:fill="CCEEFF"/>
          </w:tcPr>
          <w:p>
            <w:pPr>
              <w:ind w:left="460"/>
              <w:spacing w:after="0" w:line="236" w:lineRule="exact"/>
              <w:rPr>
                <w:sz w:val="20"/>
                <w:szCs w:val="20"/>
                <w:color w:val="auto"/>
              </w:rPr>
            </w:pPr>
            <w:r>
              <w:rPr>
                <w:rFonts w:ascii="Arial" w:cs="Arial" w:eastAsia="Arial" w:hAnsi="Arial"/>
                <w:sz w:val="18"/>
                <w:szCs w:val="18"/>
                <w:b w:val="1"/>
                <w:bCs w:val="1"/>
                <w:color w:val="auto"/>
              </w:rPr>
              <w:t xml:space="preserve">Net cash used for operating activities </w:t>
            </w:r>
            <w:r>
              <w:rPr>
                <w:rFonts w:ascii="Arial" w:cs="Arial" w:eastAsia="Arial" w:hAnsi="Arial"/>
                <w:sz w:val="23"/>
                <w:szCs w:val="23"/>
                <w:b w:val="1"/>
                <w:bCs w:val="1"/>
                <w:color w:val="auto"/>
                <w:vertAlign w:val="superscript"/>
              </w:rPr>
              <w:t>(1)</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tcPr>
          <w:p>
            <w:pPr>
              <w:ind w:left="46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change in debt</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stockholders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94"/>
              </w:rPr>
              <w:t>Net cash provided by/(used for) financing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4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6"/>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January 1</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4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30"/>
        </w:trPr>
        <w:tc>
          <w:tcPr>
            <w:tcW w:w="1940" w:type="dxa"/>
            <w:vAlign w:val="bottom"/>
          </w:tcPr>
          <w:p>
            <w:pPr>
              <w:spacing w:after="0"/>
              <w:rPr>
                <w:sz w:val="19"/>
                <w:szCs w:val="19"/>
                <w:color w:val="auto"/>
              </w:rPr>
            </w:pPr>
          </w:p>
        </w:tc>
        <w:tc>
          <w:tcPr>
            <w:tcW w:w="462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Cash and cash equivalents at March 31 </w:t>
            </w:r>
            <w:r>
              <w:rPr>
                <w:rFonts w:ascii="Arial" w:cs="Arial" w:eastAsia="Arial" w:hAnsi="Arial"/>
                <w:sz w:val="23"/>
                <w:szCs w:val="23"/>
                <w:b w:val="1"/>
                <w:bCs w:val="1"/>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w:t>
            </w:r>
          </w:p>
        </w:tc>
        <w:tc>
          <w:tcPr>
            <w:tcW w:w="4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w:t>
            </w:r>
          </w:p>
        </w:tc>
        <w:tc>
          <w:tcPr>
            <w:tcW w:w="192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0"/>
        </w:trPr>
        <w:tc>
          <w:tcPr>
            <w:tcW w:w="19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bl>
    <w:p>
      <w:pPr>
        <w:spacing w:after="0" w:line="80" w:lineRule="exact"/>
        <w:rPr>
          <w:sz w:val="20"/>
          <w:szCs w:val="20"/>
          <w:color w:val="auto"/>
        </w:rPr>
      </w:pPr>
    </w:p>
    <w:p>
      <w:pPr>
        <w:ind w:left="420" w:right="20" w:hanging="331"/>
        <w:spacing w:after="0" w:line="324" w:lineRule="auto"/>
        <w:tabs>
          <w:tab w:leader="none" w:pos="414"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free cash flow is defined by the Company as net cash used for operating activities less capital expenditures and certain other items. A reconciliation from net cash used for operating activities to adjusted free cash flow for the three months ended March 31, 2021 and 2020 follows.</w:t>
      </w:r>
    </w:p>
    <w:p>
      <w:pPr>
        <w:spacing w:after="0" w:line="151" w:lineRule="exact"/>
        <w:rPr>
          <w:rFonts w:ascii="Arial" w:cs="Arial" w:eastAsia="Arial" w:hAnsi="Arial"/>
          <w:sz w:val="16"/>
          <w:szCs w:val="16"/>
          <w:color w:val="auto"/>
        </w:rPr>
      </w:pPr>
    </w:p>
    <w:p>
      <w:pPr>
        <w:ind w:left="400" w:hanging="311"/>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includes $79 and $56 of restricted cash at March 31, 2021 and 2020.</w:t>
      </w:r>
    </w:p>
    <w:p>
      <w:pPr>
        <w:spacing w:after="0" w:line="167"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5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r>
      <w:tr>
        <w:trPr>
          <w:trHeight w:val="270"/>
        </w:trPr>
        <w:tc>
          <w:tcPr>
            <w:tcW w:w="4620" w:type="dxa"/>
            <w:vAlign w:val="bottom"/>
          </w:tcPr>
          <w:p>
            <w:pPr>
              <w:ind w:left="20"/>
              <w:spacing w:after="0"/>
              <w:rPr>
                <w:sz w:val="20"/>
                <w:szCs w:val="20"/>
                <w:color w:val="auto"/>
              </w:rPr>
            </w:pPr>
            <w:r>
              <w:rPr>
                <w:rFonts w:ascii="Arial" w:cs="Arial" w:eastAsia="Arial" w:hAnsi="Arial"/>
                <w:sz w:val="18"/>
                <w:szCs w:val="18"/>
                <w:color w:val="auto"/>
              </w:rPr>
              <w:t xml:space="preserve">Interest included in investing activities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r>
      <w:tr>
        <w:trPr>
          <w:trHeight w:val="21"/>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700" w:hanging="57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benefit of cross currency swaps included in investing activities.</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 of 9</w:t>
      </w:r>
    </w:p>
    <w:p>
      <w:pPr>
        <w:sectPr>
          <w:pgSz w:w="11900" w:h="16838" w:orient="portrait"/>
          <w:cols w:equalWidth="0" w:num="1">
            <w:col w:w="11240"/>
          </w:cols>
          <w:pgMar w:left="320" w:top="595" w:right="339" w:bottom="1440" w:gutter="0" w:footer="0" w:header="0"/>
          <w:type w:val="continuous"/>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Impact of Foreign Currency Translation by Segment - Favorable/(Unfavorable)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4131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7"/>
              </w:rPr>
              <w:t>Three Months Ended March 31, 2021</w:t>
            </w:r>
          </w:p>
        </w:tc>
      </w:tr>
      <w:tr>
        <w:trPr>
          <w:trHeight w:val="237"/>
        </w:trPr>
        <w:tc>
          <w:tcPr>
            <w:tcW w:w="32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 Sales</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Segment Income</w:t>
            </w: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48"/>
        </w:trPr>
        <w:tc>
          <w:tcPr>
            <w:tcW w:w="3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left="740" w:hanging="408"/>
        <w:spacing w:after="0" w:line="241" w:lineRule="auto"/>
        <w:tabs>
          <w:tab w:leader="none" w:pos="73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Reconciliation of Adjusted EBITDA</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18"/>
                <w:szCs w:val="18"/>
                <w:b w:val="1"/>
                <w:bCs w:val="1"/>
                <w:color w:val="auto"/>
              </w:rPr>
              <w:t>Twelve Months</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Twelve Months</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9"/>
                <w:szCs w:val="19"/>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Q1 2021</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Q1 2020</w:t>
            </w:r>
          </w:p>
        </w:tc>
        <w:tc>
          <w:tcPr>
            <w:tcW w:w="18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Full Year 2020</w:t>
            </w:r>
          </w:p>
        </w:tc>
        <w:tc>
          <w:tcPr>
            <w:tcW w:w="18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March 31, 2021</w:t>
            </w: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March 31, 2020</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7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1,180</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Add:</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amortization</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other</w:t>
            </w: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w:t>
            </w: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w:t>
            </w: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debt</w:t>
            </w: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leverage ratio</w:t>
            </w: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4.0x</w:t>
            </w: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3.9x</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4.8x</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gridSpan w:val="2"/>
            <w:vMerge w:val="restart"/>
          </w:tcPr>
          <w:p>
            <w:pPr>
              <w:ind w:left="540"/>
              <w:spacing w:after="0"/>
              <w:rPr>
                <w:sz w:val="20"/>
                <w:szCs w:val="20"/>
                <w:color w:val="auto"/>
              </w:rPr>
            </w:pPr>
            <w:r>
              <w:rPr>
                <w:rFonts w:ascii="Arial" w:cs="Arial" w:eastAsia="Arial" w:hAnsi="Arial"/>
                <w:sz w:val="18"/>
                <w:szCs w:val="18"/>
                <w:color w:val="auto"/>
              </w:rPr>
              <w:t>9 of 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2021-04-19T16:15:11Z</dcterms:created>
  <dcterms:modified xsi:type="dcterms:W3CDTF">2021-04-19T16:15:11Z</dcterms:modified>
</cp:coreProperties>
</file>