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DONAHUE TIMOTHY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00"/>
        <w:spacing w:after="0" w:line="395" w:lineRule="auto"/>
        <w:rPr>
          <w:sz w:val="20"/>
          <w:szCs w:val="20"/>
          <w:color w:val="auto"/>
        </w:rPr>
      </w:pPr>
      <w:r>
        <w:rPr>
          <w:rFonts w:ascii="Arial" w:cs="Arial" w:eastAsia="Arial" w:hAnsi="Arial"/>
          <w:sz w:val="16"/>
          <w:szCs w:val="16"/>
          <w:color w:val="0000FF"/>
        </w:rPr>
        <w:t>HIDDEN RIVER CORPORATE CENTER TWO 14025 RIVEREDGE DRIVE, SUITE 300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TAMPA</w:t>
            </w:r>
          </w:p>
        </w:tc>
        <w:tc>
          <w:tcPr>
            <w:tcW w:w="1140" w:type="dxa"/>
            <w:vAlign w:val="bottom"/>
          </w:tcPr>
          <w:p>
            <w:pPr>
              <w:ind w:left="32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CROWN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CCK</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2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2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420" w:type="dxa"/>
            <w:vAlign w:val="bottom"/>
            <w:gridSpan w:val="3"/>
          </w:tcPr>
          <w:p>
            <w:pPr>
              <w:ind w:left="80"/>
              <w:spacing w:after="0"/>
              <w:rPr>
                <w:sz w:val="20"/>
                <w:szCs w:val="20"/>
                <w:color w:val="auto"/>
              </w:rPr>
            </w:pPr>
            <w:r>
              <w:rPr>
                <w:rFonts w:ascii="Arial" w:cs="Arial" w:eastAsia="Arial" w:hAnsi="Arial"/>
                <w:sz w:val="17"/>
                <w:szCs w:val="17"/>
                <w:color w:val="0000FF"/>
              </w:rPr>
              <w:t>02/24/2023</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29,583</w:t>
            </w:r>
            <w:r>
              <w:rPr>
                <w:rFonts w:ascii="Arial" w:cs="Arial" w:eastAsia="Arial" w:hAnsi="Arial"/>
                <w:sz w:val="22"/>
                <w:szCs w:val="22"/>
                <w:color w:val="008000"/>
                <w:w w:val="91"/>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608,504</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23,282</w:t>
            </w:r>
            <w:r>
              <w:rPr>
                <w:rFonts w:ascii="Arial" w:cs="Arial" w:eastAsia="Arial" w:hAnsi="Arial"/>
                <w:sz w:val="22"/>
                <w:szCs w:val="22"/>
                <w:color w:val="008000"/>
                <w:w w:val="91"/>
                <w:vertAlign w:val="superscript"/>
              </w:rPr>
              <w:t>(2)</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85.58</w:t>
            </w: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585,222</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center"/>
              <w:ind w:right="397"/>
              <w:spacing w:after="0"/>
              <w:rPr>
                <w:sz w:val="20"/>
                <w:szCs w:val="20"/>
                <w:color w:val="auto"/>
              </w:rPr>
            </w:pPr>
            <w:r>
              <w:rPr>
                <w:rFonts w:ascii="Arial" w:cs="Arial" w:eastAsia="Arial" w:hAnsi="Arial"/>
                <w:sz w:val="17"/>
                <w:szCs w:val="17"/>
                <w:color w:val="0000FF"/>
                <w:w w:val="91"/>
              </w:rPr>
              <w:t>732</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7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additional performance-based shares of Restricted Common Stock that vested on February 24, 2023 whose grant was originally reported on a Form 4 filed with the Securities and Exchange Commission on January 13, 2020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29,583. The Return on Invested Capital achieved by the Company compared to the ROIC target yielded 200% payout. As a result, 29,583 additional ROIC Performance Shares were issued.</w:t>
      </w:r>
    </w:p>
    <w:p>
      <w:pPr>
        <w:spacing w:after="0" w:line="14"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transferred to the Company for tax withholding in connection with vesting of restricted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02/27/2023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1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2023-02-27T09:31:09Z</dcterms:created>
  <dcterms:modified xsi:type="dcterms:W3CDTF">2023-02-27T09:31:09Z</dcterms:modified>
</cp:coreProperties>
</file>