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20, 2020</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3160" w:type="dxa"/>
            <w:vAlign w:val="bottom"/>
          </w:tcPr>
          <w:p>
            <w:pPr>
              <w:jc w:val="center"/>
              <w:ind w:right="850"/>
              <w:spacing w:after="0"/>
              <w:rPr>
                <w:sz w:val="20"/>
                <w:szCs w:val="20"/>
                <w:color w:val="auto"/>
              </w:rPr>
            </w:pPr>
            <w:r>
              <w:rPr>
                <w:rFonts w:ascii="Arial" w:cs="Arial" w:eastAsia="Arial" w:hAnsi="Arial"/>
                <w:sz w:val="18"/>
                <w:szCs w:val="18"/>
                <w:b w:val="1"/>
                <w:bCs w:val="1"/>
                <w:color w:val="auto"/>
                <w:w w:val="88"/>
              </w:rPr>
              <w:t>Pennsylvania</w:t>
            </w:r>
          </w:p>
        </w:tc>
        <w:tc>
          <w:tcPr>
            <w:tcW w:w="3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000-50189</w:t>
            </w:r>
          </w:p>
        </w:tc>
        <w:tc>
          <w:tcPr>
            <w:tcW w:w="250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75-3099507</w:t>
            </w:r>
          </w:p>
        </w:tc>
      </w:tr>
      <w:tr>
        <w:trPr>
          <w:trHeight w:val="256"/>
        </w:trPr>
        <w:tc>
          <w:tcPr>
            <w:tcW w:w="3160" w:type="dxa"/>
            <w:vAlign w:val="bottom"/>
          </w:tcPr>
          <w:p>
            <w:pPr>
              <w:jc w:val="center"/>
              <w:ind w:right="87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ind w:right="130"/>
              <w:spacing w:after="0"/>
              <w:rPr>
                <w:sz w:val="20"/>
                <w:szCs w:val="20"/>
                <w:color w:val="auto"/>
              </w:rPr>
            </w:pPr>
            <w:r>
              <w:rPr>
                <w:rFonts w:ascii="Arial" w:cs="Arial" w:eastAsia="Arial" w:hAnsi="Arial"/>
                <w:sz w:val="18"/>
                <w:szCs w:val="18"/>
                <w:color w:val="auto"/>
                <w:w w:val="93"/>
              </w:rPr>
              <w:t>(Commission</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2"/>
              </w:rPr>
              <w:t>(I.R.S. Employer</w:t>
            </w:r>
          </w:p>
        </w:tc>
      </w:tr>
      <w:tr>
        <w:trPr>
          <w:trHeight w:val="230"/>
        </w:trPr>
        <w:tc>
          <w:tcPr>
            <w:tcW w:w="3160" w:type="dxa"/>
            <w:vAlign w:val="bottom"/>
          </w:tcPr>
          <w:p>
            <w:pPr>
              <w:jc w:val="center"/>
              <w:ind w:right="870"/>
              <w:spacing w:after="0"/>
              <w:rPr>
                <w:sz w:val="20"/>
                <w:szCs w:val="20"/>
                <w:color w:val="auto"/>
              </w:rPr>
            </w:pPr>
            <w:r>
              <w:rPr>
                <w:rFonts w:ascii="Arial" w:cs="Arial" w:eastAsia="Arial" w:hAnsi="Arial"/>
                <w:sz w:val="18"/>
                <w:szCs w:val="18"/>
                <w:color w:val="auto"/>
                <w:w w:val="91"/>
              </w:rPr>
              <w:t>Incorporation or Organization)</w:t>
            </w:r>
          </w:p>
        </w:tc>
        <w:tc>
          <w:tcPr>
            <w:tcW w:w="308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600" w:type="dxa"/>
            <w:vAlign w:val="bottom"/>
          </w:tcPr>
          <w:p>
            <w:pPr>
              <w:ind w:left="40"/>
              <w:spacing w:after="0"/>
              <w:rPr>
                <w:sz w:val="20"/>
                <w:szCs w:val="20"/>
                <w:color w:val="auto"/>
              </w:rPr>
            </w:pPr>
            <w:r>
              <w:rPr>
                <w:rFonts w:ascii="Arial" w:cs="Arial" w:eastAsia="Arial" w:hAnsi="Arial"/>
                <w:sz w:val="16"/>
                <w:szCs w:val="16"/>
                <w:color w:val="auto"/>
              </w:rPr>
              <w:t>Title of each class</w:t>
            </w:r>
          </w:p>
        </w:tc>
        <w:tc>
          <w:tcPr>
            <w:tcW w:w="1800" w:type="dxa"/>
            <w:vAlign w:val="bottom"/>
          </w:tcPr>
          <w:p>
            <w:pPr>
              <w:ind w:left="500"/>
              <w:spacing w:after="0"/>
              <w:rPr>
                <w:sz w:val="20"/>
                <w:szCs w:val="20"/>
                <w:color w:val="auto"/>
              </w:rPr>
            </w:pPr>
            <w:r>
              <w:rPr>
                <w:rFonts w:ascii="Arial" w:cs="Arial" w:eastAsia="Arial" w:hAnsi="Arial"/>
                <w:sz w:val="16"/>
                <w:szCs w:val="16"/>
                <w:color w:val="auto"/>
              </w:rPr>
              <w:t>Trading Symbols</w:t>
            </w:r>
          </w:p>
        </w:tc>
        <w:tc>
          <w:tcPr>
            <w:tcW w:w="5480" w:type="dxa"/>
            <w:vAlign w:val="bottom"/>
          </w:tcPr>
          <w:p>
            <w:pPr>
              <w:ind w:left="180"/>
              <w:spacing w:after="0"/>
              <w:rPr>
                <w:sz w:val="20"/>
                <w:szCs w:val="20"/>
                <w:color w:val="auto"/>
              </w:rPr>
            </w:pPr>
            <w:r>
              <w:rPr>
                <w:rFonts w:ascii="Arial" w:cs="Arial" w:eastAsia="Arial" w:hAnsi="Arial"/>
                <w:sz w:val="16"/>
                <w:szCs w:val="16"/>
                <w:color w:val="auto"/>
              </w:rPr>
              <w:t>Name of each exchange on which registered</w:t>
            </w:r>
          </w:p>
        </w:tc>
        <w:tc>
          <w:tcPr>
            <w:tcW w:w="1360" w:type="dxa"/>
            <w:vAlign w:val="bottom"/>
          </w:tcPr>
          <w:p>
            <w:pPr>
              <w:spacing w:after="0"/>
              <w:rPr>
                <w:sz w:val="17"/>
                <w:szCs w:val="17"/>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2600" w:type="dxa"/>
            <w:vAlign w:val="bottom"/>
          </w:tcPr>
          <w:p>
            <w:pPr>
              <w:ind w:left="40"/>
              <w:spacing w:after="0"/>
              <w:rPr>
                <w:sz w:val="20"/>
                <w:szCs w:val="20"/>
                <w:color w:val="auto"/>
              </w:rPr>
            </w:pPr>
            <w:r>
              <w:rPr>
                <w:rFonts w:ascii="Arial" w:cs="Arial" w:eastAsia="Arial" w:hAnsi="Arial"/>
                <w:sz w:val="16"/>
                <w:szCs w:val="16"/>
                <w:color w:val="auto"/>
              </w:rPr>
              <w:t>Common Stock $5.00 Par Value</w:t>
            </w:r>
          </w:p>
        </w:tc>
        <w:tc>
          <w:tcPr>
            <w:tcW w:w="1800" w:type="dxa"/>
            <w:vAlign w:val="bottom"/>
          </w:tcPr>
          <w:p>
            <w:pPr>
              <w:ind w:left="500"/>
              <w:spacing w:after="0"/>
              <w:rPr>
                <w:sz w:val="20"/>
                <w:szCs w:val="20"/>
                <w:color w:val="auto"/>
              </w:rPr>
            </w:pPr>
            <w:r>
              <w:rPr>
                <w:rFonts w:ascii="Arial" w:cs="Arial" w:eastAsia="Arial" w:hAnsi="Arial"/>
                <w:sz w:val="16"/>
                <w:szCs w:val="16"/>
                <w:color w:val="auto"/>
              </w:rPr>
              <w:t>CCK</w:t>
            </w:r>
          </w:p>
        </w:tc>
        <w:tc>
          <w:tcPr>
            <w:tcW w:w="5480" w:type="dxa"/>
            <w:vAlign w:val="bottom"/>
          </w:tcPr>
          <w:p>
            <w:pPr>
              <w:ind w:left="180"/>
              <w:spacing w:after="0"/>
              <w:rPr>
                <w:sz w:val="20"/>
                <w:szCs w:val="20"/>
                <w:color w:val="auto"/>
              </w:rPr>
            </w:pPr>
            <w:r>
              <w:rPr>
                <w:rFonts w:ascii="Arial" w:cs="Arial" w:eastAsia="Arial" w:hAnsi="Arial"/>
                <w:sz w:val="16"/>
                <w:szCs w:val="16"/>
                <w:color w:val="auto"/>
              </w:rPr>
              <w:t>New York Stock Exchange</w:t>
            </w:r>
          </w:p>
        </w:tc>
        <w:tc>
          <w:tcPr>
            <w:tcW w:w="1360" w:type="dxa"/>
            <w:vAlign w:val="bottom"/>
          </w:tcPr>
          <w:p>
            <w:pPr>
              <w:spacing w:after="0"/>
              <w:rPr>
                <w:sz w:val="18"/>
                <w:szCs w:val="18"/>
                <w:color w:val="auto"/>
              </w:rPr>
            </w:pPr>
          </w:p>
        </w:tc>
      </w:tr>
      <w:tr>
        <w:trPr>
          <w:trHeight w:val="257"/>
        </w:trPr>
        <w:tc>
          <w:tcPr>
            <w:tcW w:w="2600" w:type="dxa"/>
            <w:vAlign w:val="bottom"/>
          </w:tcPr>
          <w:p>
            <w:pPr>
              <w:ind w:left="40"/>
              <w:spacing w:after="0"/>
              <w:rPr>
                <w:sz w:val="20"/>
                <w:szCs w:val="20"/>
                <w:color w:val="auto"/>
              </w:rPr>
            </w:pPr>
            <w:r>
              <w:rPr>
                <w:rFonts w:ascii="Arial" w:cs="Arial" w:eastAsia="Arial" w:hAnsi="Arial"/>
                <w:sz w:val="16"/>
                <w:szCs w:val="16"/>
                <w:color w:val="auto"/>
              </w:rPr>
              <w:t>7 3/8% Debentures Due 2026</w:t>
            </w:r>
          </w:p>
        </w:tc>
        <w:tc>
          <w:tcPr>
            <w:tcW w:w="1800" w:type="dxa"/>
            <w:vAlign w:val="bottom"/>
          </w:tcPr>
          <w:p>
            <w:pPr>
              <w:ind w:left="500"/>
              <w:spacing w:after="0"/>
              <w:rPr>
                <w:sz w:val="20"/>
                <w:szCs w:val="20"/>
                <w:color w:val="auto"/>
              </w:rPr>
            </w:pPr>
            <w:r>
              <w:rPr>
                <w:rFonts w:ascii="Arial" w:cs="Arial" w:eastAsia="Arial" w:hAnsi="Arial"/>
                <w:sz w:val="16"/>
                <w:szCs w:val="16"/>
                <w:color w:val="auto"/>
              </w:rPr>
              <w:t>CCK26</w:t>
            </w:r>
          </w:p>
        </w:tc>
        <w:tc>
          <w:tcPr>
            <w:tcW w:w="5480" w:type="dxa"/>
            <w:vAlign w:val="bottom"/>
          </w:tcPr>
          <w:p>
            <w:pPr>
              <w:ind w:left="180"/>
              <w:spacing w:after="0"/>
              <w:rPr>
                <w:sz w:val="20"/>
                <w:szCs w:val="20"/>
                <w:color w:val="auto"/>
              </w:rPr>
            </w:pPr>
            <w:r>
              <w:rPr>
                <w:rFonts w:ascii="Arial" w:cs="Arial" w:eastAsia="Arial" w:hAnsi="Arial"/>
                <w:sz w:val="16"/>
                <w:szCs w:val="16"/>
                <w:color w:val="auto"/>
              </w:rPr>
              <w:t>New York Stock Exchange</w:t>
            </w:r>
          </w:p>
        </w:tc>
        <w:tc>
          <w:tcPr>
            <w:tcW w:w="1360" w:type="dxa"/>
            <w:vAlign w:val="bottom"/>
          </w:tcPr>
          <w:p>
            <w:pPr>
              <w:spacing w:after="0"/>
              <w:rPr>
                <w:sz w:val="22"/>
                <w:szCs w:val="22"/>
                <w:color w:val="auto"/>
              </w:rPr>
            </w:pPr>
          </w:p>
        </w:tc>
      </w:tr>
      <w:tr>
        <w:trPr>
          <w:trHeight w:val="256"/>
        </w:trPr>
        <w:tc>
          <w:tcPr>
            <w:tcW w:w="2600" w:type="dxa"/>
            <w:vAlign w:val="bottom"/>
          </w:tcPr>
          <w:p>
            <w:pPr>
              <w:ind w:left="40"/>
              <w:spacing w:after="0"/>
              <w:rPr>
                <w:sz w:val="20"/>
                <w:szCs w:val="20"/>
                <w:color w:val="auto"/>
              </w:rPr>
            </w:pPr>
            <w:r>
              <w:rPr>
                <w:rFonts w:ascii="Arial" w:cs="Arial" w:eastAsia="Arial" w:hAnsi="Arial"/>
                <w:sz w:val="16"/>
                <w:szCs w:val="16"/>
                <w:color w:val="auto"/>
              </w:rPr>
              <w:t>7 1/2% Debentures Due 2096</w:t>
            </w:r>
          </w:p>
        </w:tc>
        <w:tc>
          <w:tcPr>
            <w:tcW w:w="1800" w:type="dxa"/>
            <w:vAlign w:val="bottom"/>
          </w:tcPr>
          <w:p>
            <w:pPr>
              <w:ind w:left="500"/>
              <w:spacing w:after="0"/>
              <w:rPr>
                <w:sz w:val="20"/>
                <w:szCs w:val="20"/>
                <w:color w:val="auto"/>
              </w:rPr>
            </w:pPr>
            <w:r>
              <w:rPr>
                <w:rFonts w:ascii="Arial" w:cs="Arial" w:eastAsia="Arial" w:hAnsi="Arial"/>
                <w:sz w:val="16"/>
                <w:szCs w:val="16"/>
                <w:color w:val="auto"/>
              </w:rPr>
              <w:t>CCK96</w:t>
            </w:r>
          </w:p>
        </w:tc>
        <w:tc>
          <w:tcPr>
            <w:tcW w:w="5480" w:type="dxa"/>
            <w:vAlign w:val="bottom"/>
          </w:tcPr>
          <w:p>
            <w:pPr>
              <w:ind w:left="180"/>
              <w:spacing w:after="0"/>
              <w:rPr>
                <w:sz w:val="20"/>
                <w:szCs w:val="20"/>
                <w:color w:val="auto"/>
              </w:rPr>
            </w:pPr>
            <w:r>
              <w:rPr>
                <w:rFonts w:ascii="Arial" w:cs="Arial" w:eastAsia="Arial" w:hAnsi="Arial"/>
                <w:sz w:val="16"/>
                <w:szCs w:val="16"/>
                <w:color w:val="auto"/>
              </w:rPr>
              <w:t>New York Stock Exchange</w:t>
            </w:r>
          </w:p>
        </w:tc>
        <w:tc>
          <w:tcPr>
            <w:tcW w:w="1360" w:type="dxa"/>
            <w:vAlign w:val="bottom"/>
          </w:tcPr>
          <w:p>
            <w:pPr>
              <w:spacing w:after="0"/>
              <w:rPr>
                <w:sz w:val="22"/>
                <w:szCs w:val="22"/>
                <w:color w:val="auto"/>
              </w:rPr>
            </w:pPr>
          </w:p>
        </w:tc>
      </w:tr>
      <w:tr>
        <w:trPr>
          <w:trHeight w:val="350"/>
        </w:trPr>
        <w:tc>
          <w:tcPr>
            <w:tcW w:w="26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 w:name="page2"/>
    <w:bookmarkEnd w:id="1"/>
    <w:p>
      <w:pPr>
        <w:jc w:val="right"/>
        <w:ind w:right="3419"/>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Item 2.02. RESULTS OF OPERATIONS AND FINANCIAL CONDITION</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Item 9.01. FINANCIAL STATEMENTS AND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EX-99 PRESS RELEASE</w:t>
      </w:r>
    </w:p>
    <w:p>
      <w:pPr>
        <w:sectPr>
          <w:pgSz w:w="11900" w:h="16838" w:orient="portrait"/>
          <w:cols w:equalWidth="0" w:num="1">
            <w:col w:w="10139"/>
          </w:cols>
          <w:pgMar w:left="320" w:top="1077" w:right="1440" w:bottom="4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139"/>
          </w:cols>
          <w:pgMar w:left="320" w:top="1077" w:right="1440" w:bottom="448"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9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On April 20, 2020 Crown Holdings, Inc. issued a press release announcing its earnings for the first quarter ended March 31, 2020. A copy of the press release is attached hereto as Exhibit 99 and incorporated herein by reference.</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(c)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furnished as an exhibit to this report.</w:t>
      </w:r>
    </w:p>
    <w:p>
      <w:pPr>
        <w:spacing w:after="0" w:line="85" w:lineRule="exact"/>
        <w:rPr>
          <w:sz w:val="20"/>
          <w:szCs w:val="20"/>
          <w:color w:val="auto"/>
        </w:rPr>
      </w:pPr>
    </w:p>
    <w:p>
      <w:pPr>
        <w:ind w:left="500" w:hanging="492"/>
        <w:spacing w:after="0"/>
        <w:tabs>
          <w:tab w:leader="none" w:pos="500" w:val="left"/>
        </w:tabs>
        <w:numPr>
          <w:ilvl w:val="0"/>
          <w:numId w:val="2"/>
        </w:numPr>
        <w:rPr>
          <w:rFonts w:ascii="Arial" w:cs="Arial" w:eastAsia="Arial" w:hAnsi="Arial"/>
          <w:sz w:val="22"/>
          <w:szCs w:val="22"/>
          <w:u w:val="single" w:color="auto"/>
          <w:color w:val="0000FF"/>
        </w:rPr>
      </w:pPr>
      <w:hyperlink w:anchor="page5">
        <w:r>
          <w:rPr>
            <w:rFonts w:ascii="Arial" w:cs="Arial" w:eastAsia="Arial" w:hAnsi="Arial"/>
            <w:sz w:val="22"/>
            <w:szCs w:val="22"/>
            <w:u w:val="single" w:color="auto"/>
            <w:color w:val="0000FF"/>
          </w:rPr>
          <w:t>Press release, dated April 20, 2020, issued by Crown Holdings, Inc.</w:t>
        </w:r>
      </w:hyperlink>
    </w:p>
    <w:p>
      <w:pPr>
        <w:spacing w:after="0" w:line="2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Cover Page Interactive Data File (embedded within the Inline XBRL document).</w:t>
      </w:r>
    </w:p>
    <w:p>
      <w:pPr>
        <w:sectPr>
          <w:pgSz w:w="11900" w:h="16838" w:orient="portrait"/>
          <w:cols w:equalWidth="0" w:num="1">
            <w:col w:w="11240"/>
          </w:cols>
          <w:pgMar w:left="320" w:top="10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017" w:right="3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24130</wp:posOffset>
            </wp:positionV>
            <wp:extent cx="32575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David A. Beaver</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Dated: April 20, 2020</w:t>
      </w:r>
    </w:p>
    <w:p>
      <w:pPr>
        <w:sectPr>
          <w:pgSz w:w="11900" w:h="16838" w:orient="portrait"/>
          <w:cols w:equalWidth="0" w:num="1">
            <w:col w:w="11240"/>
          </w:cols>
          <w:pgMar w:left="320" w:top="1063" w:right="339" w:bottom="10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063" w:right="339" w:bottom="1069" w:gutter="0" w:footer="0" w:header="0"/>
          <w:type w:val="continuous"/>
        </w:sectPr>
      </w:pPr>
    </w:p>
    <w:bookmarkStart w:id="4" w:name="page5"/>
    <w:bookmarkEnd w:id="4"/>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-162560</wp:posOffset>
            </wp:positionV>
            <wp:extent cx="1551305"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306070</wp:posOffset>
            </wp:positionV>
            <wp:extent cx="675513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513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CROWN HOLDINGS, INC. REPORTS FIRST QUARTER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167640</wp:posOffset>
            </wp:positionV>
            <wp:extent cx="675513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5513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Yardley, PA - April 20, 2020. </w:t>
      </w:r>
      <w:r>
        <w:rPr>
          <w:rFonts w:ascii="Arial" w:cs="Arial" w:eastAsia="Arial" w:hAnsi="Arial"/>
          <w:sz w:val="20"/>
          <w:szCs w:val="20"/>
          <w:color w:val="auto"/>
        </w:rPr>
        <w:t>Crown Holdings, Inc. (NYSE: CCK) today announced its financial results for the first quarter ended March</w:t>
      </w:r>
      <w:r>
        <w:rPr>
          <w:rFonts w:ascii="Arial" w:cs="Arial" w:eastAsia="Arial" w:hAnsi="Arial"/>
          <w:sz w:val="20"/>
          <w:szCs w:val="20"/>
          <w:b w:val="1"/>
          <w:bCs w:val="1"/>
          <w:color w:val="auto"/>
        </w:rPr>
        <w:t xml:space="preserve"> </w:t>
      </w:r>
      <w:r>
        <w:rPr>
          <w:rFonts w:ascii="Arial" w:cs="Arial" w:eastAsia="Arial" w:hAnsi="Arial"/>
          <w:sz w:val="20"/>
          <w:szCs w:val="20"/>
          <w:color w:val="auto"/>
        </w:rPr>
        <w:t>31, 2020.</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w:t>
      </w:r>
    </w:p>
    <w:p>
      <w:pPr>
        <w:spacing w:after="0" w:line="21" w:lineRule="exact"/>
        <w:rPr>
          <w:sz w:val="20"/>
          <w:szCs w:val="20"/>
          <w:color w:val="auto"/>
        </w:rPr>
      </w:pPr>
    </w:p>
    <w:p>
      <w:pPr>
        <w:ind w:left="560" w:hanging="255"/>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Earnings per share $0.65 versus $0.77 in 2019</w:t>
      </w:r>
    </w:p>
    <w:p>
      <w:pPr>
        <w:ind w:left="560" w:hanging="255"/>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Adjusted earnings per share increased to $1.13 over the $1.05 in 2019</w:t>
      </w:r>
    </w:p>
    <w:p>
      <w:pPr>
        <w:ind w:left="560" w:hanging="255"/>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Global beverage can volumes grew 10%</w:t>
      </w:r>
    </w:p>
    <w:p>
      <w:pPr>
        <w:ind w:left="560" w:hanging="255"/>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Solid food can demand</w:t>
      </w:r>
    </w:p>
    <w:p>
      <w:pPr>
        <w:ind w:left="560" w:hanging="255"/>
        <w:spacing w:after="0"/>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Previous financial guidance for 2020 withdrawn</w:t>
      </w:r>
    </w:p>
    <w:p>
      <w:pPr>
        <w:spacing w:after="0" w:line="213" w:lineRule="exact"/>
        <w:rPr>
          <w:sz w:val="20"/>
          <w:szCs w:val="20"/>
          <w:color w:val="auto"/>
        </w:rPr>
      </w:pPr>
    </w:p>
    <w:p>
      <w:pPr>
        <w:ind w:right="320"/>
        <w:spacing w:after="0" w:line="287" w:lineRule="auto"/>
        <w:rPr>
          <w:sz w:val="20"/>
          <w:szCs w:val="20"/>
          <w:color w:val="auto"/>
        </w:rPr>
      </w:pPr>
      <w:r>
        <w:rPr>
          <w:rFonts w:ascii="Arial" w:cs="Arial" w:eastAsia="Arial" w:hAnsi="Arial"/>
          <w:sz w:val="19"/>
          <w:szCs w:val="19"/>
          <w:color w:val="auto"/>
        </w:rPr>
        <w:t>Net sales in the first quarter were $2,757 million compared to $2,755 million in the first quarter of 2019 reflecting increased beverage can volumes offset by the pass through of lower raw material costs and $40 million of unfavorable currency translation.</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Income from operations was $246 million in the quarter compared to $262 million in the first quarter of 2019. Segment income was $298 million in the first quarter compared to $315 million in the prior year first quarter. Results for European Food and the nonreportable segments include unfavorable impacts of $18 million and $16 million, respectively, in 2020 versus 2019 arising from the carryover of tinplate costs from the prior year end inventory.</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Commenting on the quarter, Timothy J. Donahue, President and Chief Executive Officer, stated, “The Company performed well during the first quarter in the face of the emerging coronavirus pandemic. Global beverage can shipments advanced 10% in the quarter, led by double-digit gains in Brazil, Canada, Europe, the Middle East and the United States, as consumers increasingly prefer cans for off-premise refreshment occasions. Solid global food can volume reflected a notable increase in North American shipments.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 would like to thank all of our employees and partners, whose dedication and commitment continue to be instrumental as we navigate through this unprecedented situation. Crown has taken a number of specific actions, including increased safety measures at our manufacturing facilities to ensure that they can continue to meet evolving requirements in a safe and timely manner. The health and safety of our employees, customers and partners is our highest priority.</w:t>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“Crown’s products are a crucial part of food and beverage supply chains and also provide critical support to the transportation industry. While our first quarter performance was strong, the uncertainty surrounding the impact and duration of the coronavirus pandemic precludes the Company from putting forth projections regarding future financial performance. The management team will continue to focus on employee safety and meeting customer demand while prudently managing our cost structure and ensuring liquidity as a key element of our near-term capital allocation program.</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remains confident in the future global growth of beverage can demand. With a sound capital structure and a strong liquidity position the Company is committed to implementing all previously announced capacity expansion projects, although certain near-term logistical challenges due to the coronavirus pandemic may delay project timing in some cases.”</w:t>
      </w:r>
    </w:p>
    <w:p>
      <w:pPr>
        <w:spacing w:after="0" w:line="19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Interest expense was $80 million in the first quarter of 2020 compared to $98 million in 2019 primarily due to a combination of lower outstanding debt balances and interest rates.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10</w:t>
      </w:r>
    </w:p>
    <w:p>
      <w:pPr>
        <w:sectPr>
          <w:pgSz w:w="11900" w:h="16838" w:orient="portrait"/>
          <w:cols w:equalWidth="0" w:num="1">
            <w:col w:w="11240"/>
          </w:cols>
          <w:pgMar w:left="320" w:top="852"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-162560</wp:posOffset>
            </wp:positionV>
            <wp:extent cx="155130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36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Net income attributable to Crown Holdings in the first quarter was $88 million compared to $103 million in the first quarter of 2019. Reported diluted earnings per share were $0.65 in the first quarter of 2020 compared to $0.77 in 2019. Adjusted diluted earnings per share increased to $1.13 over the $1.05 in 2019.</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reconciliation from net income and diluted earnings per share to adjusted net income and adjusted diluted earnings per share is provided below.</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In addition to $765 million in cash balances as of March 31, 2020</w:t>
      </w:r>
      <w:r>
        <w:rPr>
          <w:rFonts w:ascii="Arial" w:cs="Arial" w:eastAsia="Arial" w:hAnsi="Arial"/>
          <w:sz w:val="19"/>
          <w:szCs w:val="19"/>
          <w:b w:val="1"/>
          <w:bCs w:val="1"/>
          <w:u w:val="single" w:color="auto"/>
          <w:color w:val="auto"/>
        </w:rPr>
        <w:t>,</w:t>
      </w:r>
      <w:r>
        <w:rPr>
          <w:rFonts w:ascii="Arial" w:cs="Arial" w:eastAsia="Arial" w:hAnsi="Arial"/>
          <w:sz w:val="19"/>
          <w:szCs w:val="19"/>
          <w:color w:val="auto"/>
        </w:rPr>
        <w:t xml:space="preserve"> the Company had $757 million of available borrowing capacity under its $1.65 billion revolving credit facility. The Company’s net total leverage ratio, as defined in its credit agreement, of 4.50 to 1.0 as of March 31 was in compliance with the covenant requiring a ratio of no greater than 5.75 to 1.0. The ratio is calculated at the end of each quarter using debt and cash balances as of the end of the quarter and Consolidated EBITDA, as defined in the agreement, for the most recent four quarters. The required net total leverage ratio under the agreement reduces to 5.0 to 1.0 at December 31, 2020 and to 4.50 to 1.0 at December 31, 2022. The revolving credit facility matures in December 2024.</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Given the uncertainty of the impact and duration of the coronavirus pandemic, the Company has withdrawn its previous guidance for 2020. The dynamic nature of the situation makes it difficult for management to estimate projected performance of its businesses at this time, particularly over the near term.</w:t>
      </w:r>
    </w:p>
    <w:p>
      <w:pPr>
        <w:spacing w:after="0" w:line="209"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In direct response to the pandemic, the Company has taken specific actions to ensure the safety of its employees. Following the implementation of travel and visitor restrictions in February, Crown continues to update its policies as new information becomes available. The Company has taken increased safety measures in its manufacturing facilities to ensure the safety of its employees and the products they produce. In addition, as many Crown employees as possible are working remotely.</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Company’s products are a vital part of the support system to its customers and consumers. In addition to manufacturing containers that provide protection for food and beverages, Crown also produces closures for baby food, aerosol containers for cleaning and sanitizing products and numerous products that provide for the safe and secure transportation of goods in transit.</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is working to ensure that its 239 manufacturing facilities around the world remain operational and are equipped with the resources required to meet continually evolving customer demand by delivering high quality products in a safe and timely manner. Crown is actively monitoring and managing supply chain challenges, including coordinating with the Company’s suppliers to identify and mitigate potential areas of risk and manage inventories.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The Company’s previously announced Board-led strategic review is ongoing and a further update will be provided in due course.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Segment income, adjusted free cash flow, net leverage ratio, adjusted net income, the adjusted effective tax rate, adjusted diluted earnings per share and adjusted EBITDA are not defined terms under U.S. generally accepted accounting principles (non-GAAP measures). Non-GAAP measures should not be considered in isolation or as a substitute for income from operations, net income, diluted earnings per share, effective tax rates, cash flow or leverage ratio data prepared in accordance with U.S. GAAP and may not be comparable to calculations of similarly titled measures by other companies.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10</w:t>
      </w:r>
    </w:p>
    <w:p>
      <w:pPr>
        <w:sectPr>
          <w:pgSz w:w="11900" w:h="16838" w:orient="portrait"/>
          <w:cols w:equalWidth="0" w:num="1">
            <w:col w:w="11240"/>
          </w:cols>
          <w:pgMar w:left="320" w:top="852" w:right="339" w:bottom="1440" w:gutter="0" w:footer="0" w:header="0"/>
        </w:sectPr>
      </w:pPr>
    </w:p>
    <w:bookmarkStart w:id="6" w:name="page7"/>
    <w:bookmarkEnd w:id="6"/>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-162560</wp:posOffset>
            </wp:positionV>
            <wp:extent cx="1551305"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w:t>
      </w:r>
    </w:p>
    <w:p>
      <w:pPr>
        <w:spacing w:after="0" w:line="33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views segment income as the principal measure of the performance of its operations and adjusted free cash flow and net leverage ratio as the principal measure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net income, the adjusted effective tax rate and adjusted diluted earnings per share are useful in evaluating the Company’s operations as these measures are adjusted for items that affect comparability between periods. The Company believes that adjusted free cash flow and net leverage ratio provide meaningful measures of liquidity and a useful basis for assessing the Company’s ability to fund its activities, including the financing of acquisitions, debt repayments, share repurchases or possible future dividends. Segment income, adjusted free cash flow, net leverage ratio, the adjusted effective tax rate, adjusted net income, adjusted diluted earnings per share and adjusted EBITDA are derived from the Company’s Consolidated Statements of Operations and Cash Flows and Consolidated Balance Sheets, as applicable, and reconciliations to segment income, adjusted free cash flow, net leverage ratio, the adjusted effective tax rate, adjusted net income, adjusted diluted earnings per share and adjusted EBITDA can be found within this release.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The Company will hold a conference call tomorrow, April 21, 2020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Arial" w:cs="Arial" w:eastAsia="Arial" w:hAnsi="Arial"/>
          <w:sz w:val="19"/>
          <w:szCs w:val="19"/>
          <w:u w:val="single" w:color="auto"/>
          <w:color w:val="0000FF"/>
        </w:rPr>
        <w:t>www.crowncork.com</w:t>
      </w:r>
      <w:r>
        <w:rPr>
          <w:rFonts w:ascii="Arial" w:cs="Arial" w:eastAsia="Arial" w:hAnsi="Arial"/>
          <w:sz w:val="19"/>
          <w:szCs w:val="19"/>
          <w:color w:val="auto"/>
        </w:rPr>
        <w:t>. A replay of the conference call will be available for a one-week period ending at midnight on April 28. The telephone numbers for the replay are 402-220-0191 or toll free 800-331-1949.</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Except for historical information, all other information in this press release consists of forward-looking statements. These forward-looking statements involve a number of risks, uncertainties and other factors, including the future impact of the coronavirus pandemic on the Company’s operations, including the Company’s ability to continue to operate its plants, distribute its products, and maintain its supply chain; the impact of the coronavirus pandemic on demand for the Company’s products; the future impact of currency translation; the continuation of performance and market trends in 2020, including consumer preference for beverage cans and increasing global beverage can demand; future demand for food cans; and the Company’s ability to successfully complete its previously announced capacity expansion projects and begin production within expected timelines, including any delays related to the pandemic,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2019 and in subsequent filings made prior to or after the date hereof. The Company does not intend to review or revise any particular forward-looking statement in light of future events.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contact:</w:t>
      </w:r>
    </w:p>
    <w:p>
      <w:pPr>
        <w:spacing w:after="0" w:line="16" w:lineRule="exact"/>
        <w:rPr>
          <w:sz w:val="20"/>
          <w:szCs w:val="20"/>
          <w:color w:val="auto"/>
        </w:rPr>
      </w:pPr>
    </w:p>
    <w:p>
      <w:pPr>
        <w:ind w:right="3860"/>
        <w:spacing w:after="0" w:line="297" w:lineRule="auto"/>
        <w:rPr>
          <w:sz w:val="20"/>
          <w:szCs w:val="20"/>
          <w:color w:val="auto"/>
        </w:rPr>
      </w:pPr>
      <w:r>
        <w:rPr>
          <w:rFonts w:ascii="Arial" w:cs="Arial" w:eastAsia="Arial" w:hAnsi="Arial"/>
          <w:sz w:val="18"/>
          <w:szCs w:val="18"/>
          <w:color w:val="auto"/>
        </w:rPr>
        <w:t>Thomas A. Kelly, Senior Vice President and Chief Financial Officer, (215) 698-5341 Thomas T. Fischer, Vice President, Investor Relations and Corporate Affairs, (215) 552-3720</w:t>
      </w:r>
    </w:p>
    <w:p>
      <w:pPr>
        <w:spacing w:after="0" w:line="154" w:lineRule="exact"/>
        <w:rPr>
          <w:sz w:val="20"/>
          <w:szCs w:val="20"/>
          <w:color w:val="auto"/>
        </w:rPr>
      </w:pPr>
    </w:p>
    <w:p>
      <w:pPr>
        <w:ind w:right="1080"/>
        <w:spacing w:after="0" w:line="267" w:lineRule="auto"/>
        <w:rPr>
          <w:sz w:val="20"/>
          <w:szCs w:val="20"/>
          <w:color w:val="auto"/>
        </w:rPr>
      </w:pPr>
      <w:r>
        <w:rPr>
          <w:rFonts w:ascii="Arial" w:cs="Arial" w:eastAsia="Arial" w:hAnsi="Arial"/>
          <w:sz w:val="20"/>
          <w:szCs w:val="20"/>
          <w:b w:val="1"/>
          <w:bCs w:val="1"/>
          <w:color w:val="auto"/>
        </w:rPr>
        <w:t>Unaudited Consolidated Statements of Operations, Balance Sheets, Statements of Cash Flows, Segment Information and Supplemental Data follow.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10</w:t>
      </w:r>
    </w:p>
    <w:p>
      <w:pPr>
        <w:sectPr>
          <w:pgSz w:w="11900" w:h="16838" w:orient="portrait"/>
          <w:cols w:equalWidth="0" w:num="1">
            <w:col w:w="11240"/>
          </w:cols>
          <w:pgMar w:left="320" w:top="852"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5513070</wp:posOffset>
            </wp:positionH>
            <wp:positionV relativeFrom="paragraph">
              <wp:posOffset>-162560</wp:posOffset>
            </wp:positionV>
            <wp:extent cx="15513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340" w:lineRule="exact"/>
        <w:rPr>
          <w:sz w:val="20"/>
          <w:szCs w:val="20"/>
          <w:color w:val="auto"/>
        </w:rPr>
      </w:pPr>
    </w:p>
    <w:p>
      <w:pPr>
        <w:jc w:val="center"/>
        <w:ind w:right="-1040"/>
        <w:spacing w:after="0"/>
        <w:rPr>
          <w:sz w:val="20"/>
          <w:szCs w:val="20"/>
          <w:color w:val="auto"/>
        </w:rPr>
      </w:pPr>
      <w:r>
        <w:rPr>
          <w:rFonts w:ascii="Arial" w:cs="Arial" w:eastAsia="Arial" w:hAnsi="Arial"/>
          <w:sz w:val="20"/>
          <w:szCs w:val="20"/>
          <w:b w:val="1"/>
          <w:bCs w:val="1"/>
          <w:u w:val="single" w:color="auto"/>
          <w:color w:val="auto"/>
        </w:rPr>
        <w:t>Consolidated Statements of Operations (Unaudited)</w:t>
      </w:r>
    </w:p>
    <w:p>
      <w:pPr>
        <w:spacing w:after="0" w:line="2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(in millions, except share and per share data)</w:t>
      </w:r>
    </w:p>
    <w:p>
      <w:pPr>
        <w:spacing w:after="0" w:line="367" w:lineRule="exact"/>
        <w:rPr>
          <w:sz w:val="20"/>
          <w:szCs w:val="20"/>
          <w:color w:val="auto"/>
        </w:rPr>
      </w:pPr>
    </w:p>
    <w:tbl>
      <w:tblPr>
        <w:tblLayout w:type="fixed"/>
        <w:tblInd w:w="158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70"/>
        </w:trPr>
        <w:tc>
          <w:tcPr>
            <w:tcW w:w="4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7"/>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2,757</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2,755</w:t>
            </w:r>
          </w:p>
        </w:tc>
      </w:tr>
      <w:tr>
        <w:trPr>
          <w:trHeight w:val="27"/>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4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2,220</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2,210</w:t>
            </w: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4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64"/>
        </w:trPr>
        <w:tc>
          <w:tcPr>
            <w:tcW w:w="4780" w:type="dxa"/>
            <w:vAlign w:val="bottom"/>
          </w:tcPr>
          <w:p>
            <w:pPr>
              <w:ind w:left="20"/>
              <w:spacing w:after="0" w:line="263" w:lineRule="exact"/>
              <w:rPr>
                <w:sz w:val="20"/>
                <w:szCs w:val="20"/>
                <w:color w:val="auto"/>
              </w:rPr>
            </w:pPr>
            <w:r>
              <w:rPr>
                <w:rFonts w:ascii="Arial" w:cs="Arial" w:eastAsia="Arial" w:hAnsi="Arial"/>
                <w:sz w:val="18"/>
                <w:szCs w:val="18"/>
                <w:b w:val="1"/>
                <w:bCs w:val="1"/>
                <w:color w:val="auto"/>
              </w:rPr>
              <w:t xml:space="preserve">Income from operations </w:t>
            </w:r>
            <w:r>
              <w:rPr>
                <w:rFonts w:ascii="Arial" w:cs="Arial" w:eastAsia="Arial" w:hAnsi="Arial"/>
                <w:sz w:val="25"/>
                <w:szCs w:val="25"/>
                <w:b w:val="1"/>
                <w:bCs w:val="1"/>
                <w:color w:val="auto"/>
                <w:vertAlign w:val="superscript"/>
              </w:rPr>
              <w:t>(1)</w:t>
            </w:r>
          </w:p>
        </w:tc>
        <w:tc>
          <w:tcPr>
            <w:tcW w:w="2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246</w:t>
            </w:r>
          </w:p>
        </w:tc>
        <w:tc>
          <w:tcPr>
            <w:tcW w:w="4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262</w:t>
            </w:r>
          </w:p>
        </w:tc>
      </w:tr>
      <w:tr>
        <w:trPr>
          <w:trHeight w:val="229"/>
        </w:trPr>
        <w:tc>
          <w:tcPr>
            <w:tcW w:w="4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Pension settlements and curtailments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227</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279</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Loss from early extinguishment of debt</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151</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114</w:t>
            </w:r>
          </w:p>
        </w:tc>
        <w:tc>
          <w:tcPr>
            <w:tcW w:w="4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131</w:t>
            </w: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4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297"/>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88</w:t>
            </w:r>
          </w:p>
        </w:tc>
        <w:tc>
          <w:tcPr>
            <w:tcW w:w="6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103</w:t>
            </w:r>
          </w:p>
        </w:tc>
      </w:tr>
      <w:tr>
        <w:trPr>
          <w:trHeight w:val="311"/>
        </w:trPr>
        <w:tc>
          <w:tcPr>
            <w:tcW w:w="478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Earnings per share attributable to Crown</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4780" w:type="dxa"/>
            <w:vAlign w:val="bottom"/>
          </w:tcPr>
          <w:p>
            <w:pPr>
              <w:ind w:left="120"/>
              <w:spacing w:after="0"/>
              <w:rPr>
                <w:sz w:val="20"/>
                <w:szCs w:val="20"/>
                <w:color w:val="auto"/>
              </w:rPr>
            </w:pPr>
            <w:r>
              <w:rPr>
                <w:rFonts w:ascii="Arial" w:cs="Arial" w:eastAsia="Arial" w:hAnsi="Arial"/>
                <w:sz w:val="18"/>
                <w:szCs w:val="18"/>
                <w:b w:val="1"/>
                <w:bCs w:val="1"/>
                <w:color w:val="auto"/>
              </w:rPr>
              <w:t>Holdings common shareholders: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4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0.66</w:t>
            </w:r>
          </w:p>
        </w:tc>
        <w:tc>
          <w:tcPr>
            <w:tcW w:w="4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r>
      <w:tr>
        <w:trPr>
          <w:trHeight w:val="20"/>
        </w:trPr>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0"/>
        </w:trPr>
        <w:tc>
          <w:tcPr>
            <w:tcW w:w="478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0.65</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0.77</w:t>
            </w:r>
          </w:p>
        </w:tc>
      </w:tr>
      <w:tr>
        <w:trPr>
          <w:trHeight w:val="257"/>
        </w:trPr>
        <w:tc>
          <w:tcPr>
            <w:tcW w:w="4780" w:type="dxa"/>
            <w:vAlign w:val="bottom"/>
            <w:tcBorders>
              <w:top w:val="single" w:sz="8" w:color="CCEEFF"/>
              <w:bottom w:val="single" w:sz="8" w:color="auto"/>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spacing w:after="0"/>
              <w:rPr>
                <w:sz w:val="22"/>
                <w:szCs w:val="22"/>
                <w:color w:val="auto"/>
              </w:rPr>
            </w:pPr>
          </w:p>
        </w:tc>
        <w:tc>
          <w:tcPr>
            <w:tcW w:w="400" w:type="dxa"/>
            <w:vAlign w:val="bottom"/>
            <w:tcBorders>
              <w:top w:val="single" w:sz="8" w:color="CCEEFF"/>
              <w:bottom w:val="single" w:sz="8" w:color="auto"/>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spacing w:after="0"/>
              <w:rPr>
                <w:sz w:val="22"/>
                <w:szCs w:val="22"/>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134,082,846</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133,789,042</w:t>
            </w:r>
          </w:p>
        </w:tc>
      </w:tr>
      <w:tr>
        <w:trPr>
          <w:trHeight w:val="243"/>
        </w:trPr>
        <w:tc>
          <w:tcPr>
            <w:tcW w:w="478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135,044,981</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134,437,309</w:t>
            </w:r>
          </w:p>
        </w:tc>
      </w:tr>
      <w:tr>
        <w:trPr>
          <w:trHeight w:val="27"/>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Actual common shares outstanding at quarter end</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134,654,046</w:t>
            </w: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135,352,754</w:t>
            </w:r>
          </w:p>
        </w:tc>
      </w:tr>
      <w:tr>
        <w:trPr>
          <w:trHeight w:val="20"/>
        </w:trPr>
        <w:tc>
          <w:tcPr>
            <w:tcW w:w="4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20" w:right="4059" w:hanging="5010"/>
        <w:spacing w:after="0" w:line="623" w:lineRule="auto"/>
        <w:tabs>
          <w:tab w:leader="none" w:pos="373"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Reconciliation from income from operations to segment income follows. Page 4 of 10</w:t>
      </w:r>
    </w:p>
    <w:p>
      <w:pPr>
        <w:sectPr>
          <w:pgSz w:w="11900" w:h="16838" w:orient="portrait"/>
          <w:cols w:equalWidth="0" w:num="1">
            <w:col w:w="10079"/>
          </w:cols>
          <w:pgMar w:left="380" w:top="85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-162560</wp:posOffset>
            </wp:positionV>
            <wp:extent cx="155130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Consolidated Supplemental Financial Data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Income from Operations to Segment Income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asbestos and restructuring and other.</w:t>
      </w:r>
    </w:p>
    <w:p>
      <w:pPr>
        <w:spacing w:after="0" w:line="132" w:lineRule="exact"/>
        <w:rPr>
          <w:sz w:val="20"/>
          <w:szCs w:val="20"/>
          <w:color w:val="auto"/>
        </w:rPr>
      </w:pPr>
    </w:p>
    <w:tbl>
      <w:tblPr>
        <w:tblLayout w:type="fixed"/>
        <w:tblInd w:w="266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290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30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7"/>
        </w:trPr>
        <w:tc>
          <w:tcPr>
            <w:tcW w:w="30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246</w:t>
            </w:r>
          </w:p>
        </w:tc>
        <w:tc>
          <w:tcPr>
            <w:tcW w:w="4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3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0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Intangibles amortization </w:t>
            </w:r>
            <w:r>
              <w:rPr>
                <w:rFonts w:ascii="Arial" w:cs="Arial" w:eastAsia="Arial" w:hAnsi="Arial"/>
                <w:sz w:val="25"/>
                <w:szCs w:val="25"/>
                <w:color w:val="auto"/>
                <w:vertAlign w:val="superscript"/>
              </w:rPr>
              <w:t>(1)</w:t>
            </w:r>
          </w:p>
        </w:tc>
        <w:tc>
          <w:tcPr>
            <w:tcW w:w="82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Provision for restructuring and other</w:t>
            </w:r>
          </w:p>
        </w:tc>
        <w:tc>
          <w:tcPr>
            <w:tcW w:w="8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0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298</w:t>
            </w:r>
          </w:p>
        </w:tc>
        <w:tc>
          <w:tcPr>
            <w:tcW w:w="4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r>
      <w:tr>
        <w:trPr>
          <w:trHeight w:val="20"/>
        </w:trPr>
        <w:tc>
          <w:tcPr>
            <w:tcW w:w="3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260" w:hanging="252"/>
        <w:spacing w:after="0" w:line="246" w:lineRule="auto"/>
        <w:tabs>
          <w:tab w:leader="none" w:pos="221" w:val="left"/>
        </w:tabs>
        <w:numPr>
          <w:ilvl w:val="0"/>
          <w:numId w:val="5"/>
        </w:numPr>
        <w:rPr>
          <w:rFonts w:ascii="Arial" w:cs="Arial" w:eastAsia="Arial" w:hAnsi="Arial"/>
          <w:sz w:val="14"/>
          <w:szCs w:val="14"/>
          <w:color w:val="auto"/>
        </w:rPr>
      </w:pPr>
      <w:r>
        <w:rPr>
          <w:rFonts w:ascii="Arial" w:cs="Arial" w:eastAsia="Arial" w:hAnsi="Arial"/>
          <w:sz w:val="18"/>
          <w:szCs w:val="18"/>
          <w:color w:val="auto"/>
        </w:rPr>
        <w:t>In addition to intangibles amortization charges, the amount for 2019 also includes $2 of accelerated depreciation related to the closure of a steel beverage can operation in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40005</wp:posOffset>
            </wp:positionV>
            <wp:extent cx="69265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Segment Information</w:t>
      </w:r>
    </w:p>
    <w:p>
      <w:pPr>
        <w:spacing w:after="0" w:line="153" w:lineRule="exact"/>
        <w:rPr>
          <w:sz w:val="20"/>
          <w:szCs w:val="20"/>
          <w:color w:val="auto"/>
        </w:rPr>
      </w:pPr>
    </w:p>
    <w:tbl>
      <w:tblPr>
        <w:tblLayout w:type="fixed"/>
        <w:tblInd w:w="2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6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b w:val="1"/>
                <w:bCs w:val="1"/>
                <w:color w:val="auto"/>
              </w:rPr>
              <w:t>Actual</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Actual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Americas Beverage</w:t>
            </w: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4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European Beverage</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European Food</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Asia Pacific</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Transit Packaging</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reportable segments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2960" w:type="dxa"/>
            <w:vAlign w:val="bottom"/>
            <w:tcBorders>
              <w:bottom w:val="single" w:sz="8" w:color="CCEEFF"/>
            </w:tcBorders>
            <w:gridSpan w:val="3"/>
          </w:tcPr>
          <w:p>
            <w:pPr>
              <w:spacing w:after="0" w:line="270" w:lineRule="exact"/>
              <w:rPr>
                <w:sz w:val="20"/>
                <w:szCs w:val="20"/>
                <w:color w:val="auto"/>
              </w:rPr>
            </w:pPr>
            <w:r>
              <w:rPr>
                <w:rFonts w:ascii="Arial" w:cs="Arial" w:eastAsia="Arial" w:hAnsi="Arial"/>
                <w:sz w:val="18"/>
                <w:szCs w:val="18"/>
                <w:color w:val="auto"/>
              </w:rPr>
              <w:t xml:space="preserve">Non-reportable segments </w:t>
            </w:r>
            <w:r>
              <w:rPr>
                <w:rFonts w:ascii="Arial" w:cs="Arial" w:eastAsia="Arial" w:hAnsi="Arial"/>
                <w:sz w:val="25"/>
                <w:szCs w:val="25"/>
                <w:color w:val="auto"/>
                <w:vertAlign w:val="superscript"/>
              </w:rPr>
              <w:t>(2)</w:t>
            </w:r>
          </w:p>
        </w:tc>
        <w:tc>
          <w:tcPr>
            <w:tcW w:w="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40" w:type="dxa"/>
            <w:vAlign w:val="bottom"/>
            <w:tcBorders>
              <w:bottom w:val="single" w:sz="8" w:color="auto"/>
            </w:tcBorders>
          </w:tcPr>
          <w:p>
            <w:pPr>
              <w:spacing w:after="0"/>
              <w:rPr>
                <w:sz w:val="23"/>
                <w:szCs w:val="23"/>
                <w:color w:val="auto"/>
              </w:rPr>
            </w:pPr>
          </w:p>
        </w:tc>
        <w:tc>
          <w:tcPr>
            <w:tcW w:w="4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296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Total net sales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2,757</w:t>
            </w:r>
          </w:p>
        </w:tc>
        <w:tc>
          <w:tcPr>
            <w:tcW w:w="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Segment Income</w:t>
            </w: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296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Americas Beverage</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European Beverage</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European Food</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Transit Packaging</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60" w:type="dxa"/>
            <w:vAlign w:val="bottom"/>
            <w:gridSpan w:val="3"/>
          </w:tcPr>
          <w:p>
            <w:pPr>
              <w:ind w:left="220"/>
              <w:spacing w:after="0"/>
              <w:rPr>
                <w:sz w:val="20"/>
                <w:szCs w:val="20"/>
                <w:color w:val="auto"/>
              </w:rPr>
            </w:pPr>
            <w:r>
              <w:rPr>
                <w:rFonts w:ascii="Arial" w:cs="Arial" w:eastAsia="Arial" w:hAnsi="Arial"/>
                <w:sz w:val="18"/>
                <w:szCs w:val="18"/>
                <w:color w:val="auto"/>
              </w:rPr>
              <w:t>Total reportable segments</w:t>
            </w: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96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Non-reportable segments </w:t>
            </w:r>
            <w:r>
              <w:rPr>
                <w:rFonts w:ascii="Arial" w:cs="Arial" w:eastAsia="Arial" w:hAnsi="Arial"/>
                <w:sz w:val="25"/>
                <w:szCs w:val="25"/>
                <w:color w:val="auto"/>
                <w:vertAlign w:val="superscript"/>
              </w:rPr>
              <w:t>(2)</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w w:val="96"/>
              </w:rPr>
              <w:t>Corporate and other unallocated items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Total segment income</w:t>
            </w: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60" w:hanging="252"/>
        <w:spacing w:after="0" w:line="277"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8"/>
          <w:szCs w:val="18"/>
          <w:color w:val="auto"/>
        </w:rPr>
        <w:t>Includes the Company's food can and closures businesses in North America, aerosol can businesses in North America and Europe, the promotional packaging business in Europe, and tooling and equipment operations in the U.S. and United Kingdom.</w:t>
      </w:r>
    </w:p>
    <w:p>
      <w:pPr>
        <w:sectPr>
          <w:pgSz w:w="11900" w:h="16838" w:orient="portrait"/>
          <w:cols w:equalWidth="0" w:num="1">
            <w:col w:w="11240"/>
          </w:cols>
          <w:pgMar w:left="320" w:top="852" w:right="339" w:bottom="9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5 of 10</w:t>
      </w:r>
    </w:p>
    <w:p>
      <w:pPr>
        <w:sectPr>
          <w:pgSz w:w="11900" w:h="16838" w:orient="portrait"/>
          <w:cols w:equalWidth="0" w:num="1">
            <w:col w:w="11240"/>
          </w:cols>
          <w:pgMar w:left="320" w:top="852" w:right="339" w:bottom="95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-162560</wp:posOffset>
            </wp:positionV>
            <wp:extent cx="155130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Supplemental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and Diluted Earnings Per Share to Adjusted Net Income and Adjusted Diluted Earnings Per Share</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reported net income and diluted earnings per share attributable to the Company to adjusted net income and adjusted diluted earnings per share, as used elsewhere in this release.</w:t>
      </w:r>
    </w:p>
    <w:p>
      <w:pPr>
        <w:spacing w:after="0" w:line="200" w:lineRule="exact"/>
        <w:rPr>
          <w:sz w:val="20"/>
          <w:szCs w:val="20"/>
          <w:color w:val="auto"/>
        </w:rPr>
      </w:pPr>
    </w:p>
    <w:p>
      <w:pPr>
        <w:spacing w:after="0" w:line="344" w:lineRule="exact"/>
        <w:rPr>
          <w:sz w:val="20"/>
          <w:szCs w:val="20"/>
          <w:color w:val="auto"/>
        </w:rPr>
      </w:pPr>
    </w:p>
    <w:tbl>
      <w:tblPr>
        <w:tblLayout w:type="fixed"/>
        <w:tblInd w:w="23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9"/>
          </w:tcPr>
          <w:p>
            <w:pPr>
              <w:jc w:val="right"/>
              <w:ind w:right="190"/>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income/diluted earnings per share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attributable to Crown Holdings, as reported $</w:t>
            </w: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1"/>
              </w:rPr>
              <w:t>$ 0.65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0.77</w:t>
            </w:r>
          </w:p>
        </w:tc>
        <w:tc>
          <w:tcPr>
            <w:tcW w:w="0" w:type="dxa"/>
            <w:vAlign w:val="bottom"/>
          </w:tcPr>
          <w:p>
            <w:pPr>
              <w:spacing w:after="0"/>
              <w:rPr>
                <w:sz w:val="1"/>
                <w:szCs w:val="1"/>
                <w:color w:val="auto"/>
              </w:rPr>
            </w:pPr>
          </w:p>
        </w:tc>
      </w:tr>
      <w:tr>
        <w:trPr>
          <w:trHeight w:val="270"/>
        </w:trPr>
        <w:tc>
          <w:tcPr>
            <w:tcW w:w="358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Intangibles amortization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Restructuring and other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358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Pension settlements and curtailments </w:t>
            </w:r>
            <w:r>
              <w:rPr>
                <w:rFonts w:ascii="Arial" w:cs="Arial" w:eastAsia="Arial" w:hAnsi="Arial"/>
                <w:sz w:val="25"/>
                <w:szCs w:val="25"/>
                <w:color w:val="auto"/>
                <w:vertAlign w:val="superscript"/>
              </w:rPr>
              <w:t>(3)</w:t>
            </w:r>
          </w:p>
        </w:tc>
        <w:tc>
          <w:tcPr>
            <w:tcW w:w="160" w:type="dxa"/>
            <w:vAlign w:val="bottom"/>
          </w:tcPr>
          <w:p>
            <w:pPr>
              <w:spacing w:after="0"/>
              <w:rPr>
                <w:sz w:val="23"/>
                <w:szCs w:val="23"/>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(0.10)</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240"/>
              <w:spacing w:after="0" w:line="270" w:lineRule="exact"/>
              <w:rPr>
                <w:sz w:val="20"/>
                <w:szCs w:val="20"/>
                <w:color w:val="auto"/>
              </w:rPr>
            </w:pPr>
            <w:r>
              <w:rPr>
                <w:rFonts w:ascii="Arial" w:cs="Arial" w:eastAsia="Arial" w:hAnsi="Arial"/>
                <w:sz w:val="18"/>
                <w:szCs w:val="18"/>
                <w:color w:val="auto"/>
                <w:w w:val="99"/>
              </w:rPr>
              <w:t xml:space="preserve">Loss from early extinguishment of debt </w:t>
            </w:r>
            <w:r>
              <w:rPr>
                <w:rFonts w:ascii="Arial" w:cs="Arial" w:eastAsia="Arial" w:hAnsi="Arial"/>
                <w:sz w:val="25"/>
                <w:szCs w:val="25"/>
                <w:color w:val="auto"/>
                <w:w w:val="99"/>
                <w:vertAlign w:val="superscript"/>
              </w:rPr>
              <w:t>(4)</w:t>
            </w: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0"/>
        </w:trPr>
        <w:tc>
          <w:tcPr>
            <w:tcW w:w="3580" w:type="dxa"/>
            <w:vAlign w:val="bottom"/>
          </w:tcPr>
          <w:p>
            <w:pPr>
              <w:ind w:left="240"/>
              <w:spacing w:after="0" w:line="270" w:lineRule="exact"/>
              <w:rPr>
                <w:sz w:val="20"/>
                <w:szCs w:val="20"/>
                <w:color w:val="auto"/>
              </w:rPr>
            </w:pPr>
            <w:r>
              <w:rPr>
                <w:rFonts w:ascii="Arial" w:cs="Arial" w:eastAsia="Arial" w:hAnsi="Arial"/>
                <w:sz w:val="18"/>
                <w:szCs w:val="18"/>
                <w:color w:val="auto"/>
              </w:rPr>
              <w:t xml:space="preserve">Income taxes </w:t>
            </w:r>
            <w:r>
              <w:rPr>
                <w:rFonts w:ascii="Arial" w:cs="Arial" w:eastAsia="Arial" w:hAnsi="Arial"/>
                <w:sz w:val="25"/>
                <w:szCs w:val="25"/>
                <w:color w:val="auto"/>
                <w:vertAlign w:val="superscript"/>
              </w:rPr>
              <w:t>(5)</w:t>
            </w:r>
          </w:p>
        </w:tc>
        <w:tc>
          <w:tcPr>
            <w:tcW w:w="16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(0.07)</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Noncontrolling interests </w:t>
            </w:r>
            <w:r>
              <w:rPr>
                <w:rFonts w:ascii="Arial" w:cs="Arial" w:eastAsia="Arial" w:hAnsi="Arial"/>
                <w:sz w:val="25"/>
                <w:szCs w:val="25"/>
                <w:color w:val="auto"/>
                <w:vertAlign w:val="superscript"/>
              </w:rPr>
              <w:t>(6)</w:t>
            </w:r>
          </w:p>
        </w:tc>
        <w:tc>
          <w:tcPr>
            <w:tcW w:w="1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8"/>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w w:val="99"/>
              </w:rPr>
              <w:t>Adjusted net income/diluted earnings per</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153</w:t>
            </w:r>
          </w:p>
        </w:tc>
        <w:tc>
          <w:tcPr>
            <w:tcW w:w="100" w:type="dxa"/>
            <w:vAlign w:val="bottom"/>
          </w:tcPr>
          <w:p>
            <w:pPr>
              <w:spacing w:after="0"/>
              <w:rPr>
                <w:sz w:val="18"/>
                <w:szCs w:val="18"/>
                <w:color w:val="auto"/>
              </w:rPr>
            </w:pPr>
          </w:p>
        </w:tc>
        <w:tc>
          <w:tcPr>
            <w:tcW w:w="6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1"/>
              </w:rPr>
              <w:t>$ 1.13</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5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141</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5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78"/>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share</w:t>
            </w:r>
          </w:p>
        </w:tc>
        <w:tc>
          <w:tcPr>
            <w:tcW w:w="160" w:type="dxa"/>
            <w:vAlign w:val="bottom"/>
            <w:tcBorders>
              <w:bottom w:val="single" w:sz="8" w:color="auto"/>
            </w:tcBorders>
            <w:vMerge w:val="continue"/>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5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5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Effective tax rate as reported</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Adjusted effective tax rate</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187" w:lineRule="exact"/>
        <w:rPr>
          <w:sz w:val="20"/>
          <w:szCs w:val="20"/>
          <w:color w:val="auto"/>
        </w:rPr>
      </w:pPr>
    </w:p>
    <w:p>
      <w:pPr>
        <w:jc w:val="both"/>
        <w:ind w:left="400" w:hanging="392"/>
        <w:spacing w:after="0" w:line="263"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first quarters of 2020 and 2019, the Company recorded charges of $45 million ($34 million net of tax) and $47 million ($35 million net of tax) for intangibles amortization arising from prior acquisitions. Also in 2019, the Company recorded a charge of $2 million ($2 million net of tax) for accelerated depreciation related to the closure of a steel beverage can operation in Spain.</w:t>
      </w:r>
    </w:p>
    <w:p>
      <w:pPr>
        <w:spacing w:after="0" w:line="183" w:lineRule="exact"/>
        <w:rPr>
          <w:rFonts w:ascii="Arial" w:cs="Arial" w:eastAsia="Arial" w:hAnsi="Arial"/>
          <w:sz w:val="18"/>
          <w:szCs w:val="18"/>
          <w:color w:val="auto"/>
        </w:rPr>
      </w:pPr>
    </w:p>
    <w:p>
      <w:pPr>
        <w:jc w:val="both"/>
        <w:ind w:left="340" w:hanging="332"/>
        <w:spacing w:after="0" w:line="273"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first quarter of 2020, the Company recorded net restructuring and other charges of $7 million ($5 million net of tax) primarily related to business reorganization activities. In the first quarter of 2019, the Company recorded net restructuring and other charges of $4 million ($5 million net of tax) including charges of $9 million primarily related to headcount reductions in its European Division and $4 million for asset sales and impairments primarily due to losses from a fire at a production facility in Asia, offset by a gain of $9 million arising from a favorable court ruling in a lawsuit brought by one of the Company’s Brazilian subsidiaries claiming it was overcharged by the local tax authorities for indirect taxes paid in prior years. Certain other Brazilian subsidiaries of the Company have similar suits pending in other jurisdictions.</w:t>
      </w:r>
    </w:p>
    <w:p>
      <w:pPr>
        <w:spacing w:after="0" w:line="177" w:lineRule="exact"/>
        <w:rPr>
          <w:rFonts w:ascii="Arial" w:cs="Arial" w:eastAsia="Arial" w:hAnsi="Arial"/>
          <w:sz w:val="17"/>
          <w:szCs w:val="17"/>
          <w:color w:val="auto"/>
        </w:rPr>
      </w:pPr>
    </w:p>
    <w:p>
      <w:pPr>
        <w:jc w:val="both"/>
        <w:ind w:left="340" w:right="26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first quarter of 2020, the Company recorded charges of $37 million ($30 million net of tax) arising from pension plan settlements. In the first quarter of 2019, the Company recorded a curtailment gain of $14 million ($12 million net of tax) in connection with the closure of a defined benefit pension plan to future accrual for active members.</w:t>
      </w:r>
    </w:p>
    <w:p>
      <w:pPr>
        <w:spacing w:after="0" w:line="183" w:lineRule="exact"/>
        <w:rPr>
          <w:rFonts w:ascii="Arial" w:cs="Arial" w:eastAsia="Arial" w:hAnsi="Arial"/>
          <w:sz w:val="18"/>
          <w:szCs w:val="18"/>
          <w:color w:val="auto"/>
        </w:rPr>
      </w:pPr>
    </w:p>
    <w:p>
      <w:pPr>
        <w:ind w:left="340" w:right="7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first quarter of 2019, the Company recorded a charge of $6 million ($5 million net of tax) for the write off of deferred financing fees in connection with the repayment of a portion of its term loan.</w:t>
      </w:r>
    </w:p>
    <w:p>
      <w:pPr>
        <w:sectPr>
          <w:pgSz w:w="11900" w:h="16838" w:orient="portrait"/>
          <w:cols w:equalWidth="0" w:num="1">
            <w:col w:w="11240"/>
          </w:cols>
          <w:pgMar w:left="320" w:top="8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6 of 10</w:t>
      </w:r>
    </w:p>
    <w:p>
      <w:pPr>
        <w:sectPr>
          <w:pgSz w:w="11900" w:h="16838" w:orient="portrait"/>
          <w:cols w:equalWidth="0" w:num="1">
            <w:col w:w="11240"/>
          </w:cols>
          <w:pgMar w:left="320" w:top="852" w:right="339" w:bottom="1440" w:gutter="0" w:footer="0" w:header="0"/>
          <w:type w:val="continuous"/>
        </w:sectPr>
      </w:pPr>
    </w:p>
    <w:bookmarkStart w:id="10" w:name="page11"/>
    <w:bookmarkEnd w:id="10"/>
    <w:p>
      <w:pPr>
        <w:ind w:left="52"/>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5546090</wp:posOffset>
            </wp:positionH>
            <wp:positionV relativeFrom="paragraph">
              <wp:posOffset>-162560</wp:posOffset>
            </wp:positionV>
            <wp:extent cx="1551305"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187" w:lineRule="exact"/>
        <w:rPr>
          <w:sz w:val="20"/>
          <w:szCs w:val="20"/>
          <w:color w:val="auto"/>
        </w:rPr>
      </w:pPr>
    </w:p>
    <w:p>
      <w:pPr>
        <w:ind w:left="52"/>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52"/>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52"/>
        <w:spacing w:after="0"/>
        <w:rPr>
          <w:sz w:val="20"/>
          <w:szCs w:val="20"/>
          <w:color w:val="auto"/>
        </w:rPr>
      </w:pPr>
      <w:r>
        <w:rPr>
          <w:rFonts w:ascii="Arial" w:cs="Arial" w:eastAsia="Arial" w:hAnsi="Arial"/>
          <w:sz w:val="14"/>
          <w:szCs w:val="14"/>
          <w:color w:val="auto"/>
        </w:rPr>
        <w:t>Yardley, PA 19067</w:t>
      </w:r>
    </w:p>
    <w:p>
      <w:pPr>
        <w:spacing w:after="0" w:line="333" w:lineRule="exact"/>
        <w:rPr>
          <w:sz w:val="20"/>
          <w:szCs w:val="20"/>
          <w:color w:val="auto"/>
        </w:rPr>
      </w:pPr>
    </w:p>
    <w:p>
      <w:pPr>
        <w:ind w:left="332" w:hanging="332"/>
        <w:spacing w:after="0" w:line="277" w:lineRule="auto"/>
        <w:tabs>
          <w:tab w:leader="none" w:pos="33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first quarters of 2020 and 2019, the Company recorded income tax benefits of $20 million and $10 million related to the items described above. Also in the first quarter of 2020, the Company recorded a tax benefit of $4 million related to a tax law change in India.</w:t>
      </w:r>
    </w:p>
    <w:p>
      <w:pPr>
        <w:spacing w:after="0" w:line="170" w:lineRule="exact"/>
        <w:rPr>
          <w:rFonts w:ascii="Arial" w:cs="Arial" w:eastAsia="Arial" w:hAnsi="Arial"/>
          <w:sz w:val="18"/>
          <w:szCs w:val="18"/>
          <w:color w:val="auto"/>
        </w:rPr>
      </w:pPr>
    </w:p>
    <w:p>
      <w:pPr>
        <w:ind w:left="332" w:hanging="332"/>
        <w:spacing w:after="0"/>
        <w:tabs>
          <w:tab w:leader="none" w:pos="33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first quarter of 2019, the Company recorded noncontrolling interest charges of $3 million related to the items described above.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Page 7 of 10</w:t>
      </w:r>
    </w:p>
    <w:p>
      <w:pPr>
        <w:sectPr>
          <w:pgSz w:w="11900" w:h="16838" w:orient="portrait"/>
          <w:cols w:equalWidth="0" w:num="1">
            <w:col w:w="11132"/>
          </w:cols>
          <w:pgMar w:left="328" w:top="852" w:right="439" w:bottom="1440" w:gutter="0" w:footer="0" w:header="0"/>
        </w:sectPr>
      </w:pPr>
    </w:p>
    <w:bookmarkStart w:id="11" w:name="page12"/>
    <w:bookmarkEnd w:id="11"/>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-162560</wp:posOffset>
            </wp:positionV>
            <wp:extent cx="155130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 (Condensed &amp; Unaudited)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500" w:type="dxa"/>
            <w:vAlign w:val="bottom"/>
          </w:tcPr>
          <w:p>
            <w:pPr>
              <w:spacing w:after="0"/>
              <w:rPr>
                <w:sz w:val="20"/>
                <w:szCs w:val="20"/>
                <w:color w:val="auto"/>
              </w:rPr>
            </w:pPr>
          </w:p>
        </w:tc>
      </w:tr>
      <w:tr>
        <w:trPr>
          <w:trHeight w:val="27"/>
        </w:trPr>
        <w:tc>
          <w:tcPr>
            <w:tcW w:w="150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15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50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1,554</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1,686</w:t>
            </w:r>
          </w:p>
        </w:tc>
        <w:tc>
          <w:tcPr>
            <w:tcW w:w="150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50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w:t>
            </w:r>
          </w:p>
        </w:tc>
        <w:tc>
          <w:tcPr>
            <w:tcW w:w="150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64"/>
        </w:trPr>
        <w:tc>
          <w:tcPr>
            <w:tcW w:w="1500" w:type="dxa"/>
            <w:vAlign w:val="bottom"/>
          </w:tcPr>
          <w:p>
            <w:pPr>
              <w:spacing w:after="0"/>
              <w:rPr>
                <w:sz w:val="22"/>
                <w:szCs w:val="22"/>
                <w:color w:val="auto"/>
              </w:rPr>
            </w:pPr>
          </w:p>
        </w:tc>
        <w:tc>
          <w:tcPr>
            <w:tcW w:w="5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4,250</w:t>
            </w:r>
          </w:p>
        </w:tc>
        <w:tc>
          <w:tcPr>
            <w:tcW w:w="7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4,024</w:t>
            </w:r>
          </w:p>
        </w:tc>
        <w:tc>
          <w:tcPr>
            <w:tcW w:w="1500" w:type="dxa"/>
            <w:vAlign w:val="bottom"/>
          </w:tcPr>
          <w:p>
            <w:pPr>
              <w:spacing w:after="0"/>
              <w:rPr>
                <w:sz w:val="22"/>
                <w:szCs w:val="22"/>
                <w:color w:val="auto"/>
              </w:rPr>
            </w:pPr>
          </w:p>
        </w:tc>
      </w:tr>
      <w:tr>
        <w:trPr>
          <w:trHeight w:val="263"/>
        </w:trPr>
        <w:tc>
          <w:tcPr>
            <w:tcW w:w="150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500" w:type="dxa"/>
            <w:vAlign w:val="bottom"/>
          </w:tcPr>
          <w:p>
            <w:pPr>
              <w:spacing w:after="0"/>
              <w:rPr>
                <w:sz w:val="22"/>
                <w:szCs w:val="22"/>
                <w:color w:val="auto"/>
              </w:rPr>
            </w:pPr>
          </w:p>
        </w:tc>
      </w:tr>
      <w:tr>
        <w:trPr>
          <w:trHeight w:val="250"/>
        </w:trPr>
        <w:tc>
          <w:tcPr>
            <w:tcW w:w="15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150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50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3,752</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3,734</w:t>
            </w:r>
          </w:p>
        </w:tc>
        <w:tc>
          <w:tcPr>
            <w:tcW w:w="150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1500" w:type="dxa"/>
            <w:vAlign w:val="bottom"/>
          </w:tcPr>
          <w:p>
            <w:pPr>
              <w:spacing w:after="0"/>
              <w:rPr>
                <w:sz w:val="23"/>
                <w:szCs w:val="23"/>
                <w:color w:val="auto"/>
              </w:rPr>
            </w:pPr>
          </w:p>
        </w:tc>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7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500" w:type="dxa"/>
            <w:vAlign w:val="bottom"/>
          </w:tcPr>
          <w:p>
            <w:pPr>
              <w:spacing w:after="0"/>
              <w:rPr>
                <w:sz w:val="23"/>
                <w:szCs w:val="23"/>
                <w:color w:val="auto"/>
              </w:rPr>
            </w:pPr>
          </w:p>
        </w:tc>
      </w:tr>
      <w:tr>
        <w:trPr>
          <w:trHeight w:val="297"/>
        </w:trPr>
        <w:tc>
          <w:tcPr>
            <w:tcW w:w="1500" w:type="dxa"/>
            <w:vAlign w:val="bottom"/>
          </w:tcPr>
          <w:p>
            <w:pPr>
              <w:spacing w:after="0"/>
              <w:rPr>
                <w:sz w:val="24"/>
                <w:szCs w:val="24"/>
                <w:color w:val="auto"/>
              </w:rPr>
            </w:pPr>
          </w:p>
        </w:tc>
        <w:tc>
          <w:tcPr>
            <w:tcW w:w="5040" w:type="dxa"/>
            <w:vAlign w:val="bottom"/>
            <w:tcBorders>
              <w:bottom w:val="single" w:sz="8" w:color="CCEEFF"/>
            </w:tcBorders>
          </w:tcPr>
          <w:p>
            <w:pPr>
              <w:ind w:left="40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15,533</w:t>
            </w:r>
          </w:p>
        </w:tc>
        <w:tc>
          <w:tcPr>
            <w:tcW w:w="7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15,357</w:t>
            </w:r>
          </w:p>
        </w:tc>
        <w:tc>
          <w:tcPr>
            <w:tcW w:w="1500" w:type="dxa"/>
            <w:vAlign w:val="bottom"/>
          </w:tcPr>
          <w:p>
            <w:pPr>
              <w:spacing w:after="0"/>
              <w:rPr>
                <w:sz w:val="24"/>
                <w:szCs w:val="24"/>
                <w:color w:val="auto"/>
              </w:rPr>
            </w:pPr>
          </w:p>
        </w:tc>
      </w:tr>
      <w:tr>
        <w:trPr>
          <w:trHeight w:val="257"/>
        </w:trPr>
        <w:tc>
          <w:tcPr>
            <w:tcW w:w="1500" w:type="dxa"/>
            <w:vAlign w:val="bottom"/>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500" w:type="dxa"/>
            <w:vAlign w:val="bottom"/>
          </w:tcPr>
          <w:p>
            <w:pPr>
              <w:spacing w:after="0"/>
              <w:rPr>
                <w:sz w:val="22"/>
                <w:szCs w:val="22"/>
                <w:color w:val="auto"/>
              </w:rPr>
            </w:pPr>
          </w:p>
        </w:tc>
      </w:tr>
      <w:tr>
        <w:trPr>
          <w:trHeight w:val="270"/>
        </w:trPr>
        <w:tc>
          <w:tcPr>
            <w:tcW w:w="15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50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c>
          <w:tcPr>
            <w:tcW w:w="150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1500" w:type="dxa"/>
            <w:vAlign w:val="bottom"/>
          </w:tcPr>
          <w:p>
            <w:pPr>
              <w:spacing w:after="0"/>
              <w:rPr>
                <w:sz w:val="23"/>
                <w:szCs w:val="23"/>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7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500" w:type="dxa"/>
            <w:vAlign w:val="bottom"/>
          </w:tcPr>
          <w:p>
            <w:pPr>
              <w:spacing w:after="0"/>
              <w:rPr>
                <w:sz w:val="23"/>
                <w:szCs w:val="23"/>
                <w:color w:val="auto"/>
              </w:rPr>
            </w:pPr>
          </w:p>
        </w:tc>
      </w:tr>
      <w:tr>
        <w:trPr>
          <w:trHeight w:val="237"/>
        </w:trPr>
        <w:tc>
          <w:tcPr>
            <w:tcW w:w="1500" w:type="dxa"/>
            <w:vAlign w:val="bottom"/>
          </w:tcPr>
          <w:p>
            <w:pPr>
              <w:spacing w:after="0"/>
              <w:rPr>
                <w:sz w:val="20"/>
                <w:szCs w:val="20"/>
                <w:color w:val="auto"/>
              </w:rPr>
            </w:pPr>
          </w:p>
        </w:tc>
        <w:tc>
          <w:tcPr>
            <w:tcW w:w="5040" w:type="dxa"/>
            <w:vAlign w:val="bottom"/>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3,238</w:t>
            </w:r>
          </w:p>
        </w:tc>
        <w:tc>
          <w:tcPr>
            <w:tcW w:w="7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3,342</w:t>
            </w:r>
          </w:p>
        </w:tc>
        <w:tc>
          <w:tcPr>
            <w:tcW w:w="1500" w:type="dxa"/>
            <w:vAlign w:val="bottom"/>
          </w:tcPr>
          <w:p>
            <w:pPr>
              <w:spacing w:after="0"/>
              <w:rPr>
                <w:sz w:val="20"/>
                <w:szCs w:val="20"/>
                <w:color w:val="auto"/>
              </w:rPr>
            </w:pPr>
          </w:p>
        </w:tc>
      </w:tr>
      <w:tr>
        <w:trPr>
          <w:trHeight w:val="27"/>
        </w:trPr>
        <w:tc>
          <w:tcPr>
            <w:tcW w:w="15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63"/>
        </w:trPr>
        <w:tc>
          <w:tcPr>
            <w:tcW w:w="1500" w:type="dxa"/>
            <w:vAlign w:val="bottom"/>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500" w:type="dxa"/>
            <w:vAlign w:val="bottom"/>
          </w:tcPr>
          <w:p>
            <w:pPr>
              <w:spacing w:after="0"/>
              <w:rPr>
                <w:sz w:val="22"/>
                <w:szCs w:val="22"/>
                <w:color w:val="auto"/>
              </w:rPr>
            </w:pPr>
          </w:p>
        </w:tc>
      </w:tr>
      <w:tr>
        <w:trPr>
          <w:trHeight w:val="243"/>
        </w:trPr>
        <w:tc>
          <w:tcPr>
            <w:tcW w:w="1500" w:type="dxa"/>
            <w:vAlign w:val="bottom"/>
          </w:tcPr>
          <w:p>
            <w:pPr>
              <w:spacing w:after="0"/>
              <w:rPr>
                <w:sz w:val="21"/>
                <w:szCs w:val="21"/>
                <w:color w:val="auto"/>
              </w:rPr>
            </w:pPr>
          </w:p>
        </w:tc>
        <w:tc>
          <w:tcPr>
            <w:tcW w:w="5040" w:type="dxa"/>
            <w:vAlign w:val="bottom"/>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8,631</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8,814</w:t>
            </w:r>
          </w:p>
        </w:tc>
        <w:tc>
          <w:tcPr>
            <w:tcW w:w="150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50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50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5040" w:type="dxa"/>
            <w:vAlign w:val="bottom"/>
          </w:tcPr>
          <w:p>
            <w:pPr>
              <w:ind w:left="40"/>
              <w:spacing w:after="0"/>
              <w:rPr>
                <w:sz w:val="20"/>
                <w:szCs w:val="20"/>
                <w:color w:val="auto"/>
              </w:rPr>
            </w:pPr>
            <w:r>
              <w:rPr>
                <w:rFonts w:ascii="Arial" w:cs="Arial" w:eastAsia="Arial" w:hAnsi="Arial"/>
                <w:sz w:val="18"/>
                <w:szCs w:val="18"/>
                <w:color w:val="auto"/>
              </w:rPr>
              <w:t>Crown Holdings shareholders' equity</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1,664</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1,134</w:t>
            </w:r>
          </w:p>
        </w:tc>
        <w:tc>
          <w:tcPr>
            <w:tcW w:w="150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64"/>
        </w:trPr>
        <w:tc>
          <w:tcPr>
            <w:tcW w:w="1500" w:type="dxa"/>
            <w:vAlign w:val="bottom"/>
          </w:tcPr>
          <w:p>
            <w:pPr>
              <w:spacing w:after="0"/>
              <w:rPr>
                <w:sz w:val="22"/>
                <w:szCs w:val="22"/>
                <w:color w:val="auto"/>
              </w:rPr>
            </w:pPr>
          </w:p>
        </w:tc>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7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500" w:type="dxa"/>
            <w:vAlign w:val="bottom"/>
          </w:tcPr>
          <w:p>
            <w:pPr>
              <w:spacing w:after="0"/>
              <w:rPr>
                <w:sz w:val="22"/>
                <w:szCs w:val="22"/>
                <w:color w:val="auto"/>
              </w:rPr>
            </w:pPr>
          </w:p>
        </w:tc>
      </w:tr>
      <w:tr>
        <w:trPr>
          <w:trHeight w:val="257"/>
        </w:trPr>
        <w:tc>
          <w:tcPr>
            <w:tcW w:w="1500" w:type="dxa"/>
            <w:vAlign w:val="bottom"/>
          </w:tcPr>
          <w:p>
            <w:pPr>
              <w:spacing w:after="0"/>
              <w:rPr>
                <w:sz w:val="22"/>
                <w:szCs w:val="22"/>
                <w:color w:val="auto"/>
              </w:rPr>
            </w:pPr>
          </w:p>
        </w:tc>
        <w:tc>
          <w:tcPr>
            <w:tcW w:w="5040" w:type="dxa"/>
            <w:vAlign w:val="bottom"/>
          </w:tcPr>
          <w:p>
            <w:pPr>
              <w:ind w:left="40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15,533</w:t>
            </w:r>
          </w:p>
        </w:tc>
        <w:tc>
          <w:tcPr>
            <w:tcW w:w="7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15,357</w:t>
            </w:r>
          </w:p>
        </w:tc>
        <w:tc>
          <w:tcPr>
            <w:tcW w:w="1500" w:type="dxa"/>
            <w:vAlign w:val="bottom"/>
          </w:tcPr>
          <w:p>
            <w:pPr>
              <w:spacing w:after="0"/>
              <w:rPr>
                <w:sz w:val="22"/>
                <w:szCs w:val="22"/>
                <w:color w:val="auto"/>
              </w:rPr>
            </w:pPr>
          </w:p>
        </w:tc>
      </w:tr>
      <w:tr>
        <w:trPr>
          <w:trHeight w:val="20"/>
        </w:trPr>
        <w:tc>
          <w:tcPr>
            <w:tcW w:w="15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521"/>
        </w:trPr>
        <w:tc>
          <w:tcPr>
            <w:tcW w:w="15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10</w:t>
      </w:r>
    </w:p>
    <w:p>
      <w:pPr>
        <w:sectPr>
          <w:pgSz w:w="11900" w:h="16838" w:orient="portrait"/>
          <w:cols w:equalWidth="0" w:num="1">
            <w:col w:w="11240"/>
          </w:cols>
          <w:pgMar w:left="320" w:top="852" w:right="339" w:bottom="1440" w:gutter="0" w:footer="0" w:header="0"/>
        </w:sectPr>
      </w:pPr>
    </w:p>
    <w:bookmarkStart w:id="12" w:name="page13"/>
    <w:bookmarkEnd w:id="12"/>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-162560</wp:posOffset>
            </wp:positionV>
            <wp:extent cx="1551305"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 (Condensed &amp;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940" w:type="dxa"/>
            <w:vAlign w:val="bottom"/>
          </w:tcPr>
          <w:p>
            <w:pPr>
              <w:spacing w:after="0"/>
              <w:rPr>
                <w:sz w:val="20"/>
                <w:szCs w:val="20"/>
                <w:color w:val="auto"/>
              </w:rPr>
            </w:pPr>
          </w:p>
        </w:tc>
      </w:tr>
      <w:tr>
        <w:trPr>
          <w:trHeight w:val="27"/>
        </w:trPr>
        <w:tc>
          <w:tcPr>
            <w:tcW w:w="19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r>
      <w:tr>
        <w:trPr>
          <w:trHeight w:val="169"/>
        </w:trPr>
        <w:tc>
          <w:tcPr>
            <w:tcW w:w="19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50"/>
        </w:trPr>
        <w:tc>
          <w:tcPr>
            <w:tcW w:w="196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94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7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3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94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196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94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780" w:type="dxa"/>
            <w:vAlign w:val="bottom"/>
          </w:tcPr>
          <w:p>
            <w:pPr>
              <w:ind w:left="140"/>
              <w:spacing w:after="0"/>
              <w:rPr>
                <w:sz w:val="20"/>
                <w:szCs w:val="20"/>
                <w:color w:val="auto"/>
              </w:rPr>
            </w:pPr>
            <w:r>
              <w:rPr>
                <w:rFonts w:ascii="Arial" w:cs="Arial" w:eastAsia="Arial" w:hAnsi="Arial"/>
                <w:sz w:val="18"/>
                <w:szCs w:val="18"/>
                <w:color w:val="auto"/>
              </w:rPr>
              <w:t>Restructuring and other</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94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196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Pension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94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780" w:type="dxa"/>
            <w:vAlign w:val="bottom"/>
          </w:tcPr>
          <w:p>
            <w:pPr>
              <w:ind w:left="140"/>
              <w:spacing w:after="0"/>
              <w:rPr>
                <w:sz w:val="20"/>
                <w:szCs w:val="20"/>
                <w:color w:val="auto"/>
              </w:rPr>
            </w:pPr>
            <w:r>
              <w:rPr>
                <w:rFonts w:ascii="Arial" w:cs="Arial" w:eastAsia="Arial" w:hAnsi="Arial"/>
                <w:sz w:val="18"/>
                <w:szCs w:val="18"/>
                <w:color w:val="auto"/>
              </w:rPr>
              <w:t>Pension contributions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94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196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94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780" w:type="dxa"/>
            <w:vAlign w:val="bottom"/>
          </w:tcPr>
          <w:p>
            <w:pPr>
              <w:ind w:left="140"/>
              <w:spacing w:after="0"/>
              <w:rPr>
                <w:sz w:val="20"/>
                <w:szCs w:val="20"/>
                <w:color w:val="auto"/>
              </w:rPr>
            </w:pPr>
            <w:r>
              <w:rPr>
                <w:rFonts w:ascii="Arial" w:cs="Arial" w:eastAsia="Arial" w:hAnsi="Arial"/>
                <w:sz w:val="18"/>
                <w:szCs w:val="18"/>
                <w:color w:val="auto"/>
              </w:rPr>
              <w:t>Working capital changes and other</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(898)</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(922)</w:t>
            </w:r>
          </w:p>
        </w:tc>
        <w:tc>
          <w:tcPr>
            <w:tcW w:w="194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r>
      <w:tr>
        <w:trPr>
          <w:trHeight w:val="264"/>
        </w:trPr>
        <w:tc>
          <w:tcPr>
            <w:tcW w:w="1960" w:type="dxa"/>
            <w:vAlign w:val="bottom"/>
          </w:tcPr>
          <w:p>
            <w:pPr>
              <w:spacing w:after="0"/>
              <w:rPr>
                <w:sz w:val="22"/>
                <w:szCs w:val="22"/>
                <w:color w:val="auto"/>
              </w:rPr>
            </w:pPr>
          </w:p>
        </w:tc>
        <w:tc>
          <w:tcPr>
            <w:tcW w:w="4780" w:type="dxa"/>
            <w:vAlign w:val="bottom"/>
            <w:shd w:val="clear" w:color="auto" w:fill="CCEEFF"/>
          </w:tcPr>
          <w:p>
            <w:pPr>
              <w:ind w:left="460"/>
              <w:spacing w:after="0" w:line="263" w:lineRule="exact"/>
              <w:rPr>
                <w:sz w:val="20"/>
                <w:szCs w:val="20"/>
                <w:color w:val="auto"/>
              </w:rPr>
            </w:pPr>
            <w:r>
              <w:rPr>
                <w:rFonts w:ascii="Arial" w:cs="Arial" w:eastAsia="Arial" w:hAnsi="Arial"/>
                <w:sz w:val="18"/>
                <w:szCs w:val="18"/>
                <w:b w:val="1"/>
                <w:bCs w:val="1"/>
                <w:color w:val="auto"/>
              </w:rPr>
              <w:t xml:space="preserve">Net cash used for operating activities </w:t>
            </w:r>
            <w:r>
              <w:rPr>
                <w:rFonts w:ascii="Arial" w:cs="Arial" w:eastAsia="Arial" w:hAnsi="Arial"/>
                <w:sz w:val="25"/>
                <w:szCs w:val="25"/>
                <w:b w:val="1"/>
                <w:bCs w:val="1"/>
                <w:color w:val="auto"/>
                <w:vertAlign w:val="superscript"/>
              </w:rPr>
              <w:t>(1)</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(607)</w:t>
            </w:r>
          </w:p>
        </w:tc>
        <w:tc>
          <w:tcPr>
            <w:tcW w:w="3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1940" w:type="dxa"/>
            <w:vAlign w:val="bottom"/>
          </w:tcPr>
          <w:p>
            <w:pPr>
              <w:spacing w:after="0"/>
              <w:rPr>
                <w:sz w:val="22"/>
                <w:szCs w:val="22"/>
                <w:color w:val="auto"/>
              </w:rPr>
            </w:pPr>
          </w:p>
        </w:tc>
      </w:tr>
      <w:tr>
        <w:trPr>
          <w:trHeight w:val="169"/>
        </w:trPr>
        <w:tc>
          <w:tcPr>
            <w:tcW w:w="19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50"/>
        </w:trPr>
        <w:tc>
          <w:tcPr>
            <w:tcW w:w="196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94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78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194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196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Proceeds from sale of assets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94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780" w:type="dxa"/>
            <w:vAlign w:val="bottom"/>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94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r>
      <w:tr>
        <w:trPr>
          <w:trHeight w:val="264"/>
        </w:trPr>
        <w:tc>
          <w:tcPr>
            <w:tcW w:w="1960" w:type="dxa"/>
            <w:vAlign w:val="bottom"/>
          </w:tcPr>
          <w:p>
            <w:pPr>
              <w:spacing w:after="0"/>
              <w:rPr>
                <w:sz w:val="22"/>
                <w:szCs w:val="22"/>
                <w:color w:val="auto"/>
              </w:rPr>
            </w:pPr>
          </w:p>
        </w:tc>
        <w:tc>
          <w:tcPr>
            <w:tcW w:w="4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Net cash used for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940" w:type="dxa"/>
            <w:vAlign w:val="bottom"/>
          </w:tcPr>
          <w:p>
            <w:pPr>
              <w:spacing w:after="0"/>
              <w:rPr>
                <w:sz w:val="22"/>
                <w:szCs w:val="22"/>
                <w:color w:val="auto"/>
              </w:rPr>
            </w:pPr>
          </w:p>
        </w:tc>
      </w:tr>
      <w:tr>
        <w:trPr>
          <w:trHeight w:val="169"/>
        </w:trPr>
        <w:tc>
          <w:tcPr>
            <w:tcW w:w="19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940" w:type="dxa"/>
            <w:vAlign w:val="bottom"/>
          </w:tcPr>
          <w:p>
            <w:pPr>
              <w:spacing w:after="0"/>
              <w:rPr>
                <w:sz w:val="14"/>
                <w:szCs w:val="14"/>
                <w:color w:val="auto"/>
              </w:rPr>
            </w:pPr>
          </w:p>
        </w:tc>
      </w:tr>
      <w:tr>
        <w:trPr>
          <w:trHeight w:val="250"/>
        </w:trPr>
        <w:tc>
          <w:tcPr>
            <w:tcW w:w="196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94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780" w:type="dxa"/>
            <w:vAlign w:val="bottom"/>
          </w:tcPr>
          <w:p>
            <w:pPr>
              <w:ind w:left="140"/>
              <w:spacing w:after="0"/>
              <w:rPr>
                <w:sz w:val="20"/>
                <w:szCs w:val="20"/>
                <w:color w:val="auto"/>
              </w:rPr>
            </w:pPr>
            <w:r>
              <w:rPr>
                <w:rFonts w:ascii="Arial" w:cs="Arial" w:eastAsia="Arial" w:hAnsi="Arial"/>
                <w:sz w:val="18"/>
                <w:szCs w:val="18"/>
                <w:color w:val="auto"/>
              </w:rPr>
              <w:t>Net change in debt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94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196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Dividends paid to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940" w:type="dxa"/>
            <w:vAlign w:val="bottom"/>
          </w:tcPr>
          <w:p>
            <w:pPr>
              <w:spacing w:after="0"/>
              <w:rPr>
                <w:sz w:val="21"/>
                <w:szCs w:val="21"/>
                <w:color w:val="auto"/>
              </w:rPr>
            </w:pPr>
          </w:p>
        </w:tc>
      </w:tr>
      <w:tr>
        <w:trPr>
          <w:trHeight w:val="243"/>
        </w:trPr>
        <w:tc>
          <w:tcPr>
            <w:tcW w:w="1960" w:type="dxa"/>
            <w:vAlign w:val="bottom"/>
          </w:tcPr>
          <w:p>
            <w:pPr>
              <w:spacing w:after="0"/>
              <w:rPr>
                <w:sz w:val="21"/>
                <w:szCs w:val="21"/>
                <w:color w:val="auto"/>
              </w:rPr>
            </w:pPr>
          </w:p>
        </w:tc>
        <w:tc>
          <w:tcPr>
            <w:tcW w:w="4780" w:type="dxa"/>
            <w:vAlign w:val="bottom"/>
          </w:tcPr>
          <w:p>
            <w:pPr>
              <w:ind w:left="140"/>
              <w:spacing w:after="0"/>
              <w:rPr>
                <w:sz w:val="20"/>
                <w:szCs w:val="20"/>
                <w:color w:val="auto"/>
              </w:rPr>
            </w:pPr>
            <w:r>
              <w:rPr>
                <w:rFonts w:ascii="Arial" w:cs="Arial" w:eastAsia="Arial" w:hAnsi="Arial"/>
                <w:sz w:val="18"/>
                <w:szCs w:val="18"/>
                <w:color w:val="auto"/>
              </w:rPr>
              <w:t>Common stock repurchased</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94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1960" w:type="dxa"/>
            <w:vAlign w:val="bottom"/>
          </w:tcPr>
          <w:p>
            <w:pPr>
              <w:spacing w:after="0"/>
              <w:rPr>
                <w:sz w:val="23"/>
                <w:szCs w:val="23"/>
                <w:color w:val="auto"/>
              </w:rPr>
            </w:pPr>
          </w:p>
        </w:tc>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940" w:type="dxa"/>
            <w:vAlign w:val="bottom"/>
          </w:tcPr>
          <w:p>
            <w:pPr>
              <w:spacing w:after="0"/>
              <w:rPr>
                <w:sz w:val="23"/>
                <w:szCs w:val="23"/>
                <w:color w:val="auto"/>
              </w:rPr>
            </w:pPr>
          </w:p>
        </w:tc>
      </w:tr>
      <w:tr>
        <w:trPr>
          <w:trHeight w:val="237"/>
        </w:trPr>
        <w:tc>
          <w:tcPr>
            <w:tcW w:w="1960" w:type="dxa"/>
            <w:vAlign w:val="bottom"/>
          </w:tcPr>
          <w:p>
            <w:pPr>
              <w:spacing w:after="0"/>
              <w:rPr>
                <w:sz w:val="20"/>
                <w:szCs w:val="20"/>
                <w:color w:val="auto"/>
              </w:rPr>
            </w:pPr>
          </w:p>
        </w:tc>
        <w:tc>
          <w:tcPr>
            <w:tcW w:w="4780" w:type="dxa"/>
            <w:vAlign w:val="bottom"/>
          </w:tcPr>
          <w:p>
            <w:pPr>
              <w:ind w:left="46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882</w:t>
            </w:r>
          </w:p>
        </w:tc>
        <w:tc>
          <w:tcPr>
            <w:tcW w:w="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417</w:t>
            </w:r>
          </w:p>
        </w:tc>
        <w:tc>
          <w:tcPr>
            <w:tcW w:w="1940" w:type="dxa"/>
            <w:vAlign w:val="bottom"/>
          </w:tcPr>
          <w:p>
            <w:pPr>
              <w:spacing w:after="0"/>
              <w:rPr>
                <w:sz w:val="20"/>
                <w:szCs w:val="20"/>
                <w:color w:val="auto"/>
              </w:rPr>
            </w:pPr>
          </w:p>
        </w:tc>
      </w:tr>
      <w:tr>
        <w:trPr>
          <w:trHeight w:val="27"/>
        </w:trPr>
        <w:tc>
          <w:tcPr>
            <w:tcW w:w="196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r>
      <w:tr>
        <w:trPr>
          <w:trHeight w:val="169"/>
        </w:trPr>
        <w:tc>
          <w:tcPr>
            <w:tcW w:w="1960" w:type="dxa"/>
            <w:vAlign w:val="bottom"/>
          </w:tcPr>
          <w:p>
            <w:pPr>
              <w:spacing w:after="0"/>
              <w:rPr>
                <w:sz w:val="14"/>
                <w:szCs w:val="14"/>
                <w:color w:val="auto"/>
              </w:rPr>
            </w:pPr>
          </w:p>
        </w:tc>
        <w:tc>
          <w:tcPr>
            <w:tcW w:w="4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940" w:type="dxa"/>
            <w:vAlign w:val="bottom"/>
          </w:tcPr>
          <w:p>
            <w:pPr>
              <w:spacing w:after="0"/>
              <w:rPr>
                <w:sz w:val="14"/>
                <w:szCs w:val="14"/>
                <w:color w:val="auto"/>
              </w:rPr>
            </w:pPr>
          </w:p>
        </w:tc>
      </w:tr>
      <w:tr>
        <w:trPr>
          <w:trHeight w:val="243"/>
        </w:trPr>
        <w:tc>
          <w:tcPr>
            <w:tcW w:w="196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w w:val="94"/>
              </w:rPr>
              <w:t>Effect of exchange rate changes on cash and cash equivalents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94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r>
      <w:tr>
        <w:trPr>
          <w:trHeight w:val="263"/>
        </w:trPr>
        <w:tc>
          <w:tcPr>
            <w:tcW w:w="1960" w:type="dxa"/>
            <w:vAlign w:val="bottom"/>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940" w:type="dxa"/>
            <w:vAlign w:val="bottom"/>
          </w:tcPr>
          <w:p>
            <w:pPr>
              <w:spacing w:after="0"/>
              <w:rPr>
                <w:sz w:val="22"/>
                <w:szCs w:val="22"/>
                <w:color w:val="auto"/>
              </w:rPr>
            </w:pPr>
          </w:p>
        </w:tc>
      </w:tr>
      <w:tr>
        <w:trPr>
          <w:trHeight w:val="243"/>
        </w:trPr>
        <w:tc>
          <w:tcPr>
            <w:tcW w:w="196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w:t>
            </w:r>
          </w:p>
        </w:tc>
        <w:tc>
          <w:tcPr>
            <w:tcW w:w="194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1960" w:type="dxa"/>
            <w:vAlign w:val="bottom"/>
          </w:tcPr>
          <w:p>
            <w:pPr>
              <w:spacing w:after="0"/>
              <w:rPr>
                <w:sz w:val="23"/>
                <w:szCs w:val="23"/>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January 1</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c>
          <w:tcPr>
            <w:tcW w:w="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w:t>
            </w:r>
          </w:p>
        </w:tc>
        <w:tc>
          <w:tcPr>
            <w:tcW w:w="1940" w:type="dxa"/>
            <w:vAlign w:val="bottom"/>
          </w:tcPr>
          <w:p>
            <w:pPr>
              <w:spacing w:after="0"/>
              <w:rPr>
                <w:sz w:val="23"/>
                <w:szCs w:val="23"/>
                <w:color w:val="auto"/>
              </w:rPr>
            </w:pPr>
          </w:p>
        </w:tc>
      </w:tr>
      <w:tr>
        <w:trPr>
          <w:trHeight w:val="264"/>
        </w:trPr>
        <w:tc>
          <w:tcPr>
            <w:tcW w:w="196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940" w:type="dxa"/>
            <w:vAlign w:val="bottom"/>
          </w:tcPr>
          <w:p>
            <w:pPr>
              <w:spacing w:after="0"/>
              <w:rPr>
                <w:sz w:val="22"/>
                <w:szCs w:val="22"/>
                <w:color w:val="auto"/>
              </w:rPr>
            </w:pPr>
          </w:p>
        </w:tc>
      </w:tr>
      <w:tr>
        <w:trPr>
          <w:trHeight w:val="270"/>
        </w:trPr>
        <w:tc>
          <w:tcPr>
            <w:tcW w:w="1960" w:type="dxa"/>
            <w:vAlign w:val="bottom"/>
          </w:tcPr>
          <w:p>
            <w:pPr>
              <w:spacing w:after="0"/>
              <w:rPr>
                <w:sz w:val="23"/>
                <w:szCs w:val="23"/>
                <w:color w:val="auto"/>
              </w:rPr>
            </w:pPr>
          </w:p>
        </w:tc>
        <w:tc>
          <w:tcPr>
            <w:tcW w:w="4780" w:type="dxa"/>
            <w:vAlign w:val="bottom"/>
            <w:tcBorders>
              <w:bottom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b w:val="1"/>
                <w:bCs w:val="1"/>
                <w:color w:val="auto"/>
              </w:rPr>
              <w:t xml:space="preserve">Cash and cash equivalents at March 31 </w:t>
            </w:r>
            <w:r>
              <w:rPr>
                <w:rFonts w:ascii="Arial" w:cs="Arial" w:eastAsia="Arial" w:hAnsi="Arial"/>
                <w:sz w:val="25"/>
                <w:szCs w:val="25"/>
                <w:b w:val="1"/>
                <w:bCs w:val="1"/>
                <w:color w:val="auto"/>
                <w:vertAlign w:val="superscript"/>
              </w:rPr>
              <w:t>(2)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821</w:t>
            </w:r>
          </w:p>
        </w:tc>
        <w:tc>
          <w:tcPr>
            <w:tcW w:w="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348</w:t>
            </w:r>
          </w:p>
        </w:tc>
        <w:tc>
          <w:tcPr>
            <w:tcW w:w="1940" w:type="dxa"/>
            <w:vAlign w:val="bottom"/>
          </w:tcPr>
          <w:p>
            <w:pPr>
              <w:spacing w:after="0"/>
              <w:rPr>
                <w:sz w:val="23"/>
                <w:szCs w:val="23"/>
                <w:color w:val="auto"/>
              </w:rPr>
            </w:pPr>
          </w:p>
        </w:tc>
      </w:tr>
      <w:tr>
        <w:trPr>
          <w:trHeight w:val="20"/>
        </w:trPr>
        <w:tc>
          <w:tcPr>
            <w:tcW w:w="19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82"/>
        </w:trPr>
        <w:tc>
          <w:tcPr>
            <w:tcW w:w="1960" w:type="dxa"/>
            <w:vAlign w:val="bottom"/>
            <w:tcBorders>
              <w:bottom w:val="single" w:sz="8" w:color="9A9A9A"/>
            </w:tcBorders>
          </w:tcPr>
          <w:p>
            <w:pPr>
              <w:spacing w:after="0"/>
              <w:rPr>
                <w:sz w:val="7"/>
                <w:szCs w:val="7"/>
                <w:color w:val="auto"/>
              </w:rPr>
            </w:pPr>
          </w:p>
        </w:tc>
        <w:tc>
          <w:tcPr>
            <w:tcW w:w="47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47" w:lineRule="exact"/>
        <w:rPr>
          <w:sz w:val="20"/>
          <w:szCs w:val="20"/>
          <w:color w:val="auto"/>
        </w:rPr>
      </w:pPr>
    </w:p>
    <w:p>
      <w:pPr>
        <w:ind w:left="400" w:right="380" w:hanging="325"/>
        <w:spacing w:after="0" w:line="342" w:lineRule="auto"/>
        <w:tabs>
          <w:tab w:leader="none" w:pos="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free cash flow is defined by the Company as net cash used for operating activities less capital expenditures and certain other items. A reconciliation from net cash used for operating activities to adjusted free cash flow for the three months ended March 31, 2020 and 2019 follows.</w:t>
      </w:r>
    </w:p>
    <w:p>
      <w:pPr>
        <w:spacing w:after="0" w:line="123" w:lineRule="exact"/>
        <w:rPr>
          <w:rFonts w:ascii="Arial" w:cs="Arial" w:eastAsia="Arial" w:hAnsi="Arial"/>
          <w:sz w:val="16"/>
          <w:szCs w:val="16"/>
          <w:color w:val="auto"/>
        </w:rPr>
      </w:pPr>
    </w:p>
    <w:p>
      <w:pPr>
        <w:ind w:left="400" w:hanging="32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and cash equivalents includes $56 and $47 of restricted cash at March 31, 2020 and 2019.</w:t>
      </w:r>
    </w:p>
    <w:p>
      <w:pPr>
        <w:spacing w:after="0" w:line="167" w:lineRule="exact"/>
        <w:rPr>
          <w:sz w:val="20"/>
          <w:szCs w:val="20"/>
          <w:color w:val="auto"/>
        </w:rPr>
      </w:pPr>
    </w:p>
    <w:tbl>
      <w:tblPr>
        <w:tblLayout w:type="fixed"/>
        <w:tblInd w:w="2820" w:type="dxa"/>
        <w:tblCellMar>
          <w:top w:w="0" w:type="dxa"/>
          <w:left w:w="0" w:type="dxa"/>
          <w:bottom w:w="0" w:type="dxa"/>
          <w:right w:w="0" w:type="dxa"/>
        </w:tblCellMar>
      </w:tblPr>
      <w:tr>
        <w:trPr>
          <w:trHeight w:val="234"/>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for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(607)</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r>
      <w:tr>
        <w:trPr>
          <w:trHeight w:val="270"/>
        </w:trPr>
        <w:tc>
          <w:tcPr>
            <w:tcW w:w="33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Interest included in investing activities </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57"/>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w:t>
            </w:r>
          </w:p>
        </w:tc>
        <w:tc>
          <w:tcPr>
            <w:tcW w:w="3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w:t>
            </w: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color w:val="auto"/>
        </w:rPr>
        <w:t>(3) Interest benefit of cross currency swap included in investing activities.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10</w:t>
      </w:r>
    </w:p>
    <w:p>
      <w:pPr>
        <w:sectPr>
          <w:pgSz w:w="11900" w:h="16838" w:orient="portrait"/>
          <w:cols w:equalWidth="0" w:num="1">
            <w:col w:w="11240"/>
          </w:cols>
          <w:pgMar w:left="320" w:top="852" w:right="339" w:bottom="1440" w:gutter="0" w:footer="0" w:header="0"/>
        </w:sectPr>
      </w:pPr>
    </w:p>
    <w:bookmarkStart w:id="13" w:name="page14"/>
    <w:bookmarkEnd w:id="13"/>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-162560</wp:posOffset>
            </wp:positionV>
            <wp:extent cx="1551305" cy="497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u w:val="single" w:color="auto"/>
          <w:color w:val="auto"/>
        </w:rPr>
        <w:t>Consolidated Supplemental Data (Unaudited)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Impact of Foreign Currency Translation by Segment - Favorable/(Unfavorable)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2862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Net Sales</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4"/>
              </w:rPr>
              <w:t>Segment Income</w:t>
            </w:r>
          </w:p>
        </w:tc>
      </w:tr>
      <w:tr>
        <w:trPr>
          <w:trHeight w:val="27"/>
        </w:trPr>
        <w:tc>
          <w:tcPr>
            <w:tcW w:w="3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color w:val="auto"/>
              </w:rPr>
              <w:t>Americas Beverage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European Beverage</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European Food</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Transit Packaging</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Non-Reportable</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r>
      <w:tr>
        <w:trPr>
          <w:trHeight w:val="237"/>
        </w:trPr>
        <w:tc>
          <w:tcPr>
            <w:tcW w:w="38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8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r>
      <w:tr>
        <w:trPr>
          <w:trHeight w:val="27"/>
        </w:trPr>
        <w:tc>
          <w:tcPr>
            <w:tcW w:w="3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740" w:right="200" w:hanging="408"/>
        <w:spacing w:after="0" w:line="25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multiplying or dividing, as appropriate, the current U.S. dollar results by current year average foreign exchange rates and then multiplying or dividing, as appropriate, those amounts by the applicable prior year average foreign exchange rates.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398"/>
        </w:trPr>
        <w:tc>
          <w:tcPr>
            <w:tcW w:w="27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Twelve Months Ended</w:t>
            </w:r>
          </w:p>
        </w:tc>
      </w:tr>
      <w:tr>
        <w:trPr>
          <w:trHeight w:val="270"/>
        </w:trPr>
        <w:tc>
          <w:tcPr>
            <w:tcW w:w="2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Q1 2020</w:t>
            </w:r>
          </w:p>
        </w:tc>
        <w:tc>
          <w:tcPr>
            <w:tcW w:w="240" w:type="dxa"/>
            <w:vAlign w:val="bottom"/>
          </w:tcPr>
          <w:p>
            <w:pPr>
              <w:spacing w:after="0"/>
              <w:rPr>
                <w:sz w:val="23"/>
                <w:szCs w:val="23"/>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Q1 2019</w:t>
            </w:r>
          </w:p>
        </w:tc>
        <w:tc>
          <w:tcPr>
            <w:tcW w:w="180" w:type="dxa"/>
            <w:vAlign w:val="bottom"/>
          </w:tcPr>
          <w:p>
            <w:pPr>
              <w:spacing w:after="0"/>
              <w:rPr>
                <w:sz w:val="23"/>
                <w:szCs w:val="23"/>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Full Year 2019</w:t>
            </w:r>
          </w:p>
        </w:tc>
        <w:tc>
          <w:tcPr>
            <w:tcW w:w="220" w:type="dxa"/>
            <w:vAlign w:val="bottom"/>
          </w:tcPr>
          <w:p>
            <w:pPr>
              <w:spacing w:after="0"/>
              <w:rPr>
                <w:sz w:val="23"/>
                <w:szCs w:val="23"/>
                <w:color w:val="auto"/>
              </w:rPr>
            </w:pPr>
          </w:p>
        </w:tc>
        <w:tc>
          <w:tcPr>
            <w:tcW w:w="2120" w:type="dxa"/>
            <w:vAlign w:val="bottom"/>
          </w:tcPr>
          <w:p>
            <w:pPr>
              <w:jc w:val="right"/>
              <w:ind w:right="490"/>
              <w:spacing w:after="0"/>
              <w:rPr>
                <w:sz w:val="20"/>
                <w:szCs w:val="20"/>
                <w:color w:val="auto"/>
              </w:rPr>
            </w:pPr>
            <w:r>
              <w:rPr>
                <w:rFonts w:ascii="Arial" w:cs="Arial" w:eastAsia="Arial" w:hAnsi="Arial"/>
                <w:sz w:val="18"/>
                <w:szCs w:val="18"/>
                <w:b w:val="1"/>
                <w:bCs w:val="1"/>
                <w:color w:val="auto"/>
              </w:rPr>
              <w:t>March 31, 2020</w:t>
            </w:r>
          </w:p>
        </w:tc>
      </w:tr>
      <w:tr>
        <w:trPr>
          <w:trHeight w:val="27"/>
        </w:trPr>
        <w:tc>
          <w:tcPr>
            <w:tcW w:w="2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3"/>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246</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262</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1,196</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1,180</w:t>
            </w: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7"/>
        </w:trPr>
        <w:tc>
          <w:tcPr>
            <w:tcW w:w="2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Intangibles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3580" w:type="dxa"/>
            <w:vAlign w:val="bottom"/>
            <w:gridSpan w:val="2"/>
          </w:tcPr>
          <w:p>
            <w:pPr>
              <w:ind w:left="280"/>
              <w:spacing w:after="0"/>
              <w:rPr>
                <w:sz w:val="20"/>
                <w:szCs w:val="20"/>
                <w:color w:val="auto"/>
              </w:rPr>
            </w:pPr>
            <w:r>
              <w:rPr>
                <w:rFonts w:ascii="Arial" w:cs="Arial" w:eastAsia="Arial" w:hAnsi="Arial"/>
                <w:sz w:val="18"/>
                <w:szCs w:val="18"/>
                <w:color w:val="auto"/>
              </w:rPr>
              <w:t>Provision for restructuring and other</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2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3"/>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Segment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1,381</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w:t>
            </w: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2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r>
      <w:tr>
        <w:trPr>
          <w:trHeight w:val="257"/>
        </w:trPr>
        <w:tc>
          <w:tcPr>
            <w:tcW w:w="358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381</w:t>
            </w:r>
          </w:p>
        </w:tc>
        <w:tc>
          <w:tcPr>
            <w:tcW w:w="3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392</w:t>
            </w:r>
          </w:p>
        </w:tc>
        <w:tc>
          <w:tcPr>
            <w:tcW w:w="3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1,702</w:t>
            </w:r>
          </w:p>
        </w:tc>
        <w:tc>
          <w:tcPr>
            <w:tcW w:w="3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1,691</w:t>
            </w:r>
          </w:p>
        </w:tc>
      </w:tr>
      <w:tr>
        <w:trPr>
          <w:trHeight w:val="20"/>
        </w:trPr>
        <w:tc>
          <w:tcPr>
            <w:tcW w:w="2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10 of 10</w:t>
      </w:r>
    </w:p>
    <w:sectPr>
      <w:pgSz w:w="11900" w:h="16838" w:orient="portrait"/>
      <w:cols w:equalWidth="0" w:num="1">
        <w:col w:w="11180"/>
      </w:cols>
      <w:pgMar w:left="320" w:top="85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99"/>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5"/>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2020-04-20T15:47:08Z</dcterms:created>
  <dcterms:modified xsi:type="dcterms:W3CDTF">2020-04-20T15:47:08Z</dcterms:modified>
</cp:coreProperties>
</file>