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5,577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158,322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At March 31, 2020, the Reporting Person owned 5,577 shares of CCK Common Stock under the CCK 401(k)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4,603 performance-based shares of Restricted Common Stock that vested on April 3, 2020 and 3,796 performance-based shares of Restricted Common Stock whose grant was originally reported on a Form 4 filed with the U.S. Securities and Exchange Commission on April 5,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1,938 and on the Return on Invested Capital achieved by the Company compared to the ROIC target varying from 0 to 200% of 1,858.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2020-04-06T13:29:16Z</dcterms:created>
  <dcterms:modified xsi:type="dcterms:W3CDTF">2020-04-06T13:29:16Z</dcterms:modified>
</cp:coreProperties>
</file>