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88"/>
              </w:rPr>
              <w:t>Pennsylvania</w:t>
            </w:r>
          </w:p>
        </w:tc>
        <w:tc>
          <w:tcPr>
            <w:tcW w:w="3320" w:type="dxa"/>
            <w:vAlign w:val="bottom"/>
            <w:gridSpan w:val="4"/>
          </w:tcPr>
          <w:p>
            <w:pPr>
              <w:jc w:val="center"/>
              <w:ind w:left="1156"/>
              <w:spacing w:after="0"/>
              <w:rPr>
                <w:sz w:val="20"/>
                <w:szCs w:val="20"/>
                <w:color w:val="auto"/>
              </w:rPr>
            </w:pPr>
            <w:r>
              <w:rPr>
                <w:rFonts w:ascii="Arial" w:cs="Arial" w:eastAsia="Arial" w:hAnsi="Arial"/>
                <w:sz w:val="18"/>
                <w:szCs w:val="18"/>
                <w:b w:val="1"/>
                <w:bCs w:val="1"/>
                <w:color w:val="auto"/>
                <w:w w:val="90"/>
              </w:rPr>
              <w:t>0-50189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75-3099507</w:t>
            </w:r>
          </w:p>
        </w:tc>
        <w:tc>
          <w:tcPr>
            <w:tcW w:w="0" w:type="dxa"/>
            <w:vAlign w:val="bottom"/>
          </w:tcPr>
          <w:p>
            <w:pPr>
              <w:spacing w:after="0"/>
              <w:rPr>
                <w:sz w:val="1"/>
                <w:szCs w:val="1"/>
                <w:color w:val="auto"/>
              </w:rPr>
            </w:pPr>
          </w:p>
        </w:tc>
      </w:tr>
      <w:tr>
        <w:trPr>
          <w:trHeight w:val="148"/>
        </w:trPr>
        <w:tc>
          <w:tcPr>
            <w:tcW w:w="334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340" w:type="dxa"/>
            <w:vAlign w:val="bottom"/>
          </w:tcPr>
          <w:p>
            <w:pPr>
              <w:jc w:val="center"/>
              <w:ind w:left="318"/>
              <w:spacing w:after="0"/>
              <w:rPr>
                <w:sz w:val="20"/>
                <w:szCs w:val="20"/>
                <w:color w:val="auto"/>
              </w:rPr>
            </w:pPr>
            <w:r>
              <w:rPr>
                <w:rFonts w:ascii="Arial" w:cs="Arial" w:eastAsia="Arial" w:hAnsi="Arial"/>
                <w:sz w:val="14"/>
                <w:szCs w:val="14"/>
                <w:b w:val="1"/>
                <w:bCs w:val="1"/>
                <w:color w:val="auto"/>
                <w:w w:val="95"/>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File Number)</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770 Township Line Road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Yardley, Pennsylvania 19067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3320" w:type="dxa"/>
            <w:vAlign w:val="bottom"/>
            <w:gridSpan w:val="4"/>
          </w:tcPr>
          <w:p>
            <w:pPr>
              <w:jc w:val="center"/>
              <w:ind w:left="916"/>
              <w:spacing w:after="0"/>
              <w:rPr>
                <w:sz w:val="20"/>
                <w:szCs w:val="20"/>
                <w:color w:val="auto"/>
              </w:rPr>
            </w:pPr>
            <w:r>
              <w:rPr>
                <w:rFonts w:ascii="Arial" w:cs="Arial" w:eastAsia="Arial" w:hAnsi="Arial"/>
                <w:sz w:val="18"/>
                <w:szCs w:val="18"/>
                <w:b w:val="1"/>
                <w:bCs w:val="1"/>
                <w:color w:val="auto"/>
                <w:w w:val="90"/>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1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54"/>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40" w:type="dxa"/>
            <w:vAlign w:val="bottom"/>
            <w:gridSpan w:val="6"/>
          </w:tcPr>
          <w:p>
            <w:pPr>
              <w:jc w:val="center"/>
              <w:ind w:left="96"/>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340" w:type="dxa"/>
            <w:vAlign w:val="bottom"/>
            <w:vMerge w:val="restart"/>
          </w:tcPr>
          <w:p>
            <w:pPr>
              <w:jc w:val="center"/>
              <w:ind w:left="29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tcPr>
          <w:p>
            <w:pPr>
              <w:jc w:val="center"/>
              <w:ind w:left="298"/>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90"/>
              </w:rPr>
              <w:t>7 3/8% Debentures Due 2026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90"/>
              </w:rPr>
              <w:t>7 1/2% Debentures Due 2096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OPERATION</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 March 14, 2022,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Purchase Agreement pursuant to which Crown Americas LLC (the “</w:t>
      </w:r>
      <w:r>
        <w:rPr>
          <w:rFonts w:ascii="Arial" w:cs="Arial" w:eastAsia="Arial" w:hAnsi="Arial"/>
          <w:sz w:val="17"/>
          <w:szCs w:val="17"/>
          <w:u w:val="single" w:color="auto"/>
          <w:color w:val="auto"/>
        </w:rPr>
        <w:t>Issuer</w:t>
      </w:r>
      <w:r>
        <w:rPr>
          <w:rFonts w:ascii="Arial" w:cs="Arial" w:eastAsia="Arial" w:hAnsi="Arial"/>
          <w:sz w:val="17"/>
          <w:szCs w:val="17"/>
          <w:color w:val="auto"/>
        </w:rPr>
        <w:t>”) agreed to issue and sell to several purchasers, for whom BNP Paribas Securities Corp., Citigroup Global Markets Inc. and Mizuho Securities USA LLC are acting as representatives, $500,000,000 aggregate principal amount of senior unsecured notes due 2030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Notes will mature on April 1, 2030 and will accrue interest at a rate of 5.250% per year. Interest on the Notes will be payable semi-annually on April 1 and October 1 of each year, beginning on October 1, 2022. The Issuer may redeem some or all of the Notes at any time prior to January 1, 2030 by paying 100% of the principal amount, plus accrued and unpaid interest, if any, to, but excluding, the redemption date, and a make-whole premium. On or after January 1, 2030, the Issuer may redeem some or all of the Notes at any time by paying 100% of the principal amount, plus accrued and unpaid interest, if any, to, but excluding, the redemption date.</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Issuer and the guarantors of the Notes have agreed to file a registration statement with the Securities and Exchange Commission relating to an offer to exchange the Notes for publicly tradeable notes having substantially identical terms.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Notes will be sold in a private placement and resold by the initial purchasers to persons reasonably believed to be qualified institutional buyers pursuant to Rule 144A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ectPr>
          <w:pgSz w:w="11900" w:h="16838" w:orient="portrait"/>
          <w:cols w:equalWidth="0" w:num="1">
            <w:col w:w="10980"/>
          </w:cols>
          <w:pgMar w:left="440"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SECTION 9 - FINANCIAL STATEMENTS AND EXHIBITS</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04" w:lineRule="exact"/>
        <w:rPr>
          <w:sz w:val="20"/>
          <w:szCs w:val="20"/>
          <w:color w:val="auto"/>
        </w:rPr>
      </w:pPr>
    </w:p>
    <w:p>
      <w:pPr>
        <w:jc w:val="both"/>
        <w:ind w:left="1320" w:hanging="1322"/>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10.1</w:t>
      </w:r>
      <w:r>
        <w:rPr>
          <w:sz w:val="20"/>
          <w:szCs w:val="20"/>
          <w:color w:val="auto"/>
        </w:rPr>
        <w:tab/>
      </w:r>
      <w:hyperlink w:anchor="page5">
        <w:r>
          <w:rPr>
            <w:rFonts w:ascii="Arial" w:cs="Arial" w:eastAsia="Arial" w:hAnsi="Arial"/>
            <w:sz w:val="18"/>
            <w:szCs w:val="18"/>
            <w:u w:val="single" w:color="auto"/>
            <w:color w:val="0000EE"/>
          </w:rPr>
          <w:t>Purchase Agreement, dated as of March 14, 2022, by and among the Company, the Issuer, BNP Paribas Securities Corp., Citigroup</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Global Markets Inc. and Mizuho Securities USA LLC, as representatives of the Initial Purchasers named in Schedule I thereto, and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 Guarantors (as defined therein)</w:t>
        </w:r>
      </w:hyperlink>
    </w:p>
    <w:p>
      <w:pPr>
        <w:spacing w:after="0" w:line="76" w:lineRule="exact"/>
        <w:rPr>
          <w:rFonts w:ascii="Arial" w:cs="Arial" w:eastAsia="Arial" w:hAnsi="Arial"/>
          <w:sz w:val="18"/>
          <w:szCs w:val="18"/>
          <w:u w:val="single" w:color="auto"/>
          <w:color w:val="0000EE"/>
        </w:rPr>
      </w:pPr>
    </w:p>
    <w:p>
      <w:pPr>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760"/>
          </w:cols>
          <w:pgMar w:left="440" w:top="297" w:right="69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Treasurer</w:t>
      </w:r>
    </w:p>
    <w:p>
      <w:pPr>
        <w:sectPr>
          <w:pgSz w:w="11900" w:h="16838" w:orient="portrait"/>
          <w:cols w:equalWidth="0" w:num="1">
            <w:col w:w="10560"/>
          </w:cols>
          <w:pgMar w:left="440" w:top="297"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$500,000,000 5.250% Senior Notes due 2030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Initial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Crown Holdings, Inc., a Pennsylvania corporation (“</w:t>
      </w:r>
      <w:r>
        <w:rPr>
          <w:rFonts w:ascii="Arial" w:cs="Arial" w:eastAsia="Arial" w:hAnsi="Arial"/>
          <w:sz w:val="16"/>
          <w:szCs w:val="16"/>
          <w:u w:val="single" w:color="auto"/>
          <w:color w:val="auto"/>
        </w:rPr>
        <w:t>Holdings</w:t>
      </w:r>
      <w:r>
        <w:rPr>
          <w:rFonts w:ascii="Arial" w:cs="Arial" w:eastAsia="Arial" w:hAnsi="Arial"/>
          <w:sz w:val="16"/>
          <w:szCs w:val="16"/>
          <w:color w:val="auto"/>
        </w:rPr>
        <w:t>”), and the indirect parent company of Crown Americas LLC, a Pennsylvania limited liability company (the “</w:t>
      </w:r>
      <w:r>
        <w:rPr>
          <w:rFonts w:ascii="Arial" w:cs="Arial" w:eastAsia="Arial" w:hAnsi="Arial"/>
          <w:sz w:val="16"/>
          <w:szCs w:val="16"/>
          <w:u w:val="single" w:color="auto"/>
          <w:color w:val="auto"/>
        </w:rPr>
        <w:t>Issuer</w:t>
      </w:r>
      <w:r>
        <w:rPr>
          <w:rFonts w:ascii="Arial" w:cs="Arial" w:eastAsia="Arial" w:hAnsi="Arial"/>
          <w:sz w:val="16"/>
          <w:szCs w:val="16"/>
          <w:color w:val="auto"/>
        </w:rPr>
        <w:t xml:space="preserve">”), proposes that the Issuer issue and sell to the several purchasers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Purchasers</w:t>
      </w:r>
      <w:r>
        <w:rPr>
          <w:rFonts w:ascii="Arial" w:cs="Arial" w:eastAsia="Arial" w:hAnsi="Arial"/>
          <w:sz w:val="16"/>
          <w:szCs w:val="16"/>
          <w:color w:val="auto"/>
        </w:rPr>
        <w:t>”), for whom BNP Paribas Securities Corp., Citigroup Global Markets Inc. and Mizuho Securities USA LLC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$500,000,000 aggregate principal amount of their 5.250% Senior Notes due 2030 (the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Initially, the Notes will be fully and unconditionally guaranteed on a senior basis by Holdings and the other guarantors named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(together with Holdings, the “</w:t>
      </w:r>
      <w:r>
        <w:rPr>
          <w:rFonts w:ascii="Arial" w:cs="Arial" w:eastAsia="Arial" w:hAnsi="Arial"/>
          <w:sz w:val="16"/>
          <w:szCs w:val="16"/>
          <w:u w:val="single" w:color="auto"/>
          <w:color w:val="auto"/>
        </w:rPr>
        <w:t>Guarantors</w:t>
      </w:r>
      <w:r>
        <w:rPr>
          <w:rFonts w:ascii="Arial" w:cs="Arial" w:eastAsia="Arial" w:hAnsi="Arial"/>
          <w:sz w:val="16"/>
          <w:szCs w:val="16"/>
          <w:color w:val="auto"/>
        </w:rPr>
        <w:t>”; the Guarantors collectively with the Issuer, the “</w:t>
      </w:r>
      <w:r>
        <w:rPr>
          <w:rFonts w:ascii="Arial" w:cs="Arial" w:eastAsia="Arial" w:hAnsi="Arial"/>
          <w:sz w:val="16"/>
          <w:szCs w:val="16"/>
          <w:u w:val="single" w:color="auto"/>
          <w:color w:val="auto"/>
        </w:rPr>
        <w:t>Companies</w:t>
      </w:r>
      <w:r>
        <w:rPr>
          <w:rFonts w:ascii="Arial" w:cs="Arial" w:eastAsia="Arial" w:hAnsi="Arial"/>
          <w:sz w:val="16"/>
          <w:szCs w:val="16"/>
          <w:color w:val="auto"/>
        </w:rPr>
        <w:t>”). The Notes will be issued pursuant to an indenture to be dated as of March 17, 2022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Issuer, the Guarantors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Notes</w:t>
      </w:r>
    </w:p>
    <w:p>
      <w:pPr>
        <w:sectPr>
          <w:pgSz w:w="11900" w:h="16838" w:orient="portrait"/>
          <w:cols w:equalWidth="0" w:num="1">
            <w:col w:w="11020"/>
          </w:cols>
          <w:pgMar w:left="440" w:top="121" w:right="439" w:bottom="1440" w:gutter="0" w:footer="0" w:header="0"/>
        </w:sectPr>
      </w:pPr>
    </w:p>
    <w:bookmarkStart w:id="5" w:name="page6"/>
    <w:bookmarkEnd w:id="5"/>
    <w:p>
      <w:pPr>
        <w:jc w:val="both"/>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have the benefit of the guarantees (the “</w:t>
      </w:r>
      <w:r>
        <w:rPr>
          <w:rFonts w:ascii="Arial" w:cs="Arial" w:eastAsia="Arial" w:hAnsi="Arial"/>
          <w:sz w:val="18"/>
          <w:szCs w:val="18"/>
          <w:u w:val="single" w:color="auto"/>
          <w:color w:val="auto"/>
        </w:rPr>
        <w:t>Guarantees</w:t>
      </w:r>
      <w:r>
        <w:rPr>
          <w:rFonts w:ascii="Arial" w:cs="Arial" w:eastAsia="Arial" w:hAnsi="Arial"/>
          <w:sz w:val="18"/>
          <w:szCs w:val="18"/>
          <w:color w:val="auto"/>
        </w:rPr>
        <w:t>” and, together with the Notes, the “</w:t>
      </w:r>
      <w:r>
        <w:rPr>
          <w:rFonts w:ascii="Arial" w:cs="Arial" w:eastAsia="Arial" w:hAnsi="Arial"/>
          <w:sz w:val="18"/>
          <w:szCs w:val="18"/>
          <w:u w:val="single" w:color="auto"/>
          <w:color w:val="auto"/>
        </w:rPr>
        <w:t>Securities</w:t>
      </w:r>
      <w:r>
        <w:rPr>
          <w:rFonts w:ascii="Arial" w:cs="Arial" w:eastAsia="Arial" w:hAnsi="Arial"/>
          <w:sz w:val="18"/>
          <w:szCs w:val="18"/>
          <w:color w:val="auto"/>
        </w:rPr>
        <w:t>”) provided for in the Indenture. The use of the neuter in this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shall include the feminine and masculine wherever appropriate. Certain terms used herein are defined in Section 18 hereof.</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Holders of the Securities will also have the benefit of a registration rights agreement to be dated as of March 17, 2022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among the Companies and the Representatives. Pursuant to the Registration Rights Agreement, the Companies will agree to register the Securities under the Act subject to the terms and conditions therein specified.</w:t>
      </w:r>
    </w:p>
    <w:p>
      <w:pPr>
        <w:spacing w:after="0" w:line="184"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This Agreement, the Securities, the Indenture, the Registration Rights Agreement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sale of the Securities to the Initial Purchasers will be made without registration of the Securities under the Act in reliance upon exemptions from the registration requirements of the Act.</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connection with the sale of the Securities, the Companies have prepared a preliminary offering memorandum dated March 14, 2022 (including the information incorporated by reference therein, the “</w:t>
      </w:r>
      <w:r>
        <w:rPr>
          <w:rFonts w:ascii="Arial" w:cs="Arial" w:eastAsia="Arial" w:hAnsi="Arial"/>
          <w:sz w:val="17"/>
          <w:szCs w:val="17"/>
          <w:u w:val="single" w:color="auto"/>
          <w:color w:val="auto"/>
        </w:rPr>
        <w:t>Preliminary Memorandum</w:t>
      </w:r>
      <w:r>
        <w:rPr>
          <w:rFonts w:ascii="Arial" w:cs="Arial" w:eastAsia="Arial" w:hAnsi="Arial"/>
          <w:sz w:val="17"/>
          <w:szCs w:val="17"/>
          <w:color w:val="auto"/>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Arial" w:cs="Arial" w:eastAsia="Arial" w:hAnsi="Arial"/>
          <w:sz w:val="17"/>
          <w:szCs w:val="17"/>
          <w:u w:val="single" w:color="auto"/>
          <w:color w:val="auto"/>
        </w:rPr>
        <w:t>Pricing Disclosure Package</w:t>
      </w:r>
      <w:r>
        <w:rPr>
          <w:rFonts w:ascii="Arial" w:cs="Arial" w:eastAsia="Arial" w:hAnsi="Arial"/>
          <w:sz w:val="17"/>
          <w:szCs w:val="17"/>
          <w:color w:val="auto"/>
        </w:rPr>
        <w:t xml:space="preserve">” shall mean the Preliminary Memorandum, as supplemented or amended by the written communications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Arial" w:cs="Arial" w:eastAsia="Arial" w:hAnsi="Arial"/>
          <w:sz w:val="17"/>
          <w:szCs w:val="17"/>
          <w:u w:val="single" w:color="auto"/>
          <w:color w:val="auto"/>
        </w:rPr>
        <w:t>Time of Execution</w:t>
      </w:r>
      <w:r>
        <w:rPr>
          <w:rFonts w:ascii="Arial" w:cs="Arial" w:eastAsia="Arial" w:hAnsi="Arial"/>
          <w:sz w:val="17"/>
          <w:szCs w:val="17"/>
          <w:color w:val="auto"/>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Arial" w:cs="Arial" w:eastAsia="Arial" w:hAnsi="Arial"/>
          <w:sz w:val="17"/>
          <w:szCs w:val="17"/>
          <w:u w:val="single" w:color="auto"/>
          <w:color w:val="auto"/>
        </w:rPr>
        <w:t>Final Memorandum</w:t>
      </w:r>
      <w:r>
        <w:rPr>
          <w:rFonts w:ascii="Arial" w:cs="Arial" w:eastAsia="Arial" w:hAnsi="Arial"/>
          <w:sz w:val="17"/>
          <w:szCs w:val="17"/>
          <w:color w:val="auto"/>
        </w:rPr>
        <w:t xml:space="preserve">”), which will consist of the Preliminary Memorandum with such changes therein as are required to reflect the information contained in the amendments or supplements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The Companies hereby confirm that they have authorized the use of the Pricing Disclosure Package, the Final Memorandum and the Recorded Road Show (as defined below) in connection with the offer and sale of the Securities by the Initial Purchasers.</w:t>
      </w:r>
    </w:p>
    <w:p>
      <w:pPr>
        <w:spacing w:after="0" w:line="179" w:lineRule="exact"/>
        <w:rPr>
          <w:sz w:val="20"/>
          <w:szCs w:val="20"/>
          <w:color w:val="auto"/>
        </w:rPr>
      </w:pPr>
    </w:p>
    <w:p>
      <w:pPr>
        <w:ind w:right="40" w:firstLine="987"/>
        <w:spacing w:after="0" w:line="259" w:lineRule="auto"/>
        <w:tabs>
          <w:tab w:leader="none" w:pos="130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Time of Execution and at the Closing Date (as defined in Section 3 below), the Companies, jointly and severally, represent and warrant to and agree with each of the Initial Purchasers as follows (references in this Section 1 to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Memorandum</w:t>
      </w:r>
      <w:r>
        <w:rPr>
          <w:rFonts w:ascii="Arial" w:cs="Arial" w:eastAsia="Arial" w:hAnsi="Arial"/>
          <w:sz w:val="18"/>
          <w:szCs w:val="18"/>
          <w:color w:val="auto"/>
        </w:rPr>
        <w:t>” are to (i) the Pricing Disclosure Package in the case of representations and warranties made as of the Time of Execution and (ii) both the Pricing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Package and the Final Memorandum in the case of representations and warranties made at the Closing Date):</w:t>
      </w:r>
    </w:p>
    <w:p>
      <w:pPr>
        <w:spacing w:after="0" w:line="117" w:lineRule="exact"/>
        <w:rPr>
          <w:sz w:val="20"/>
          <w:szCs w:val="20"/>
          <w:color w:val="auto"/>
        </w:rPr>
      </w:pPr>
    </w:p>
    <w:p>
      <w:pPr>
        <w:ind w:left="440" w:firstLine="419"/>
        <w:spacing w:after="0" w:line="285" w:lineRule="auto"/>
        <w:tabs>
          <w:tab w:leader="none" w:pos="1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specifically for inclusion therein.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Arial" w:cs="Arial" w:eastAsia="Arial" w:hAnsi="Arial"/>
          <w:sz w:val="16"/>
          <w:szCs w:val="16"/>
          <w:u w:val="single" w:color="auto"/>
          <w:color w:val="auto"/>
        </w:rPr>
        <w:t>Issuer Written Communication</w:t>
      </w:r>
      <w:r>
        <w:rPr>
          <w:rFonts w:ascii="Arial" w:cs="Arial" w:eastAsia="Arial" w:hAnsi="Arial"/>
          <w:sz w:val="16"/>
          <w:szCs w:val="16"/>
          <w:color w:val="auto"/>
        </w:rPr>
        <w:t>”) other than the Pricing Disclosure Package, the Final Memorandum and the recorded electronic road show made available to investors (the “</w:t>
      </w:r>
      <w:r>
        <w:rPr>
          <w:rFonts w:ascii="Arial" w:cs="Arial" w:eastAsia="Arial" w:hAnsi="Arial"/>
          <w:sz w:val="16"/>
          <w:szCs w:val="16"/>
          <w:u w:val="single" w:color="auto"/>
          <w:color w:val="auto"/>
        </w:rPr>
        <w:t>Recorded Road Show</w:t>
      </w:r>
      <w:r>
        <w:rPr>
          <w:rFonts w:ascii="Arial" w:cs="Arial" w:eastAsia="Arial" w:hAnsi="Arial"/>
          <w:sz w:val="16"/>
          <w:szCs w:val="16"/>
          <w:color w:val="auto"/>
        </w:rPr>
        <w:t>”).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w:t>
      </w:r>
    </w:p>
    <w:p>
      <w:pPr>
        <w:spacing w:after="0" w:line="68" w:lineRule="exact"/>
        <w:rPr>
          <w:rFonts w:ascii="Arial" w:cs="Arial" w:eastAsia="Arial" w:hAnsi="Arial"/>
          <w:sz w:val="16"/>
          <w:szCs w:val="16"/>
          <w:color w:val="auto"/>
        </w:rPr>
      </w:pPr>
    </w:p>
    <w:p>
      <w:pPr>
        <w:ind w:left="440" w:right="80" w:firstLine="419"/>
        <w:spacing w:after="0" w:line="293" w:lineRule="auto"/>
        <w:tabs>
          <w:tab w:leader="none" w:pos="1253"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w:t>
      </w:r>
    </w:p>
    <w:p>
      <w:pPr>
        <w:spacing w:after="0" w:line="56" w:lineRule="exact"/>
        <w:rPr>
          <w:rFonts w:ascii="Arial" w:cs="Arial" w:eastAsia="Arial" w:hAnsi="Arial"/>
          <w:sz w:val="16"/>
          <w:szCs w:val="16"/>
          <w:color w:val="auto"/>
        </w:rPr>
      </w:pPr>
    </w:p>
    <w:p>
      <w:pPr>
        <w:ind w:left="440" w:right="40" w:firstLine="419"/>
        <w:spacing w:after="0" w:line="263" w:lineRule="auto"/>
        <w:tabs>
          <w:tab w:leader="none" w:pos="124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in connection with any offer or sale of the Securities in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800" w:hanging="38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satisfy the eligibility requirements of Rule 144A(d)(3) under the Act.</w:t>
      </w:r>
    </w:p>
    <w:p>
      <w:pPr>
        <w:spacing w:after="0" w:line="117" w:lineRule="exact"/>
        <w:rPr>
          <w:rFonts w:ascii="Arial" w:cs="Arial" w:eastAsia="Arial" w:hAnsi="Arial"/>
          <w:sz w:val="18"/>
          <w:szCs w:val="18"/>
          <w:color w:val="auto"/>
        </w:rPr>
      </w:pPr>
    </w:p>
    <w:p>
      <w:pPr>
        <w:jc w:val="both"/>
        <w:ind w:firstLine="419"/>
        <w:spacing w:after="0" w:line="259" w:lineRule="auto"/>
        <w:tabs>
          <w:tab w:leader="none" w:pos="8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w:t>
      </w:r>
    </w:p>
    <w:p>
      <w:pPr>
        <w:spacing w:after="0" w:line="78" w:lineRule="exact"/>
        <w:rPr>
          <w:rFonts w:ascii="Arial" w:cs="Arial" w:eastAsia="Arial" w:hAnsi="Arial"/>
          <w:sz w:val="18"/>
          <w:szCs w:val="18"/>
          <w:color w:val="auto"/>
        </w:rPr>
      </w:pPr>
    </w:p>
    <w:p>
      <w:pPr>
        <w:jc w:val="both"/>
        <w:ind w:right="180" w:firstLine="419"/>
        <w:spacing w:after="0" w:line="263"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securities of any of the Companies are of the same class (within the meaning of Rule 144A under the Act) as any of the Securities and listed on a national securities exchange registered under Section 6 of the Exchange Act or quoted in a U.S. automated inter-dealer quotation system.</w:t>
      </w:r>
    </w:p>
    <w:p>
      <w:pPr>
        <w:spacing w:after="0" w:line="75" w:lineRule="exact"/>
        <w:rPr>
          <w:rFonts w:ascii="Arial" w:cs="Arial" w:eastAsia="Arial" w:hAnsi="Arial"/>
          <w:sz w:val="18"/>
          <w:szCs w:val="18"/>
          <w:color w:val="auto"/>
        </w:rPr>
      </w:pPr>
    </w:p>
    <w:p>
      <w:pPr>
        <w:ind w:right="260" w:firstLine="419"/>
        <w:spacing w:after="0" w:line="263"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w:t>
      </w:r>
    </w:p>
    <w:p>
      <w:pPr>
        <w:spacing w:after="0" w:line="75" w:lineRule="exact"/>
        <w:rPr>
          <w:rFonts w:ascii="Arial" w:cs="Arial" w:eastAsia="Arial" w:hAnsi="Arial"/>
          <w:sz w:val="18"/>
          <w:szCs w:val="18"/>
          <w:color w:val="auto"/>
        </w:rPr>
      </w:pPr>
    </w:p>
    <w:p>
      <w:pPr>
        <w:ind w:right="480" w:firstLine="419"/>
        <w:spacing w:after="0" w:line="263"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w:t>
      </w:r>
    </w:p>
    <w:p>
      <w:pPr>
        <w:spacing w:after="0" w:line="75" w:lineRule="exact"/>
        <w:rPr>
          <w:rFonts w:ascii="Arial" w:cs="Arial" w:eastAsia="Arial" w:hAnsi="Arial"/>
          <w:sz w:val="18"/>
          <w:szCs w:val="18"/>
          <w:color w:val="auto"/>
        </w:rPr>
      </w:pPr>
    </w:p>
    <w:p>
      <w:pPr>
        <w:ind w:right="20" w:firstLine="419"/>
        <w:spacing w:after="0" w:line="277" w:lineRule="auto"/>
        <w:tabs>
          <w:tab w:leader="none" w:pos="77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is subject to the reporting requirements of, and has timely filed all material required to be filed by it pursuant to, Section 13 or Section 15(d) of the Exchange Act.</w:t>
      </w:r>
    </w:p>
    <w:p>
      <w:pPr>
        <w:spacing w:after="0" w:line="62" w:lineRule="exact"/>
        <w:rPr>
          <w:rFonts w:ascii="Arial" w:cs="Arial" w:eastAsia="Arial" w:hAnsi="Arial"/>
          <w:sz w:val="18"/>
          <w:szCs w:val="18"/>
          <w:color w:val="auto"/>
        </w:rPr>
      </w:pPr>
    </w:p>
    <w:p>
      <w:pPr>
        <w:ind w:right="80" w:firstLine="419"/>
        <w:spacing w:after="0" w:line="277" w:lineRule="auto"/>
        <w:tabs>
          <w:tab w:leader="none" w:pos="77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has paid or agreed to pay to any person any compensation for soliciting another to purchase any securities of any of them (except as contemplated by this Agreement).</w:t>
      </w:r>
    </w:p>
    <w:p>
      <w:pPr>
        <w:spacing w:after="0" w:line="62" w:lineRule="exact"/>
        <w:rPr>
          <w:rFonts w:ascii="Arial" w:cs="Arial" w:eastAsia="Arial" w:hAnsi="Arial"/>
          <w:sz w:val="18"/>
          <w:szCs w:val="18"/>
          <w:color w:val="auto"/>
        </w:rPr>
      </w:pPr>
    </w:p>
    <w:p>
      <w:pPr>
        <w:ind w:right="80" w:firstLine="419"/>
        <w:spacing w:after="0" w:line="263"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w:t>
      </w:r>
    </w:p>
    <w:p>
      <w:pPr>
        <w:spacing w:after="0" w:line="75" w:lineRule="exact"/>
        <w:rPr>
          <w:rFonts w:ascii="Arial" w:cs="Arial" w:eastAsia="Arial" w:hAnsi="Arial"/>
          <w:sz w:val="18"/>
          <w:szCs w:val="18"/>
          <w:color w:val="auto"/>
        </w:rPr>
      </w:pPr>
    </w:p>
    <w:p>
      <w:pPr>
        <w:ind w:right="400" w:firstLine="419"/>
        <w:spacing w:after="0" w:line="263" w:lineRule="auto"/>
        <w:tabs>
          <w:tab w:leader="none" w:pos="7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w:t>
      </w:r>
    </w:p>
    <w:p>
      <w:pPr>
        <w:spacing w:after="0" w:line="75" w:lineRule="exact"/>
        <w:rPr>
          <w:rFonts w:ascii="Arial" w:cs="Arial" w:eastAsia="Arial" w:hAnsi="Arial"/>
          <w:sz w:val="18"/>
          <w:szCs w:val="18"/>
          <w:color w:val="auto"/>
        </w:rPr>
      </w:pPr>
    </w:p>
    <w:p>
      <w:pPr>
        <w:ind w:right="220" w:firstLine="419"/>
        <w:spacing w:after="0" w:line="263" w:lineRule="auto"/>
        <w:tabs>
          <w:tab w:leader="none" w:pos="85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statements in the Offering Memorandum set forth or referenced under the headings “Description of Certain Indebtedness”, “Description of the Notes”, “Exchange Offer; Registration Rights” and “Certain U.S. Federal Income Tax Considerations” fairly summarize the matters therein described.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8" w:name="page9"/>
    <w:bookmarkEnd w:id="8"/>
    <w:p>
      <w:pPr>
        <w:ind w:right="700" w:firstLine="419"/>
        <w:spacing w:after="0" w:line="277" w:lineRule="auto"/>
        <w:tabs>
          <w:tab w:leader="none" w:pos="80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statistical and market-related data included in the Offering Memorandum are based on or derived from sources which the Companies believe to be reliable and accurate in all material respects.</w:t>
      </w:r>
    </w:p>
    <w:p>
      <w:pPr>
        <w:spacing w:after="0" w:line="62" w:lineRule="exact"/>
        <w:rPr>
          <w:rFonts w:ascii="Arial" w:cs="Arial" w:eastAsia="Arial" w:hAnsi="Arial"/>
          <w:sz w:val="18"/>
          <w:szCs w:val="18"/>
          <w:color w:val="auto"/>
        </w:rPr>
      </w:pPr>
    </w:p>
    <w:p>
      <w:pPr>
        <w:ind w:right="60" w:firstLine="419"/>
        <w:spacing w:after="0" w:line="269" w:lineRule="auto"/>
        <w:tabs>
          <w:tab w:leader="none" w:pos="80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right="100" w:firstLine="419"/>
        <w:spacing w:after="0" w:line="273" w:lineRule="auto"/>
        <w:tabs>
          <w:tab w:leader="none" w:pos="813"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w:t>
      </w:r>
    </w:p>
    <w:p>
      <w:pPr>
        <w:spacing w:after="0" w:line="69" w:lineRule="exact"/>
        <w:rPr>
          <w:rFonts w:ascii="Arial" w:cs="Arial" w:eastAsia="Arial" w:hAnsi="Arial"/>
          <w:sz w:val="17"/>
          <w:szCs w:val="17"/>
          <w:color w:val="auto"/>
        </w:rPr>
      </w:pPr>
    </w:p>
    <w:p>
      <w:pPr>
        <w:ind w:firstLine="419"/>
        <w:spacing w:after="0" w:line="255" w:lineRule="auto"/>
        <w:tabs>
          <w:tab w:leader="none" w:pos="803"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 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w:t>
      </w:r>
    </w:p>
    <w:p>
      <w:pPr>
        <w:spacing w:after="0" w:line="84" w:lineRule="exact"/>
        <w:rPr>
          <w:rFonts w:ascii="Arial" w:cs="Arial" w:eastAsia="Arial" w:hAnsi="Arial"/>
          <w:sz w:val="18"/>
          <w:szCs w:val="18"/>
          <w:color w:val="auto"/>
        </w:rPr>
      </w:pPr>
    </w:p>
    <w:p>
      <w:pPr>
        <w:ind w:right="200" w:firstLine="419"/>
        <w:spacing w:after="0" w:line="277"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capitalization is, on the basis stated in the Offering Memorandum, as set forth in the “Actual” column of the table set forth under the heading</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9" w:name="page10"/>
    <w:bookmarkEnd w:id="9"/>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w:t>
      </w:r>
    </w:p>
    <w:p>
      <w:pPr>
        <w:spacing w:after="0" w:line="76" w:lineRule="exact"/>
        <w:rPr>
          <w:sz w:val="20"/>
          <w:szCs w:val="20"/>
          <w:color w:val="auto"/>
        </w:rPr>
      </w:pPr>
    </w:p>
    <w:p>
      <w:pPr>
        <w:ind w:right="100" w:firstLine="419"/>
        <w:spacing w:after="0" w:line="272" w:lineRule="auto"/>
        <w:tabs>
          <w:tab w:leader="none" w:pos="79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each of the Companies, assuming the due authorization, execution and delivery thereof by the Initial Purchasers,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w:t>
      </w:r>
    </w:p>
    <w:p>
      <w:pPr>
        <w:spacing w:after="0" w:line="69" w:lineRule="exact"/>
        <w:rPr>
          <w:rFonts w:ascii="Arial" w:cs="Arial" w:eastAsia="Arial" w:hAnsi="Arial"/>
          <w:sz w:val="17"/>
          <w:szCs w:val="17"/>
          <w:color w:val="auto"/>
        </w:rPr>
      </w:pPr>
    </w:p>
    <w:p>
      <w:pPr>
        <w:ind w:firstLine="419"/>
        <w:spacing w:after="0" w:line="272" w:lineRule="auto"/>
        <w:tabs>
          <w:tab w:leader="none" w:pos="76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w:t>
      </w:r>
    </w:p>
    <w:p>
      <w:pPr>
        <w:spacing w:after="0" w:line="69" w:lineRule="exact"/>
        <w:rPr>
          <w:rFonts w:ascii="Arial" w:cs="Arial" w:eastAsia="Arial" w:hAnsi="Arial"/>
          <w:sz w:val="17"/>
          <w:szCs w:val="17"/>
          <w:color w:val="auto"/>
        </w:rPr>
      </w:pPr>
    </w:p>
    <w:p>
      <w:pPr>
        <w:ind w:right="100" w:firstLine="419"/>
        <w:spacing w:after="0" w:line="272" w:lineRule="auto"/>
        <w:tabs>
          <w:tab w:leader="none" w:pos="80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w:t>
      </w:r>
    </w:p>
    <w:p>
      <w:pPr>
        <w:spacing w:after="0" w:line="69" w:lineRule="exact"/>
        <w:rPr>
          <w:rFonts w:ascii="Arial" w:cs="Arial" w:eastAsia="Arial" w:hAnsi="Arial"/>
          <w:sz w:val="17"/>
          <w:szCs w:val="17"/>
          <w:color w:val="auto"/>
        </w:rPr>
      </w:pPr>
    </w:p>
    <w:p>
      <w:pPr>
        <w:ind w:right="80" w:firstLine="419"/>
        <w:spacing w:after="0" w:line="311"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Guarantees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10" w:name="page11"/>
    <w:bookmarkEnd w:id="10"/>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w:t>
      </w:r>
    </w:p>
    <w:p>
      <w:pPr>
        <w:spacing w:after="0" w:line="79" w:lineRule="exact"/>
        <w:rPr>
          <w:sz w:val="20"/>
          <w:szCs w:val="20"/>
          <w:color w:val="auto"/>
        </w:rPr>
      </w:pPr>
    </w:p>
    <w:p>
      <w:pPr>
        <w:ind w:firstLine="419"/>
        <w:spacing w:after="0" w:line="254" w:lineRule="auto"/>
        <w:tabs>
          <w:tab w:leader="none" w:pos="8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by each of the Companies and, assuming the due authorization, execution and delivery thereof by the Representatives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w:t>
      </w:r>
    </w:p>
    <w:p>
      <w:pPr>
        <w:spacing w:after="0" w:line="83" w:lineRule="exact"/>
        <w:rPr>
          <w:rFonts w:ascii="Arial" w:cs="Arial" w:eastAsia="Arial" w:hAnsi="Arial"/>
          <w:sz w:val="18"/>
          <w:szCs w:val="18"/>
          <w:color w:val="auto"/>
        </w:rPr>
      </w:pPr>
    </w:p>
    <w:p>
      <w:pPr>
        <w:ind w:right="340" w:firstLine="419"/>
        <w:spacing w:after="0" w:line="342" w:lineRule="auto"/>
        <w:tabs>
          <w:tab w:leader="none" w:pos="813"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holder of securities of any of the Companies will be entitled to have such securities registered under the registration statements required to be filed by the Companies pursuant to the Registration Rights Agreement other than as expressly permitted thereby.</w:t>
      </w:r>
    </w:p>
    <w:p>
      <w:pPr>
        <w:spacing w:after="0" w:line="15" w:lineRule="exact"/>
        <w:rPr>
          <w:rFonts w:ascii="Arial" w:cs="Arial" w:eastAsia="Arial" w:hAnsi="Arial"/>
          <w:sz w:val="16"/>
          <w:szCs w:val="16"/>
          <w:color w:val="auto"/>
        </w:rPr>
      </w:pPr>
    </w:p>
    <w:p>
      <w:pPr>
        <w:ind w:right="100" w:firstLine="419"/>
        <w:spacing w:after="0" w:line="254" w:lineRule="auto"/>
        <w:tabs>
          <w:tab w:leader="none" w:pos="81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w:t>
      </w:r>
    </w:p>
    <w:p>
      <w:pPr>
        <w:spacing w:after="0" w:line="83" w:lineRule="exact"/>
        <w:rPr>
          <w:rFonts w:ascii="Arial" w:cs="Arial" w:eastAsia="Arial" w:hAnsi="Arial"/>
          <w:sz w:val="18"/>
          <w:szCs w:val="18"/>
          <w:color w:val="auto"/>
        </w:rPr>
      </w:pPr>
    </w:p>
    <w:p>
      <w:pPr>
        <w:ind w:right="40" w:firstLine="419"/>
        <w:spacing w:after="0" w:line="279" w:lineRule="auto"/>
        <w:tabs>
          <w:tab w:leader="none" w:pos="79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w:t>
      </w:r>
    </w:p>
    <w:p>
      <w:pPr>
        <w:spacing w:after="0" w:line="63" w:lineRule="exact"/>
        <w:rPr>
          <w:sz w:val="20"/>
          <w:szCs w:val="20"/>
          <w:color w:val="auto"/>
        </w:rPr>
      </w:pPr>
    </w:p>
    <w:p>
      <w:pPr>
        <w:ind w:right="140" w:firstLine="419"/>
        <w:spacing w:after="0" w:line="277" w:lineRule="auto"/>
        <w:tabs>
          <w:tab w:leader="none" w:pos="882"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issue and sale of the</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1" w:name="page12"/>
    <w:bookmarkEnd w:id="11"/>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or the consummation of the transactions contemplated by any of the Transaction Documents, except (i) in the case of compliance with the terms of the Registration Rights Agreement such as will be obtained under the Act and the Trust Indenture Act, (ii) such as may be required under the blue sky laws of any state in connection with the purchase and distribution of the Securities by the Initial Purchasers in the manner contemplated herein and in the Offering Memorandum and the Registration Rights Agreement, and except where the failure to obtain the same would not reasonably be expected to have a Material Adverse Effect.</w:t>
      </w:r>
    </w:p>
    <w:p>
      <w:pPr>
        <w:spacing w:after="0" w:line="68" w:lineRule="exact"/>
        <w:rPr>
          <w:sz w:val="20"/>
          <w:szCs w:val="20"/>
          <w:color w:val="auto"/>
        </w:rPr>
      </w:pPr>
    </w:p>
    <w:p>
      <w:pPr>
        <w:ind w:right="40" w:firstLine="419"/>
        <w:spacing w:after="0" w:line="269" w:lineRule="auto"/>
        <w:tabs>
          <w:tab w:leader="none" w:pos="903"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w:t>
      </w:r>
    </w:p>
    <w:p>
      <w:pPr>
        <w:spacing w:after="0" w:line="70" w:lineRule="exact"/>
        <w:rPr>
          <w:rFonts w:ascii="Arial" w:cs="Arial" w:eastAsia="Arial" w:hAnsi="Arial"/>
          <w:sz w:val="17"/>
          <w:szCs w:val="17"/>
          <w:color w:val="auto"/>
        </w:rPr>
      </w:pPr>
    </w:p>
    <w:p>
      <w:pPr>
        <w:ind w:firstLine="419"/>
        <w:spacing w:after="0" w:line="253" w:lineRule="auto"/>
        <w:tabs>
          <w:tab w:leader="none" w:pos="87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w:t>
      </w:r>
    </w:p>
    <w:p>
      <w:pPr>
        <w:spacing w:after="0" w:line="86" w:lineRule="exact"/>
        <w:rPr>
          <w:rFonts w:ascii="Arial" w:cs="Arial" w:eastAsia="Arial" w:hAnsi="Arial"/>
          <w:sz w:val="18"/>
          <w:szCs w:val="18"/>
          <w:color w:val="auto"/>
        </w:rPr>
      </w:pPr>
    </w:p>
    <w:p>
      <w:pPr>
        <w:ind w:right="280" w:firstLine="419"/>
        <w:spacing w:after="0" w:line="277"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as set forth in the Offering Memorandum, no action, suit or proceeding by or before any court or governmental agency, authority or body or any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2" w:name="page13"/>
    <w:bookmarkEnd w:id="12"/>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arbitrator involving Holdings or any of its subsidiaries or any property or assets of Holdings or any of its subsidiaries is pending or, to the knowledge of Holdings, threatened that would reasonably be expected to have a Material Adverse Effect.</w:t>
      </w:r>
    </w:p>
    <w:p>
      <w:pPr>
        <w:spacing w:after="0" w:line="62" w:lineRule="exact"/>
        <w:rPr>
          <w:sz w:val="20"/>
          <w:szCs w:val="20"/>
          <w:color w:val="auto"/>
        </w:rPr>
      </w:pPr>
    </w:p>
    <w:p>
      <w:pPr>
        <w:ind w:firstLine="419"/>
        <w:spacing w:after="0" w:line="270" w:lineRule="auto"/>
        <w:tabs>
          <w:tab w:leader="none" w:pos="882" w:val="left"/>
        </w:tabs>
        <w:numPr>
          <w:ilvl w:val="0"/>
          <w:numId w:val="10"/>
        </w:numPr>
        <w:rPr>
          <w:rFonts w:ascii="Arial" w:cs="Arial" w:eastAsia="Arial" w:hAnsi="Arial"/>
          <w:sz w:val="17"/>
          <w:szCs w:val="17"/>
          <w:color w:val="auto"/>
        </w:rPr>
      </w:pPr>
      <w:r>
        <w:rPr>
          <w:rFonts w:ascii="Arial" w:cs="Arial" w:eastAsia="Arial" w:hAnsi="Arial"/>
          <w:sz w:val="17"/>
          <w:szCs w:val="17"/>
          <w:color w:val="auto"/>
        </w:rPr>
        <w:t>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w:t>
      </w:r>
    </w:p>
    <w:p>
      <w:pPr>
        <w:spacing w:after="0" w:line="72" w:lineRule="exact"/>
        <w:rPr>
          <w:rFonts w:ascii="Arial" w:cs="Arial" w:eastAsia="Arial" w:hAnsi="Arial"/>
          <w:sz w:val="17"/>
          <w:szCs w:val="17"/>
          <w:color w:val="auto"/>
        </w:rPr>
      </w:pPr>
    </w:p>
    <w:p>
      <w:pPr>
        <w:ind w:right="40" w:firstLine="419"/>
        <w:spacing w:after="0" w:line="293" w:lineRule="auto"/>
        <w:tabs>
          <w:tab w:leader="none" w:pos="8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w:t>
      </w:r>
    </w:p>
    <w:p>
      <w:pPr>
        <w:spacing w:after="0" w:line="56" w:lineRule="exact"/>
        <w:rPr>
          <w:rFonts w:ascii="Arial" w:cs="Arial" w:eastAsia="Arial" w:hAnsi="Arial"/>
          <w:sz w:val="16"/>
          <w:szCs w:val="16"/>
          <w:color w:val="auto"/>
        </w:rPr>
      </w:pPr>
    </w:p>
    <w:p>
      <w:pPr>
        <w:jc w:val="both"/>
        <w:ind w:right="120" w:firstLine="419"/>
        <w:spacing w:after="0" w:line="259" w:lineRule="auto"/>
        <w:tabs>
          <w:tab w:leader="none" w:pos="9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w:t>
      </w:r>
    </w:p>
    <w:p>
      <w:pPr>
        <w:spacing w:after="0" w:line="78" w:lineRule="exact"/>
        <w:rPr>
          <w:rFonts w:ascii="Arial" w:cs="Arial" w:eastAsia="Arial" w:hAnsi="Arial"/>
          <w:sz w:val="18"/>
          <w:szCs w:val="18"/>
          <w:color w:val="auto"/>
        </w:rPr>
      </w:pPr>
    </w:p>
    <w:p>
      <w:pPr>
        <w:ind w:right="40" w:firstLine="419"/>
        <w:spacing w:after="0" w:line="255" w:lineRule="auto"/>
        <w:tabs>
          <w:tab w:leader="none" w:pos="9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3" w:name="page14"/>
    <w:bookmarkEnd w:id="13"/>
    <w:p>
      <w:pPr>
        <w:jc w:val="both"/>
        <w:ind w:right="80" w:firstLine="419"/>
        <w:spacing w:after="0" w:line="279" w:lineRule="auto"/>
        <w:tabs>
          <w:tab w:leader="none" w:pos="82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w:t>
      </w:r>
    </w:p>
    <w:p>
      <w:pPr>
        <w:spacing w:after="0" w:line="63" w:lineRule="exact"/>
        <w:rPr>
          <w:rFonts w:ascii="Arial" w:cs="Arial" w:eastAsia="Arial" w:hAnsi="Arial"/>
          <w:sz w:val="17"/>
          <w:szCs w:val="17"/>
          <w:color w:val="auto"/>
        </w:rPr>
      </w:pPr>
    </w:p>
    <w:p>
      <w:pPr>
        <w:ind w:right="20" w:firstLine="419"/>
        <w:spacing w:after="0" w:line="287" w:lineRule="auto"/>
        <w:tabs>
          <w:tab w:leader="none" w:pos="8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59" w:lineRule="exact"/>
        <w:rPr>
          <w:rFonts w:ascii="Arial" w:cs="Arial" w:eastAsia="Arial" w:hAnsi="Arial"/>
          <w:sz w:val="16"/>
          <w:szCs w:val="16"/>
          <w:color w:val="auto"/>
        </w:rPr>
      </w:pPr>
    </w:p>
    <w:p>
      <w:pPr>
        <w:ind w:right="60" w:firstLine="419"/>
        <w:spacing w:after="0" w:line="257" w:lineRule="auto"/>
        <w:tabs>
          <w:tab w:leader="none" w:pos="9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w:t>
      </w:r>
    </w:p>
    <w:p>
      <w:pPr>
        <w:spacing w:after="0" w:line="79" w:lineRule="exact"/>
        <w:rPr>
          <w:rFonts w:ascii="Arial" w:cs="Arial" w:eastAsia="Arial" w:hAnsi="Arial"/>
          <w:sz w:val="18"/>
          <w:szCs w:val="18"/>
          <w:color w:val="auto"/>
        </w:rPr>
      </w:pPr>
    </w:p>
    <w:p>
      <w:pPr>
        <w:ind w:firstLine="419"/>
        <w:spacing w:after="0" w:line="254" w:lineRule="auto"/>
        <w:tabs>
          <w:tab w:leader="none" w:pos="8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14" w:name="page15"/>
    <w:bookmarkEnd w:id="14"/>
    <w:p>
      <w:pPr>
        <w:ind w:left="4" w:firstLine="419"/>
        <w:spacing w:after="0" w:line="255" w:lineRule="auto"/>
        <w:tabs>
          <w:tab w:leader="none" w:pos="1006"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w:t>
      </w:r>
    </w:p>
    <w:p>
      <w:pPr>
        <w:spacing w:after="0" w:line="84" w:lineRule="exact"/>
        <w:rPr>
          <w:rFonts w:ascii="Arial" w:cs="Arial" w:eastAsia="Arial" w:hAnsi="Arial"/>
          <w:sz w:val="18"/>
          <w:szCs w:val="18"/>
          <w:color w:val="auto"/>
        </w:rPr>
      </w:pPr>
    </w:p>
    <w:p>
      <w:pPr>
        <w:ind w:left="904" w:hanging="481"/>
        <w:spacing w:after="0"/>
        <w:tabs>
          <w:tab w:leader="none" w:pos="9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Holdings and each of its subsidiaries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left="4" w:right="360" w:hanging="4"/>
        <w:spacing w:after="0" w:line="281" w:lineRule="auto"/>
        <w:tabs>
          <w:tab w:leader="none" w:pos="2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left="4" w:right="120" w:hanging="4"/>
        <w:spacing w:after="0" w:line="252"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8"/>
          <w:szCs w:val="18"/>
          <w:color w:val="auto"/>
        </w:rPr>
      </w:pPr>
    </w:p>
    <w:p>
      <w:pPr>
        <w:ind w:left="4" w:right="60" w:firstLine="419"/>
        <w:spacing w:after="0" w:line="287" w:lineRule="auto"/>
        <w:tabs>
          <w:tab w:leader="none" w:pos="906" w:val="left"/>
        </w:tabs>
        <w:numPr>
          <w:ilvl w:val="1"/>
          <w:numId w:val="14"/>
        </w:numPr>
        <w:rPr>
          <w:rFonts w:ascii="Arial" w:cs="Arial" w:eastAsia="Arial" w:hAnsi="Arial"/>
          <w:sz w:val="16"/>
          <w:szCs w:val="16"/>
          <w:color w:val="auto"/>
        </w:rPr>
      </w:pPr>
      <w:r>
        <w:rPr>
          <w:rFonts w:ascii="Arial" w:cs="Arial" w:eastAsia="Arial" w:hAnsi="Arial"/>
          <w:sz w:val="16"/>
          <w:szCs w:val="16"/>
          <w:color w:val="auto"/>
        </w:rPr>
        <w:t>(i)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any of its subsidiaries; (vi) neither Holdings nor any of its subsidiaries is subject to any order, decree, consent, settlement or agreement requiring, or is otherwise obligated or required to perform, any response or corrective action relating to any Hazardous</w:t>
      </w:r>
    </w:p>
    <w:p>
      <w:pPr>
        <w:spacing w:after="0" w:line="10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876" w:top="274" w:right="439" w:bottom="1440" w:gutter="0" w:footer="0" w:header="0"/>
        </w:sectPr>
      </w:pPr>
    </w:p>
    <w:bookmarkStart w:id="15" w:name="page16"/>
    <w:bookmarkEnd w:id="1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(vii) neither Holdings nor any of its subsidiaries has received written notice that it has been identified as a potentially responsible party under the Comprehensive Environmental Response, Compensation and Liability Act of 1980, as amended (“</w:t>
      </w:r>
      <w:r>
        <w:rPr>
          <w:rFonts w:ascii="Arial" w:cs="Arial" w:eastAsia="Arial" w:hAnsi="Arial"/>
          <w:sz w:val="16"/>
          <w:szCs w:val="16"/>
          <w:u w:val="single" w:color="auto"/>
          <w:color w:val="auto"/>
        </w:rPr>
        <w:t>CERCLA</w:t>
      </w:r>
      <w:r>
        <w:rPr>
          <w:rFonts w:ascii="Arial" w:cs="Arial" w:eastAsia="Arial" w:hAnsi="Arial"/>
          <w:sz w:val="16"/>
          <w:szCs w:val="16"/>
          <w:color w:val="auto"/>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hazardous or toxic substance, chemical, material, pollutant, waste, contaminant or constituent, which is subject to regulation under or could give rise to liability under any Environmental Law.</w:t>
      </w:r>
    </w:p>
    <w:p>
      <w:pPr>
        <w:spacing w:after="0" w:line="64" w:lineRule="exact"/>
        <w:rPr>
          <w:sz w:val="20"/>
          <w:szCs w:val="20"/>
          <w:color w:val="auto"/>
        </w:rPr>
      </w:pPr>
    </w:p>
    <w:p>
      <w:pPr>
        <w:ind w:firstLine="419"/>
        <w:spacing w:after="0" w:line="259"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w:t>
      </w:r>
    </w:p>
    <w:p>
      <w:pPr>
        <w:spacing w:after="0" w:line="78" w:lineRule="exact"/>
        <w:rPr>
          <w:rFonts w:ascii="Arial" w:cs="Arial" w:eastAsia="Arial" w:hAnsi="Arial"/>
          <w:sz w:val="18"/>
          <w:szCs w:val="18"/>
          <w:color w:val="auto"/>
        </w:rPr>
      </w:pPr>
    </w:p>
    <w:p>
      <w:pPr>
        <w:ind w:right="140" w:firstLine="419"/>
        <w:spacing w:after="0" w:line="272" w:lineRule="auto"/>
        <w:tabs>
          <w:tab w:leader="none" w:pos="9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Holdings and each of its subsidiaries have fulfilled their obligations, if any, under the minimum funding standards of Section 302 of the United States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w:t>
      </w:r>
    </w:p>
    <w:p>
      <w:pPr>
        <w:spacing w:after="0" w:line="69" w:lineRule="exact"/>
        <w:rPr>
          <w:rFonts w:ascii="Arial" w:cs="Arial" w:eastAsia="Arial" w:hAnsi="Arial"/>
          <w:sz w:val="17"/>
          <w:szCs w:val="17"/>
          <w:color w:val="auto"/>
        </w:rPr>
      </w:pPr>
    </w:p>
    <w:p>
      <w:pPr>
        <w:ind w:right="100" w:firstLine="419"/>
        <w:spacing w:after="0" w:line="275" w:lineRule="auto"/>
        <w:tabs>
          <w:tab w:leader="none" w:pos="8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any provision of the Foreign Corrupt Practices Act of 1977; (iv) violated or is in violation of any provision of the Bribery Act 2010 of the United Kingdom or of any other applicable European Union or local law regulating payments to</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6" w:name="page17"/>
    <w:bookmarkEnd w:id="1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w:t>
      </w:r>
    </w:p>
    <w:p>
      <w:pPr>
        <w:spacing w:after="0" w:line="76" w:lineRule="exact"/>
        <w:rPr>
          <w:sz w:val="20"/>
          <w:szCs w:val="20"/>
          <w:color w:val="auto"/>
        </w:rPr>
      </w:pPr>
    </w:p>
    <w:p>
      <w:pPr>
        <w:ind w:right="100" w:firstLine="419"/>
        <w:spacing w:after="0" w:line="25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material action, suit or proceeding by or before any court or governmental agency, authority or body or any arbitrator involving Holdings or any of its subsidiaries with respect to the Money Laundering Laws is pending or, to the knowledge of Holdings, threatened.</w:t>
      </w:r>
    </w:p>
    <w:p>
      <w:pPr>
        <w:spacing w:after="0" w:line="86" w:lineRule="exact"/>
        <w:rPr>
          <w:rFonts w:ascii="Arial" w:cs="Arial" w:eastAsia="Arial" w:hAnsi="Arial"/>
          <w:sz w:val="18"/>
          <w:szCs w:val="18"/>
          <w:color w:val="auto"/>
        </w:rPr>
      </w:pPr>
    </w:p>
    <w:p>
      <w:pPr>
        <w:ind w:firstLine="419"/>
        <w:spacing w:after="0" w:line="268" w:lineRule="auto"/>
        <w:tabs>
          <w:tab w:leader="none" w:pos="8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 of Holdings or any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Her Majesty’s Treasury, France,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Sudan, North Korea and the Crimea region of Ukraine, the so-called Donetsk People’s Republic (DNR) and the so-called Luhansk People’s Republic (LNR),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w:t>
      </w:r>
    </w:p>
    <w:p>
      <w:pPr>
        <w:spacing w:after="0" w:line="78" w:lineRule="exact"/>
        <w:rPr>
          <w:rFonts w:ascii="Arial" w:cs="Arial" w:eastAsia="Arial" w:hAnsi="Arial"/>
          <w:sz w:val="17"/>
          <w:szCs w:val="17"/>
          <w:color w:val="auto"/>
        </w:rPr>
      </w:pPr>
    </w:p>
    <w:p>
      <w:pPr>
        <w:ind w:right="60" w:firstLine="419"/>
        <w:spacing w:after="0" w:line="257"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Holdings’ and its subsidiaries’ information technology assets and equipment, computers, systems, networks, hardware, software, websites, applications, and databases (collectively, “</w:t>
      </w:r>
      <w:r>
        <w:rPr>
          <w:rFonts w:ascii="Arial" w:cs="Arial" w:eastAsia="Arial" w:hAnsi="Arial"/>
          <w:sz w:val="18"/>
          <w:szCs w:val="18"/>
          <w:u w:val="single" w:color="auto"/>
          <w:color w:val="auto"/>
        </w:rPr>
        <w:t>IT Systems</w:t>
      </w:r>
      <w:r>
        <w:rPr>
          <w:rFonts w:ascii="Arial" w:cs="Arial" w:eastAsia="Arial" w:hAnsi="Arial"/>
          <w:sz w:val="18"/>
          <w:szCs w:val="18"/>
          <w:color w:val="auto"/>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policies, procedures, and safeguards to maintain and protect their material confidential information and the integrity, continuous operation,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redundancy and security of all IT Systems and data (including all personal, personally identifiable, sensitive, confidential or regulated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used or held for use in connection with their businesses, and there have been no breaches, violations, disruptions, compromises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unauthorized uses of or accesses to same, except for the duty to notify any other person or where such breaches, violations, disruptions,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compromises or unauthorized uses of or access to same, would not, individually or in the aggregate, be reasonably expected to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Effect. Holdings and its subsidiaries are presently in material compliance with all applicable laws, statutes and regulations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European Union General Data Protection Regulation) and all judgments, orders, rules and regulations of any court or arbitrator or governmental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authority, internal policies and contractual obligations and, to the extent applicable, PCI-DSS, relating to the privacy and security of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and Personal Data and to the protection of such IT Systems and Personal Data from unauthorized use, access, misappropriation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modification.</w:t>
      </w:r>
    </w:p>
    <w:p>
      <w:pPr>
        <w:spacing w:after="0" w:line="103" w:lineRule="exact"/>
        <w:rPr>
          <w:sz w:val="20"/>
          <w:szCs w:val="20"/>
          <w:color w:val="auto"/>
        </w:rPr>
      </w:pPr>
    </w:p>
    <w:p>
      <w:pPr>
        <w:ind w:right="40" w:firstLine="419"/>
        <w:spacing w:after="0" w:line="269" w:lineRule="auto"/>
        <w:tabs>
          <w:tab w:leader="none" w:pos="9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disclosed in the Offering Memorandum, and subject to the limitations described therein, no income, stamp or other taxes or levies, imposts, deductions, charges, compulsory loans or withholdings whatsoever (collectively, “</w:t>
      </w:r>
      <w:r>
        <w:rPr>
          <w:rFonts w:ascii="Arial" w:cs="Arial" w:eastAsia="Arial" w:hAnsi="Arial"/>
          <w:sz w:val="17"/>
          <w:szCs w:val="17"/>
          <w:u w:val="single" w:color="auto"/>
          <w:color w:val="auto"/>
        </w:rPr>
        <w:t>Taxes</w:t>
      </w:r>
      <w:r>
        <w:rPr>
          <w:rFonts w:ascii="Arial" w:cs="Arial" w:eastAsia="Arial" w:hAnsi="Arial"/>
          <w:sz w:val="17"/>
          <w:szCs w:val="17"/>
          <w:color w:val="auto"/>
        </w:rPr>
        <w:t>”) are or will be, under applicable law,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Arial" w:cs="Arial" w:eastAsia="Arial" w:hAnsi="Arial"/>
          <w:sz w:val="17"/>
          <w:szCs w:val="17"/>
          <w:u w:val="single" w:color="auto"/>
          <w:color w:val="auto"/>
        </w:rPr>
        <w:t>Taxing Jurisdiction</w:t>
      </w:r>
      <w:r>
        <w:rPr>
          <w:rFonts w:ascii="Arial" w:cs="Arial" w:eastAsia="Arial" w:hAnsi="Arial"/>
          <w:sz w:val="17"/>
          <w:szCs w:val="17"/>
          <w:color w:val="auto"/>
        </w:rPr>
        <w:t>”),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the Registration Rights Agreement or any payments hereunder or thereunder, except for Taxes of a holder of the Notes levied, imposed, deducted, charged, compulsorily lent or withheld by any jurisdiction where such holder is incorporated, organized, formed or tax resident.</w:t>
      </w:r>
    </w:p>
    <w:p>
      <w:pPr>
        <w:spacing w:after="0" w:line="77" w:lineRule="exact"/>
        <w:rPr>
          <w:rFonts w:ascii="Arial" w:cs="Arial" w:eastAsia="Arial" w:hAnsi="Arial"/>
          <w:sz w:val="17"/>
          <w:szCs w:val="17"/>
          <w:color w:val="auto"/>
        </w:rPr>
      </w:pPr>
    </w:p>
    <w:p>
      <w:pPr>
        <w:ind w:right="20" w:firstLine="419"/>
        <w:spacing w:after="0" w:line="293" w:lineRule="auto"/>
        <w:tabs>
          <w:tab w:leader="none" w:pos="97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w:t>
      </w:r>
    </w:p>
    <w:p>
      <w:pPr>
        <w:spacing w:after="0" w:line="56" w:lineRule="exact"/>
        <w:rPr>
          <w:rFonts w:ascii="Arial" w:cs="Arial" w:eastAsia="Arial" w:hAnsi="Arial"/>
          <w:sz w:val="16"/>
          <w:szCs w:val="16"/>
          <w:color w:val="auto"/>
        </w:rPr>
      </w:pPr>
    </w:p>
    <w:p>
      <w:pPr>
        <w:ind w:left="900" w:hanging="48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Holdings and each of its subsidiaries maintain an effective system of “disclosure controls and procedures”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13a-15(e) of the Exchange Act) that is designed to ensure that information required to be disclosed by Holdings in reports</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8" w:name="page19"/>
    <w:bookmarkEnd w:id="18"/>
    <w:p>
      <w:pPr>
        <w:ind w:left="440"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w:t>
      </w:r>
    </w:p>
    <w:p>
      <w:pPr>
        <w:spacing w:after="0" w:line="188"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w:t>
      </w:r>
    </w:p>
    <w:p>
      <w:pPr>
        <w:spacing w:after="0" w:line="124" w:lineRule="exact"/>
        <w:rPr>
          <w:sz w:val="20"/>
          <w:szCs w:val="20"/>
          <w:color w:val="auto"/>
        </w:rPr>
      </w:pPr>
    </w:p>
    <w:p>
      <w:pPr>
        <w:ind w:right="60" w:firstLine="987"/>
        <w:spacing w:after="0" w:line="259" w:lineRule="auto"/>
        <w:tabs>
          <w:tab w:leader="none" w:pos="1306"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98.750% of the principal amount thereof, plus accrued interest, if any, from March 17, 2022 to the Closing Date, the principal amount of Securities set forth opposite such Initial Purchaser’s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100" w:firstLine="987"/>
        <w:spacing w:after="0" w:line="272" w:lineRule="auto"/>
        <w:tabs>
          <w:tab w:leader="none" w:pos="130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at 10:00 A.M., New York City time, on March 17, 2022, or at such time on such later date (not later than March 22, 2022) as the Initial Purchasers shall designate, which date and time may be postponed among the Initial Purchasers and the Issuer or as provided in Section 9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Initial Purchasers for the respective accounts of the several Initial Purchasers against payment by the several Initial Purchasers of the purchase price thereof to or upon the order of the Issuer by wire transfer payable in same-day funds to the account specified by the Issuer. Delivery of the Securities shall be made through the facilities of The Depository Trust Company, or its designated custodian, unless the Initial Purchasers shall otherwise instruct.</w:t>
      </w:r>
    </w:p>
    <w:p>
      <w:pPr>
        <w:spacing w:after="0" w:line="177" w:lineRule="exact"/>
        <w:rPr>
          <w:rFonts w:ascii="Arial" w:cs="Arial" w:eastAsia="Arial" w:hAnsi="Arial"/>
          <w:sz w:val="17"/>
          <w:szCs w:val="17"/>
          <w:color w:val="auto"/>
        </w:rPr>
      </w:pPr>
    </w:p>
    <w:p>
      <w:pPr>
        <w:ind w:left="1300" w:hanging="313"/>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Offering by Initial Purchasers</w:t>
      </w:r>
      <w:r>
        <w:rPr>
          <w:rFonts w:ascii="Arial" w:cs="Arial" w:eastAsia="Arial" w:hAnsi="Arial"/>
          <w:sz w:val="16"/>
          <w:szCs w:val="16"/>
          <w:color w:val="auto"/>
        </w:rPr>
        <w:t>. Each Initial Purchaser, severally and not jointly, represents and warrants to and agrees with the Issuer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02" w:lineRule="exact"/>
        <w:rPr>
          <w:rFonts w:ascii="Arial" w:cs="Arial" w:eastAsia="Arial" w:hAnsi="Arial"/>
          <w:sz w:val="16"/>
          <w:szCs w:val="16"/>
          <w:color w:val="auto"/>
        </w:rPr>
      </w:pPr>
    </w:p>
    <w:p>
      <w:pPr>
        <w:ind w:left="440" w:right="100" w:firstLine="419"/>
        <w:spacing w:after="0" w:line="277" w:lineRule="auto"/>
        <w:tabs>
          <w:tab w:leader="none" w:pos="12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an “accredited investor” within the meaning of Rule 501 of the Act and acknowledges that it is purchasing the Securities pursuant to a private sale exemption from registration under the Act.</w:t>
      </w:r>
    </w:p>
    <w:p>
      <w:pPr>
        <w:spacing w:after="0" w:line="62" w:lineRule="exact"/>
        <w:rPr>
          <w:rFonts w:ascii="Arial" w:cs="Arial" w:eastAsia="Arial" w:hAnsi="Arial"/>
          <w:sz w:val="18"/>
          <w:szCs w:val="18"/>
          <w:color w:val="auto"/>
        </w:rPr>
      </w:pPr>
    </w:p>
    <w:p>
      <w:pPr>
        <w:ind w:left="440" w:firstLine="419"/>
        <w:spacing w:after="0" w:line="293" w:lineRule="auto"/>
        <w:tabs>
          <w:tab w:leader="none" w:pos="12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firstLine="419"/>
        <w:spacing w:after="0" w:line="263"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 of the Act.</w:t>
      </w:r>
    </w:p>
    <w:p>
      <w:pPr>
        <w:spacing w:after="0" w:line="75" w:lineRule="exact"/>
        <w:rPr>
          <w:rFonts w:ascii="Arial" w:cs="Arial" w:eastAsia="Arial" w:hAnsi="Arial"/>
          <w:sz w:val="18"/>
          <w:szCs w:val="18"/>
          <w:color w:val="auto"/>
        </w:rPr>
      </w:pPr>
    </w:p>
    <w:p>
      <w:pPr>
        <w:ind w:right="80" w:firstLine="419"/>
        <w:spacing w:after="0" w:line="279" w:lineRule="auto"/>
        <w:tabs>
          <w:tab w:leader="none" w:pos="8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Initial Purchaser acknowledges and agrees that the Issuer and, for the purposes of the opinions to be delivered to the Initial Purchasers pursuant to Section 6(a) and 6(b),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w:t>
      </w:r>
    </w:p>
    <w:p>
      <w:pPr>
        <w:spacing w:after="0" w:line="171" w:lineRule="exact"/>
        <w:rPr>
          <w:sz w:val="20"/>
          <w:szCs w:val="20"/>
          <w:color w:val="auto"/>
        </w:rPr>
      </w:pPr>
    </w:p>
    <w:p>
      <w:pPr>
        <w:ind w:left="860" w:hanging="313"/>
        <w:spacing w:after="0"/>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Companies, jointly and severally, agree, with each Initial Purchaser that:</w:t>
      </w:r>
    </w:p>
    <w:p>
      <w:pPr>
        <w:spacing w:after="0" w:line="117" w:lineRule="exact"/>
        <w:rPr>
          <w:rFonts w:ascii="Arial" w:cs="Arial" w:eastAsia="Arial" w:hAnsi="Arial"/>
          <w:sz w:val="18"/>
          <w:szCs w:val="18"/>
          <w:color w:val="auto"/>
        </w:rPr>
      </w:pPr>
    </w:p>
    <w:p>
      <w:pPr>
        <w:ind w:right="560" w:firstLine="419"/>
        <w:spacing w:after="0" w:line="259" w:lineRule="auto"/>
        <w:tabs>
          <w:tab w:leader="none" w:pos="7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Representatives.</w:t>
      </w:r>
    </w:p>
    <w:p>
      <w:pPr>
        <w:spacing w:after="0" w:line="78" w:lineRule="exact"/>
        <w:rPr>
          <w:rFonts w:ascii="Arial" w:cs="Arial" w:eastAsia="Arial" w:hAnsi="Arial"/>
          <w:sz w:val="18"/>
          <w:szCs w:val="18"/>
          <w:color w:val="auto"/>
        </w:rPr>
      </w:pPr>
    </w:p>
    <w:p>
      <w:pPr>
        <w:ind w:firstLine="419"/>
        <w:spacing w:after="0" w:line="269" w:lineRule="auto"/>
        <w:tabs>
          <w:tab w:leader="none" w:pos="80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completion of the distribution of the Securities by the Initial Purchasers (as determined by the Representatives in their sole discretion), Holdings and its subsidiaries will not file any document under the Exchange Act that is incorporated by reference in the Pricing Disclosure Package or the Final Memorandum unless, prior to such proposed filing, the Companies have furnished the Representatives with a copy of such document for their review and the Representatives have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Representatives or counsel for the Initial Purchasers, make any amendments or supplements to the Pricing Disclosure Package and the Final Memorandum that may be necessary or advisable in connection with the resale of the Notes by the Initial Purchasers.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0" w:name="page21"/>
    <w:bookmarkEnd w:id="20"/>
    <w:p>
      <w:pPr>
        <w:ind w:right="40" w:firstLine="419"/>
        <w:spacing w:after="0" w:line="288" w:lineRule="auto"/>
        <w:tabs>
          <w:tab w:leader="none" w:pos="803"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prior to the completion of the sale of the Securities by the Initial Purchasers (as determined by the Representatives),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w:t>
      </w:r>
    </w:p>
    <w:p>
      <w:pPr>
        <w:spacing w:after="0" w:line="60" w:lineRule="exact"/>
        <w:rPr>
          <w:rFonts w:ascii="Arial" w:cs="Arial" w:eastAsia="Arial" w:hAnsi="Arial"/>
          <w:sz w:val="16"/>
          <w:szCs w:val="16"/>
          <w:color w:val="auto"/>
        </w:rPr>
      </w:pPr>
    </w:p>
    <w:p>
      <w:pPr>
        <w:ind w:firstLine="419"/>
        <w:spacing w:after="0" w:line="271" w:lineRule="auto"/>
        <w:tabs>
          <w:tab w:leader="none" w:pos="80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Company be obligated to qualify to do business in any jurisdiction where it is not now so qualified, to execute a general consent to service of process in any jurisdiction with respect to which such a consent has not been previously executed or to subject itself to taxation in any jurisdiction wherein it would not otherwise be subject to tax but for the requirements of this paragraph. The Companies will promptly advise the Representatives of the receipt by any Company of any notification with respect to the suspension of the qualification of the Securities for sale in any jurisdiction or the initiation or threatening of any proceeding for such purpose.</w:t>
      </w:r>
    </w:p>
    <w:p>
      <w:pPr>
        <w:spacing w:after="0" w:line="70" w:lineRule="exact"/>
        <w:rPr>
          <w:rFonts w:ascii="Arial" w:cs="Arial" w:eastAsia="Arial" w:hAnsi="Arial"/>
          <w:sz w:val="17"/>
          <w:szCs w:val="17"/>
          <w:color w:val="auto"/>
        </w:rPr>
      </w:pPr>
    </w:p>
    <w:p>
      <w:pPr>
        <w:ind w:left="800" w:hanging="381"/>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will not, and will not permit any of their respective Affiliates to, resell any Securities that have been acquired by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them.</w:t>
      </w:r>
    </w:p>
    <w:p>
      <w:pPr>
        <w:spacing w:after="0" w:line="102" w:lineRule="exact"/>
        <w:rPr>
          <w:rFonts w:ascii="Arial" w:cs="Arial" w:eastAsia="Arial" w:hAnsi="Arial"/>
          <w:sz w:val="16"/>
          <w:szCs w:val="16"/>
          <w:color w:val="auto"/>
        </w:rPr>
      </w:pPr>
    </w:p>
    <w:p>
      <w:pPr>
        <w:ind w:right="160" w:firstLine="419"/>
        <w:spacing w:after="0" w:line="263" w:lineRule="auto"/>
        <w:tabs>
          <w:tab w:leader="none" w:pos="7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w:t>
      </w:r>
    </w:p>
    <w:p>
      <w:pPr>
        <w:spacing w:after="0" w:line="75" w:lineRule="exact"/>
        <w:rPr>
          <w:rFonts w:ascii="Arial" w:cs="Arial" w:eastAsia="Arial" w:hAnsi="Arial"/>
          <w:sz w:val="18"/>
          <w:szCs w:val="18"/>
          <w:color w:val="auto"/>
        </w:rPr>
      </w:pPr>
    </w:p>
    <w:p>
      <w:pPr>
        <w:jc w:val="both"/>
        <w:ind w:right="60" w:firstLine="419"/>
        <w:spacing w:after="0" w:line="342" w:lineRule="auto"/>
        <w:tabs>
          <w:tab w:leader="none" w:pos="8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None of the Companies or their respective Affiliates, or any person acting on behalf of any of them, will engage in any form of general solicitation or general advertising (within the meaning of Regulation D) in connection with any offer or sale of the Securities in the United States.</w:t>
      </w:r>
    </w:p>
    <w:p>
      <w:pPr>
        <w:spacing w:after="0" w:line="15" w:lineRule="exact"/>
        <w:rPr>
          <w:rFonts w:ascii="Arial" w:cs="Arial" w:eastAsia="Arial" w:hAnsi="Arial"/>
          <w:sz w:val="16"/>
          <w:szCs w:val="16"/>
          <w:color w:val="auto"/>
        </w:rPr>
      </w:pPr>
    </w:p>
    <w:p>
      <w:pPr>
        <w:ind w:right="340" w:firstLine="419"/>
        <w:spacing w:after="0" w:line="308" w:lineRule="auto"/>
        <w:tabs>
          <w:tab w:leader="none" w:pos="813"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 long as any of the Securities are “restricted securities” within the meaning of Rule 144(a)(3) under the Act, each Company will, during any period in which it is not subject to and in compliance with Section 13 or 15(d) of the Exchange Act or it is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21" w:name="page22"/>
    <w:bookmarkEnd w:id="21"/>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w:t>
      </w:r>
    </w:p>
    <w:p>
      <w:pPr>
        <w:spacing w:after="0" w:line="49" w:lineRule="exact"/>
        <w:rPr>
          <w:sz w:val="20"/>
          <w:szCs w:val="20"/>
          <w:color w:val="auto"/>
        </w:rPr>
      </w:pPr>
    </w:p>
    <w:p>
      <w:pPr>
        <w:ind w:firstLine="419"/>
        <w:spacing w:after="0" w:line="263" w:lineRule="auto"/>
        <w:tabs>
          <w:tab w:leader="none" w:pos="7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w:t>
      </w:r>
    </w:p>
    <w:p>
      <w:pPr>
        <w:spacing w:after="0" w:line="75" w:lineRule="exact"/>
        <w:rPr>
          <w:rFonts w:ascii="Arial" w:cs="Arial" w:eastAsia="Arial" w:hAnsi="Arial"/>
          <w:sz w:val="18"/>
          <w:szCs w:val="18"/>
          <w:color w:val="auto"/>
        </w:rPr>
      </w:pPr>
    </w:p>
    <w:p>
      <w:pPr>
        <w:ind w:right="540" w:firstLine="419"/>
        <w:spacing w:after="0" w:line="277" w:lineRule="auto"/>
        <w:tabs>
          <w:tab w:leader="none" w:pos="7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will cooperate with the Representatives and use their respective reasonable best efforts to permit the Notes to be eligible for clearance and settlement through The Depository Trust Company.</w:t>
      </w:r>
    </w:p>
    <w:p>
      <w:pPr>
        <w:spacing w:after="0" w:line="62" w:lineRule="exact"/>
        <w:rPr>
          <w:rFonts w:ascii="Arial" w:cs="Arial" w:eastAsia="Arial" w:hAnsi="Arial"/>
          <w:sz w:val="18"/>
          <w:szCs w:val="18"/>
          <w:color w:val="auto"/>
        </w:rPr>
      </w:pPr>
    </w:p>
    <w:p>
      <w:pPr>
        <w:ind w:firstLine="419"/>
        <w:spacing w:after="0" w:line="254" w:lineRule="auto"/>
        <w:tabs>
          <w:tab w:leader="none" w:pos="8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will not and will not permit any of their subsidiaries to, for a period of 90 days following the Time of Execution, without the prior written consent of the Representatives,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European Holdings S.A. of euro-denominated senior notes and intercompany notes).</w:t>
      </w:r>
    </w:p>
    <w:p>
      <w:pPr>
        <w:spacing w:after="0" w:line="86" w:lineRule="exact"/>
        <w:rPr>
          <w:rFonts w:ascii="Arial" w:cs="Arial" w:eastAsia="Arial" w:hAnsi="Arial"/>
          <w:sz w:val="18"/>
          <w:szCs w:val="18"/>
          <w:color w:val="auto"/>
        </w:rPr>
      </w:pPr>
    </w:p>
    <w:p>
      <w:pPr>
        <w:ind w:right="300" w:firstLine="419"/>
        <w:spacing w:after="0" w:line="263" w:lineRule="auto"/>
        <w:tabs>
          <w:tab w:leader="none" w:pos="7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w:t>
      </w:r>
    </w:p>
    <w:p>
      <w:pPr>
        <w:spacing w:after="0" w:line="75" w:lineRule="exact"/>
        <w:rPr>
          <w:rFonts w:ascii="Arial" w:cs="Arial" w:eastAsia="Arial" w:hAnsi="Arial"/>
          <w:sz w:val="18"/>
          <w:szCs w:val="18"/>
          <w:color w:val="auto"/>
        </w:rPr>
      </w:pPr>
    </w:p>
    <w:p>
      <w:pPr>
        <w:ind w:right="140" w:firstLine="419"/>
        <w:spacing w:after="0" w:line="271" w:lineRule="auto"/>
        <w:tabs>
          <w:tab w:leader="none" w:pos="8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Companies, jointly and severally, agree to pay the costs and expenses relating to the following matters: (i) the preparation of the Indenture, the Registration Rights Agreement,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2" w:name="page23"/>
    <w:bookmarkEnd w:id="22"/>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the transportation and other expenses incurred by or on behalf of the Companies’ representatives in connection with presentations to prospective purchasers of the Securities; (viii) the fees and expenses of the Companies’ accountants and the fees and expenses of counsel (including local and special counsel) for the Companies; (ix) any appraisal or valuation performed in connection with the offering and sale of the Securities; and (x) all other costs and expenses incident to the performance by the Companies of their respective obligations hereunder.</w:t>
      </w:r>
    </w:p>
    <w:p>
      <w:pPr>
        <w:spacing w:after="0" w:line="58" w:lineRule="exact"/>
        <w:rPr>
          <w:sz w:val="20"/>
          <w:szCs w:val="20"/>
          <w:color w:val="auto"/>
        </w:rPr>
      </w:pPr>
    </w:p>
    <w:p>
      <w:pPr>
        <w:ind w:left="440" w:right="40" w:firstLine="419"/>
        <w:spacing w:after="0" w:line="277" w:lineRule="auto"/>
        <w:tabs>
          <w:tab w:leader="none" w:pos="1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Companies will apply the proceeds from the offering and sale of the Securities as provided under the caption “Use of Proceeds” in the Pricing Disclosure Package and the Final Memorandum.</w:t>
      </w:r>
    </w:p>
    <w:p>
      <w:pPr>
        <w:spacing w:after="0" w:line="170" w:lineRule="exact"/>
        <w:rPr>
          <w:rFonts w:ascii="Arial" w:cs="Arial" w:eastAsia="Arial" w:hAnsi="Arial"/>
          <w:sz w:val="18"/>
          <w:szCs w:val="18"/>
          <w:color w:val="auto"/>
        </w:rPr>
      </w:pPr>
    </w:p>
    <w:p>
      <w:pPr>
        <w:ind w:right="60" w:firstLine="987"/>
        <w:spacing w:after="0" w:line="257" w:lineRule="auto"/>
        <w:tabs>
          <w:tab w:leader="none" w:pos="130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Initial Purchasers</w:t>
      </w:r>
      <w:r>
        <w:rPr>
          <w:rFonts w:ascii="Arial" w:cs="Arial" w:eastAsia="Arial" w:hAnsi="Arial"/>
          <w:sz w:val="18"/>
          <w:szCs w:val="18"/>
          <w:color w:val="auto"/>
        </w:rPr>
        <w:t>.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w:t>
      </w:r>
    </w:p>
    <w:p>
      <w:pPr>
        <w:spacing w:after="0" w:line="80" w:lineRule="exact"/>
        <w:rPr>
          <w:sz w:val="20"/>
          <w:szCs w:val="20"/>
          <w:color w:val="auto"/>
        </w:rPr>
      </w:pPr>
    </w:p>
    <w:p>
      <w:pPr>
        <w:ind w:left="440" w:right="20" w:firstLine="419"/>
        <w:spacing w:after="0" w:line="269" w:lineRule="auto"/>
        <w:tabs>
          <w:tab w:leader="none" w:pos="12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Companies shall have requested and caused (i) Dechert LLP, special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and (ii)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w:t>
      </w:r>
    </w:p>
    <w:p>
      <w:pPr>
        <w:spacing w:after="0" w:line="77" w:lineRule="exact"/>
        <w:rPr>
          <w:rFonts w:ascii="Arial" w:cs="Arial" w:eastAsia="Arial" w:hAnsi="Arial"/>
          <w:sz w:val="17"/>
          <w:szCs w:val="17"/>
          <w:color w:val="auto"/>
        </w:rPr>
      </w:pPr>
    </w:p>
    <w:p>
      <w:pPr>
        <w:jc w:val="both"/>
        <w:ind w:left="440" w:right="20" w:firstLine="419"/>
        <w:spacing w:after="0" w:line="259" w:lineRule="auto"/>
        <w:tabs>
          <w:tab w:leader="none" w:pos="1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Initial Purchasers shall have received from Cahill Gordon &amp; Reindel </w:t>
      </w:r>
      <w:r>
        <w:rPr>
          <w:rFonts w:ascii="Arial" w:cs="Arial" w:eastAsia="Arial" w:hAnsi="Arial"/>
          <w:sz w:val="14"/>
          <w:szCs w:val="14"/>
          <w:color w:val="auto"/>
        </w:rPr>
        <w:t>LLP</w:t>
      </w:r>
      <w:r>
        <w:rPr>
          <w:rFonts w:ascii="Arial" w:cs="Arial" w:eastAsia="Arial" w:hAnsi="Arial"/>
          <w:sz w:val="18"/>
          <w:szCs w:val="18"/>
          <w:color w:val="auto"/>
        </w:rPr>
        <w:t>, special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firstLine="419"/>
        <w:spacing w:after="0" w:line="301" w:lineRule="auto"/>
        <w:tabs>
          <w:tab w:leader="none" w:pos="803"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w:t>
      </w:r>
    </w:p>
    <w:p>
      <w:pPr>
        <w:spacing w:after="0" w:line="49" w:lineRule="exact"/>
        <w:rPr>
          <w:rFonts w:ascii="Arial" w:cs="Arial" w:eastAsia="Arial" w:hAnsi="Arial"/>
          <w:sz w:val="16"/>
          <w:szCs w:val="16"/>
          <w:color w:val="auto"/>
        </w:rPr>
      </w:pPr>
    </w:p>
    <w:p>
      <w:pPr>
        <w:ind w:left="540" w:right="80" w:firstLine="408"/>
        <w:spacing w:after="0" w:line="279" w:lineRule="auto"/>
        <w:tabs>
          <w:tab w:leader="none" w:pos="1291"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representations and warranties of the Companies in this Agreement are true and correct in all material respects (other than the representations and warranties set forth in Section 1(rr), (ss) and (tt)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w:t>
      </w:r>
    </w:p>
    <w:p>
      <w:pPr>
        <w:spacing w:after="0" w:line="63" w:lineRule="exact"/>
        <w:rPr>
          <w:rFonts w:ascii="Arial" w:cs="Arial" w:eastAsia="Arial" w:hAnsi="Arial"/>
          <w:sz w:val="17"/>
          <w:szCs w:val="17"/>
          <w:color w:val="auto"/>
        </w:rPr>
      </w:pPr>
    </w:p>
    <w:p>
      <w:pPr>
        <w:ind w:left="540" w:right="120" w:firstLine="408"/>
        <w:spacing w:after="0" w:line="275" w:lineRule="auto"/>
        <w:tabs>
          <w:tab w:leader="none" w:pos="1341" w:val="left"/>
        </w:tabs>
        <w:numPr>
          <w:ilvl w:val="1"/>
          <w:numId w:val="27"/>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w:t>
      </w:r>
    </w:p>
    <w:p>
      <w:pPr>
        <w:spacing w:after="0" w:line="68" w:lineRule="exact"/>
        <w:rPr>
          <w:rFonts w:ascii="Arial" w:cs="Arial" w:eastAsia="Arial" w:hAnsi="Arial"/>
          <w:sz w:val="17"/>
          <w:szCs w:val="17"/>
          <w:color w:val="auto"/>
        </w:rPr>
      </w:pPr>
    </w:p>
    <w:p>
      <w:pPr>
        <w:ind w:firstLine="419"/>
        <w:spacing w:after="0" w:line="296" w:lineRule="auto"/>
        <w:tabs>
          <w:tab w:leader="none" w:pos="8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w:t>
      </w:r>
    </w:p>
    <w:p>
      <w:pPr>
        <w:spacing w:after="0" w:line="53" w:lineRule="exact"/>
        <w:rPr>
          <w:rFonts w:ascii="Arial" w:cs="Arial" w:eastAsia="Arial" w:hAnsi="Arial"/>
          <w:sz w:val="16"/>
          <w:szCs w:val="16"/>
          <w:color w:val="auto"/>
        </w:rPr>
      </w:pPr>
    </w:p>
    <w:p>
      <w:pPr>
        <w:ind w:firstLine="419"/>
        <w:spacing w:after="0" w:line="255" w:lineRule="auto"/>
        <w:tabs>
          <w:tab w:leader="none" w:pos="8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(d)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4" w:name="page25"/>
    <w:bookmarkEnd w:id="24"/>
    <w:p>
      <w:pPr>
        <w:ind w:left="440" w:right="4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41" w:lineRule="exact"/>
        <w:rPr>
          <w:sz w:val="20"/>
          <w:szCs w:val="20"/>
          <w:color w:val="auto"/>
        </w:rPr>
      </w:pPr>
    </w:p>
    <w:p>
      <w:pPr>
        <w:ind w:left="440" w:right="1060" w:firstLine="419"/>
        <w:spacing w:after="0" w:line="342" w:lineRule="auto"/>
        <w:tabs>
          <w:tab w:leader="none" w:pos="12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Companies and the Trustee shall have entered into the Indenture in form and substance reasonably satisfactory to the Representatives, and the Representatives shall have received counterparts, conformed as executed, thereof.</w:t>
      </w:r>
    </w:p>
    <w:p>
      <w:pPr>
        <w:spacing w:after="0" w:line="15" w:lineRule="exact"/>
        <w:rPr>
          <w:rFonts w:ascii="Arial" w:cs="Arial" w:eastAsia="Arial" w:hAnsi="Arial"/>
          <w:sz w:val="16"/>
          <w:szCs w:val="16"/>
          <w:color w:val="auto"/>
        </w:rPr>
      </w:pPr>
    </w:p>
    <w:p>
      <w:pPr>
        <w:ind w:left="440" w:right="140" w:firstLine="419"/>
        <w:spacing w:after="0" w:line="277" w:lineRule="auto"/>
        <w:tabs>
          <w:tab w:leader="none" w:pos="1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Guarantors shall have executed a Guarantee in form and substance reasonably satisfactory to the Representatives, and the Initial Purchasers shall have received counterparts, conformed as executed, thereof.</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Companies and the Initial Purchasers shall have entered into the Registration Rights Agreement.</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Notes shall be eligible for clearance and settlement through the Depository Trust Company.</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2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Companies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w:t>
      </w:r>
    </w:p>
    <w:p>
      <w:pPr>
        <w:spacing w:after="0" w:line="75" w:lineRule="exact"/>
        <w:rPr>
          <w:rFonts w:ascii="Arial" w:cs="Arial" w:eastAsia="Arial" w:hAnsi="Arial"/>
          <w:sz w:val="18"/>
          <w:szCs w:val="18"/>
          <w:color w:val="auto"/>
        </w:rPr>
      </w:pPr>
    </w:p>
    <w:p>
      <w:pPr>
        <w:ind w:left="440" w:right="60" w:firstLine="419"/>
        <w:spacing w:after="0" w:line="259" w:lineRule="auto"/>
        <w:tabs>
          <w:tab w:leader="none" w:pos="1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2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 Closing Date, each of the Companies shall have furnished to the Representatives such further information, certificates and documents as the Representatives may reasonably request.</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Representatives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w:t>
      </w:r>
    </w:p>
    <w:p>
      <w:pPr>
        <w:spacing w:after="0" w:line="18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The documents required to be delivered by this Section 6 will be delivered at the office of Cahill Gordon &amp; Reindel </w:t>
      </w:r>
      <w:r>
        <w:rPr>
          <w:rFonts w:ascii="Arial" w:cs="Arial" w:eastAsia="Arial" w:hAnsi="Arial"/>
          <w:sz w:val="14"/>
          <w:szCs w:val="14"/>
          <w:color w:val="auto"/>
        </w:rPr>
        <w:t>LLP</w:t>
      </w:r>
      <w:r>
        <w:rPr>
          <w:rFonts w:ascii="Arial" w:cs="Arial" w:eastAsia="Arial" w:hAnsi="Arial"/>
          <w:sz w:val="18"/>
          <w:szCs w:val="18"/>
          <w:color w:val="auto"/>
        </w:rPr>
        <w:t>, counsel for the Initial Purchasers, at 32 Old Slip, New York, New York 10005.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 w:name="page26"/>
    <w:bookmarkEnd w:id="25"/>
    <w:p>
      <w:pPr>
        <w:ind w:left="-20" w:right="100" w:firstLine="987"/>
        <w:spacing w:after="0" w:line="273" w:lineRule="auto"/>
        <w:tabs>
          <w:tab w:leader="none" w:pos="128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of Expenses</w:t>
      </w:r>
      <w:r>
        <w:rPr>
          <w:rFonts w:ascii="Arial" w:cs="Arial" w:eastAsia="Arial" w:hAnsi="Arial"/>
          <w:sz w:val="17"/>
          <w:szCs w:val="17"/>
          <w:color w:val="auto"/>
        </w:rPr>
        <w:t>.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Representatives promptly after demand for all reasonable out-of-pocket expenses (including reasonable fees and disbursements of counsel) that shall have been incurred by them in connection with the proposed purchase and sale of the Securities.</w:t>
      </w:r>
    </w:p>
    <w:p>
      <w:pPr>
        <w:spacing w:after="0" w:line="177" w:lineRule="exact"/>
        <w:rPr>
          <w:rFonts w:ascii="Arial" w:cs="Arial" w:eastAsia="Arial" w:hAnsi="Arial"/>
          <w:sz w:val="17"/>
          <w:szCs w:val="17"/>
          <w:color w:val="auto"/>
        </w:rPr>
      </w:pPr>
    </w:p>
    <w:p>
      <w:pPr>
        <w:ind w:left="1280" w:hanging="313"/>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20" w:firstLine="987"/>
        <w:spacing w:after="0" w:line="286" w:lineRule="auto"/>
        <w:tabs>
          <w:tab w:leader="none" w:pos="13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specifically for inclusion therein. This indemnity agreement will be in addition to any liability which the Companies may otherwise have.</w:t>
      </w:r>
    </w:p>
    <w:p>
      <w:pPr>
        <w:spacing w:after="0" w:line="167" w:lineRule="exact"/>
        <w:rPr>
          <w:rFonts w:ascii="Arial" w:cs="Arial" w:eastAsia="Arial" w:hAnsi="Arial"/>
          <w:sz w:val="16"/>
          <w:szCs w:val="16"/>
          <w:color w:val="auto"/>
        </w:rPr>
      </w:pPr>
    </w:p>
    <w:p>
      <w:pPr>
        <w:ind w:left="-20" w:right="20" w:firstLine="987"/>
        <w:spacing w:after="0" w:line="254" w:lineRule="auto"/>
        <w:tabs>
          <w:tab w:leader="none" w:pos="13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Initial Purchaser, severally and not jointly, agrees to indemnify and hold harmless each of the Companies, each of their directors, each of their officers, each of their employees, each of their agents and each person who controls a Company or Guarantor within the meaning of either the Act or the Exchange Act,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fourth sentence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26" w:name="page27"/>
    <w:bookmarkEnd w:id="26"/>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fourteenth paragraph, each under the heading “Plan of Distribution” in the Preliminary Memorandum and Final Memorandum, constitute the only information furnished in writing by or on behalf of the Initial Purchasers for inclusion in the Pricing Disclosure Package and Final Memorandum (or in any amendment or supplement thereto).</w:t>
      </w:r>
    </w:p>
    <w:p>
      <w:pPr>
        <w:spacing w:after="0" w:line="184" w:lineRule="exact"/>
        <w:rPr>
          <w:sz w:val="20"/>
          <w:szCs w:val="20"/>
          <w:color w:val="auto"/>
        </w:rPr>
      </w:pPr>
    </w:p>
    <w:p>
      <w:pPr>
        <w:ind w:firstLine="987"/>
        <w:spacing w:after="0" w:line="284" w:lineRule="auto"/>
        <w:tabs>
          <w:tab w:leader="none" w:pos="13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ind w:left="-20" w:firstLine="987"/>
        <w:spacing w:after="0" w:line="284" w:lineRule="auto"/>
        <w:tabs>
          <w:tab w:leader="none" w:pos="1361"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w:t>
      </w:r>
    </w:p>
    <w:p>
      <w:pPr>
        <w:spacing w:after="0" w:line="391" w:lineRule="exact"/>
        <w:rPr>
          <w:sz w:val="20"/>
          <w:szCs w:val="20"/>
          <w:color w:val="auto"/>
        </w:rPr>
      </w:pPr>
    </w:p>
    <w:p>
      <w:pPr>
        <w:ind w:left="-20" w:right="100" w:firstLine="987"/>
        <w:spacing w:after="0" w:line="257" w:lineRule="auto"/>
        <w:tabs>
          <w:tab w:leader="none" w:pos="128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Default by an Initial Purchaser</w:t>
      </w:r>
      <w:r>
        <w:rPr>
          <w:rFonts w:ascii="Arial" w:cs="Arial" w:eastAsia="Arial" w:hAnsi="Arial"/>
          <w:sz w:val="18"/>
          <w:szCs w:val="18"/>
          <w:color w:val="auto"/>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bears to the aggregate amount of Securities set forth opposite the names of all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60" w:top="274" w:right="479" w:bottom="1440" w:gutter="0" w:footer="0" w:header="0"/>
        </w:sectPr>
      </w:pPr>
    </w:p>
    <w:bookmarkStart w:id="28" w:name="page29"/>
    <w:bookmarkEnd w:id="28"/>
    <w:p>
      <w:pPr>
        <w:ind w:left="4"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remaining Initial Purchasers) the Securities which the defaulting Initial Purchaser or Initial Purchasers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aggregate amount of Securities which the defaulting Initial Purchaser or Initial Purchasers agreed but failed to purchase shall exceed 10% of the aggregate amount of Securities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Representatives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w:t>
      </w:r>
    </w:p>
    <w:p>
      <w:pPr>
        <w:spacing w:after="0" w:line="166" w:lineRule="exact"/>
        <w:rPr>
          <w:sz w:val="20"/>
          <w:szCs w:val="20"/>
          <w:color w:val="auto"/>
        </w:rPr>
      </w:pPr>
    </w:p>
    <w:p>
      <w:pPr>
        <w:ind w:left="4" w:right="120" w:firstLine="987"/>
        <w:spacing w:after="0" w:line="285" w:lineRule="auto"/>
        <w:tabs>
          <w:tab w:leader="none" w:pos="140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American Stock Exchange or the Nasdaq National Market shall have been suspended or limited or minimum prices shall have been established on any such Exchange or the Nasdaq National Market; (ii) a banking moratorium shall have been declared either by Federal or New York State authorities; or</w:t>
      </w:r>
    </w:p>
    <w:p>
      <w:pPr>
        <w:spacing w:after="0" w:line="1" w:lineRule="exact"/>
        <w:rPr>
          <w:rFonts w:ascii="Arial" w:cs="Arial" w:eastAsia="Arial" w:hAnsi="Arial"/>
          <w:sz w:val="16"/>
          <w:szCs w:val="16"/>
          <w:color w:val="auto"/>
        </w:rPr>
      </w:pPr>
    </w:p>
    <w:p>
      <w:pPr>
        <w:ind w:left="4" w:right="60" w:hanging="4"/>
        <w:spacing w:after="0" w:line="253" w:lineRule="auto"/>
        <w:tabs>
          <w:tab w:leader="none" w:pos="3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shall have occurred any outbreak or escalation of hostilities, declaration by the United States of a national emergency or war or other calamity or crisis the effect of which on financial markets is such as to make it, in the sole judgment of the Representatives, impracticable or inadvisable to proceed with the offering or delivery of the Securities as contemplated by the Pricing Disclosure Package and the Final Memorandum (exclusive of any amendment or supplement thereto).</w:t>
      </w:r>
    </w:p>
    <w:p>
      <w:pPr>
        <w:spacing w:after="0" w:line="192" w:lineRule="exact"/>
        <w:rPr>
          <w:rFonts w:ascii="Arial" w:cs="Arial" w:eastAsia="Arial" w:hAnsi="Arial"/>
          <w:sz w:val="18"/>
          <w:szCs w:val="18"/>
          <w:color w:val="auto"/>
        </w:rPr>
      </w:pPr>
    </w:p>
    <w:p>
      <w:pPr>
        <w:ind w:left="4" w:firstLine="987"/>
        <w:spacing w:after="0" w:line="275" w:lineRule="auto"/>
        <w:tabs>
          <w:tab w:leader="none" w:pos="139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w:t>
      </w:r>
    </w:p>
    <w:p>
      <w:pPr>
        <w:spacing w:after="0" w:line="176" w:lineRule="exact"/>
        <w:rPr>
          <w:rFonts w:ascii="Arial" w:cs="Arial" w:eastAsia="Arial" w:hAnsi="Arial"/>
          <w:sz w:val="17"/>
          <w:szCs w:val="17"/>
          <w:color w:val="auto"/>
        </w:rPr>
      </w:pPr>
    </w:p>
    <w:p>
      <w:pPr>
        <w:ind w:left="4" w:right="140" w:firstLine="987"/>
        <w:spacing w:after="0" w:line="25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Initial Purchasers, will be mailed, delivered or telefaxed to the Representatives (BNP Paribas Securities Corp., 787 7th Avenue, Floor 3, New York, New York 10019, Attention: Debt Syndicate; Email: DL.US.Syndicate.Support@us.bnpparibas.com, Phone: (212) 841-2192; Citigroup Global Markets Inc., 388 Greenwich Street, New York, New York 10013, Attention: General Counsel; Mizuho Securities USA LLC, 1271 Avenue of the Americas, New York, New York 10020, fax no.: (212) 205-7812, Attention: Leveraged Capital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9" w:name="page30"/>
    <w:bookmarkEnd w:id="29"/>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Markets); if sent to the Companies, will be mailed, delivered or telefaxed to Crown Holdings, Inc., 770 Township Line Road, Yardley, PA 19067, Attention: General Counsel (email: Adam.Dickstein@crowncork.com), with a copy to Dechert LLP, Cira Center, 2929 Arch Street, Philadelphia, PA 19104, Attention: Ian A. Hartman (fax no.: (215) 994-2222).</w:t>
      </w:r>
    </w:p>
    <w:p>
      <w:pPr>
        <w:spacing w:after="0" w:line="184" w:lineRule="exact"/>
        <w:rPr>
          <w:sz w:val="20"/>
          <w:szCs w:val="20"/>
          <w:color w:val="auto"/>
        </w:rPr>
      </w:pPr>
    </w:p>
    <w:p>
      <w:pPr>
        <w:ind w:firstLine="987"/>
        <w:spacing w:after="0" w:line="263" w:lineRule="auto"/>
        <w:tabs>
          <w:tab w:leader="none" w:pos="139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w:t>
      </w:r>
    </w:p>
    <w:p>
      <w:pPr>
        <w:spacing w:after="0" w:line="183" w:lineRule="exact"/>
        <w:rPr>
          <w:rFonts w:ascii="Arial" w:cs="Arial" w:eastAsia="Arial" w:hAnsi="Arial"/>
          <w:sz w:val="18"/>
          <w:szCs w:val="18"/>
          <w:color w:val="auto"/>
        </w:rPr>
      </w:pPr>
    </w:p>
    <w:p>
      <w:pPr>
        <w:ind w:firstLine="987"/>
        <w:spacing w:after="0" w:line="263" w:lineRule="auto"/>
        <w:tabs>
          <w:tab w:leader="none" w:pos="139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w:t>
      </w:r>
    </w:p>
    <w:p>
      <w:pPr>
        <w:spacing w:after="0" w:line="183" w:lineRule="exact"/>
        <w:rPr>
          <w:rFonts w:ascii="Arial" w:cs="Arial" w:eastAsia="Arial" w:hAnsi="Arial"/>
          <w:sz w:val="18"/>
          <w:szCs w:val="18"/>
          <w:color w:val="auto"/>
        </w:rPr>
      </w:pPr>
    </w:p>
    <w:p>
      <w:pPr>
        <w:ind w:right="260" w:firstLine="987"/>
        <w:spacing w:after="0" w:line="275" w:lineRule="auto"/>
        <w:tabs>
          <w:tab w:leader="none" w:pos="139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constitute an original and all of which together shall constitute one and the same instrument. Delivery of an executed counterpart of a signature page to this Agreement by telecopier, facsimile or other electronic transmission (i.e., a “pdf” or “tif”) complying with the U.S. federal ESIGN Act of 2000 or the New York Electronic Signature and Records Act shall be deemed to have been duly and validly delivered and be valid and effective for all purposes to the fullest extent permitted by applicable law and shall be effective as delivery of a manually executed counterpart to this Agreement.</w:t>
      </w:r>
    </w:p>
    <w:p>
      <w:pPr>
        <w:spacing w:after="0" w:line="176" w:lineRule="exact"/>
        <w:rPr>
          <w:rFonts w:ascii="Arial" w:cs="Arial" w:eastAsia="Arial" w:hAnsi="Arial"/>
          <w:sz w:val="17"/>
          <w:szCs w:val="17"/>
          <w:color w:val="auto"/>
        </w:rPr>
      </w:pPr>
    </w:p>
    <w:p>
      <w:pPr>
        <w:ind w:right="20" w:firstLine="987"/>
        <w:spacing w:after="0" w:line="270" w:lineRule="auto"/>
        <w:tabs>
          <w:tab w:leader="none" w:pos="139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w:t>
      </w:r>
    </w:p>
    <w:p>
      <w:pPr>
        <w:spacing w:after="0" w:line="180" w:lineRule="exact"/>
        <w:rPr>
          <w:rFonts w:ascii="Arial" w:cs="Arial" w:eastAsia="Arial" w:hAnsi="Arial"/>
          <w:sz w:val="17"/>
          <w:szCs w:val="17"/>
          <w:color w:val="auto"/>
        </w:rPr>
      </w:pPr>
    </w:p>
    <w:p>
      <w:pPr>
        <w:ind w:left="1400" w:hanging="413"/>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400" w:hanging="413"/>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which follow, when used in this Agreement, shall have the meanings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specified in Rule 501(b) of Regulation D.</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The City of New York.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shall mean the Investment Company Act of 1940, as amended, and the rules and regulations of the Commission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under the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shall mean Regulation S under the Act.</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ind w:firstLine="987"/>
        <w:spacing w:after="0" w:line="270" w:lineRule="auto"/>
        <w:tabs>
          <w:tab w:leader="none" w:pos="139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Any legal suit, action or proceeding arising out of or based upon this Agreement or the transactions contemplated hereby (“</w:t>
      </w:r>
      <w:r>
        <w:rPr>
          <w:rFonts w:ascii="Arial" w:cs="Arial" w:eastAsia="Arial" w:hAnsi="Arial"/>
          <w:sz w:val="17"/>
          <w:szCs w:val="17"/>
          <w:u w:val="single" w:color="auto"/>
          <w:color w:val="auto"/>
        </w:rPr>
        <w:t>Related Proceedings</w:t>
      </w:r>
      <w:r>
        <w:rPr>
          <w:rFonts w:ascii="Arial" w:cs="Arial" w:eastAsia="Arial" w:hAnsi="Arial"/>
          <w:sz w:val="17"/>
          <w:szCs w:val="17"/>
          <w:color w:val="auto"/>
        </w:rPr>
        <w:t>”) may be instituted in the federal courts of the United States of America or the courts of the State of New York in each case sitting in the borough of Manhattan, the city of New York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each party irrevocably submits to the exclusive jurisdiction (except for suits, actions or proceedings instituted in regard to the enforcement of a judgment of any Specified Court in a Related Proceeding (a “</w:t>
      </w:r>
      <w:r>
        <w:rPr>
          <w:rFonts w:ascii="Arial" w:cs="Arial" w:eastAsia="Arial" w:hAnsi="Arial"/>
          <w:sz w:val="17"/>
          <w:szCs w:val="17"/>
          <w:u w:val="single" w:color="auto"/>
          <w:color w:val="auto"/>
        </w:rPr>
        <w:t>Related Judgment</w:t>
      </w:r>
      <w:r>
        <w:rPr>
          <w:rFonts w:ascii="Arial" w:cs="Arial" w:eastAsia="Arial" w:hAnsi="Arial"/>
          <w:sz w:val="17"/>
          <w:szCs w:val="17"/>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spacing w:after="0" w:line="180" w:lineRule="exact"/>
        <w:rPr>
          <w:rFonts w:ascii="Arial" w:cs="Arial" w:eastAsia="Arial" w:hAnsi="Arial"/>
          <w:sz w:val="17"/>
          <w:szCs w:val="17"/>
          <w:color w:val="auto"/>
        </w:rPr>
      </w:pPr>
    </w:p>
    <w:p>
      <w:pPr>
        <w:ind w:left="1400" w:hanging="413"/>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59" w:lineRule="auto"/>
        <w:tabs>
          <w:tab w:leader="none" w:pos="13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1" w:name="page32"/>
    <w:bookmarkEnd w:id="31"/>
    <w:p>
      <w:pPr>
        <w:ind w:left="-980" w:right="40" w:firstLine="987"/>
        <w:spacing w:after="0" w:line="259" w:lineRule="auto"/>
        <w:tabs>
          <w:tab w:leader="none" w:pos="40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380" w:hanging="373"/>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660" w:hanging="21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720" w:hanging="27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760" w:hanging="31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46" w:lineRule="exact"/>
        <w:rPr>
          <w:sz w:val="20"/>
          <w:szCs w:val="20"/>
          <w:color w:val="auto"/>
        </w:rPr>
      </w:pPr>
    </w:p>
    <w:p>
      <w:pPr>
        <w:ind w:left="260" w:hanging="253"/>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43"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9920"/>
          </w:cols>
          <w:pgMar w:left="1420" w:top="274" w:right="559" w:bottom="1440" w:gutter="0" w:footer="0" w:header="0"/>
        </w:sectPr>
      </w:pPr>
    </w:p>
    <w:bookmarkStart w:id="32" w:name="page33"/>
    <w:bookmarkEnd w:id="32"/>
    <w:p>
      <w:pPr>
        <w:ind w:right="34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among the Companies and the several Initial Purchasers.</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980"/>
          </w:cols>
          <w:pgMar w:left="440" w:top="274" w:right="479" w:bottom="1440" w:gutter="0" w:footer="0" w:header="0"/>
        </w:sectPr>
      </w:pPr>
    </w:p>
    <w:bookmarkStart w:id="33" w:name="page34"/>
    <w:bookmarkEnd w:id="33"/>
    <w:p>
      <w:pPr>
        <w:ind w:left="56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 USA,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BEVERAGE PACKAGING PUERTO RICO,</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HOLDINGS,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FINANCIAL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620"/>
          </w:cols>
          <w:pgMar w:left="1440" w:top="274" w:right="839" w:bottom="1440" w:gutter="0" w:footer="0" w:header="0"/>
        </w:sectPr>
      </w:pPr>
    </w:p>
    <w:bookmarkStart w:id="34" w:name="page35"/>
    <w:bookmarkEnd w:id="3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MANUFACTURERS FINANCE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Ronald S. Cenderelli</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INTERNATIONAL HOLDINGS,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PACKAGING TECHNOLOGY, INC.</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Purchase Agreement]</w:t>
      </w:r>
    </w:p>
    <w:p>
      <w:pPr>
        <w:sectPr>
          <w:pgSz w:w="11900" w:h="16838" w:orient="portrait"/>
          <w:cols w:equalWidth="0" w:num="1">
            <w:col w:w="9180"/>
          </w:cols>
          <w:pgMar w:left="1440" w:top="274" w:right="1279" w:bottom="1440" w:gutter="0" w:footer="0" w:header="0"/>
        </w:sectPr>
      </w:pPr>
    </w:p>
    <w:bookmarkStart w:id="35" w:name="page36"/>
    <w:bookmarkEnd w:id="3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Keith Heaverlo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Keith Heaverlo</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Sr. Vice President, Treasurer &amp; CFO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820"/>
          </w:cols>
          <w:pgMar w:left="1440" w:top="274" w:right="6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Rafael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Rafael Ribeiro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For itself and the other several Initial Purchasers named in Schedule I to the foregoing Agreement.</w:t>
      </w:r>
    </w:p>
    <w:p>
      <w:pPr>
        <w:spacing w:after="0" w:line="20" w:lineRule="exact"/>
        <w:rPr>
          <w:sz w:val="20"/>
          <w:szCs w:val="20"/>
          <w:color w:val="auto"/>
        </w:rPr>
      </w:pPr>
      <w:r>
        <w:rPr>
          <w:sz w:val="20"/>
          <w:szCs w:val="20"/>
          <w:color w:val="auto"/>
        </w:rPr>
        <w:br w:type="column"/>
      </w:r>
    </w:p>
    <w:p>
      <w:pPr>
        <w:ind w:left="2580"/>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-387985</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2">
            <w:col w:w="3320" w:space="720"/>
            <w:col w:w="6900"/>
          </w:cols>
          <w:pgMar w:left="440" w:top="274" w:right="5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Justin Tichauer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Justin Tichauer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 Initial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Purchasers named in Schedule 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224"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019"/>
          </w:cols>
          <w:pgMar w:left="440" w:top="274"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Dweck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John Dweck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 Initial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Purchasers named in Schedule 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224"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019"/>
          </w:cols>
          <w:pgMar w:left="440" w:top="274"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180" w:type="dxa"/>
            <w:vAlign w:val="bottom"/>
            <w:gridSpan w:val="2"/>
          </w:tcPr>
          <w:p>
            <w:pPr>
              <w:jc w:val="right"/>
              <w:ind w:right="3908"/>
              <w:spacing w:after="0"/>
              <w:rPr>
                <w:sz w:val="20"/>
                <w:szCs w:val="20"/>
                <w:color w:val="auto"/>
              </w:rPr>
            </w:pPr>
            <w:r>
              <w:rPr>
                <w:rFonts w:ascii="Arial" w:cs="Arial" w:eastAsia="Arial" w:hAnsi="Arial"/>
                <w:sz w:val="18"/>
                <w:szCs w:val="18"/>
                <w:b w:val="1"/>
                <w:bCs w:val="1"/>
                <w:color w:val="auto"/>
              </w:rPr>
              <w:t>SCHEDULE I</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4"/>
                <w:szCs w:val="14"/>
                <w:color w:val="auto"/>
                <w:w w:val="96"/>
              </w:rPr>
              <w:t>Principal Amount</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color w:val="auto"/>
                <w:w w:val="91"/>
              </w:rPr>
              <w:t>Initial Purchasers</w:t>
            </w:r>
          </w:p>
        </w:tc>
        <w:tc>
          <w:tcPr>
            <w:tcW w:w="286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3"/>
              </w:rPr>
              <w:t>of Securities</w:t>
            </w:r>
          </w:p>
        </w:tc>
        <w:tc>
          <w:tcPr>
            <w:tcW w:w="0" w:type="dxa"/>
            <w:vAlign w:val="bottom"/>
          </w:tcPr>
          <w:p>
            <w:pPr>
              <w:spacing w:after="0"/>
              <w:rPr>
                <w:sz w:val="1"/>
                <w:szCs w:val="1"/>
                <w:color w:val="auto"/>
              </w:rPr>
            </w:pPr>
          </w:p>
        </w:tc>
      </w:tr>
      <w:tr>
        <w:trPr>
          <w:trHeight w:val="174"/>
        </w:trPr>
        <w:tc>
          <w:tcPr>
            <w:tcW w:w="100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6080" w:type="dxa"/>
            <w:vAlign w:val="bottom"/>
          </w:tcPr>
          <w:p>
            <w:pPr>
              <w:spacing w:after="0"/>
              <w:rPr>
                <w:sz w:val="15"/>
                <w:szCs w:val="15"/>
                <w:color w:val="auto"/>
              </w:rPr>
            </w:pPr>
          </w:p>
        </w:tc>
        <w:tc>
          <w:tcPr>
            <w:tcW w:w="1080" w:type="dxa"/>
            <w:vAlign w:val="bottom"/>
            <w:gridSpan w:val="4"/>
          </w:tcPr>
          <w:p>
            <w:pPr>
              <w:jc w:val="center"/>
              <w:ind w:right="80"/>
              <w:spacing w:after="0" w:line="154" w:lineRule="exact"/>
              <w:rPr>
                <w:sz w:val="20"/>
                <w:szCs w:val="20"/>
                <w:color w:val="auto"/>
              </w:rPr>
            </w:pPr>
            <w:r>
              <w:rPr>
                <w:rFonts w:ascii="Arial" w:cs="Arial" w:eastAsia="Arial" w:hAnsi="Arial"/>
                <w:sz w:val="14"/>
                <w:szCs w:val="14"/>
                <w:color w:val="auto"/>
                <w:w w:val="90"/>
              </w:rPr>
              <w:t>to be Purchased</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BNP Paribas Securities Corp.</w:t>
            </w:r>
          </w:p>
        </w:tc>
        <w:tc>
          <w:tcPr>
            <w:tcW w:w="6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75,000,000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75,000,000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75,000,000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Citizens Capital Markets, Inc.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Rabo Securities USA, Inc.</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UniCredit Capital Markets LLC</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Guarantors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CROWN Beverage Packaging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Foreign Manufacturers Finance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020" w:space="720"/>
            <w:col w:w="4279"/>
          </w:cols>
          <w:pgMar w:left="440" w:top="270" w:right="1440"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Restrictions for Offers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Sales Outside the United States</w:t>
      </w:r>
    </w:p>
    <w:p>
      <w:pPr>
        <w:spacing w:after="0" w:line="211" w:lineRule="exact"/>
        <w:rPr>
          <w:sz w:val="20"/>
          <w:szCs w:val="20"/>
          <w:color w:val="auto"/>
        </w:rPr>
      </w:pPr>
    </w:p>
    <w:p>
      <w:pPr>
        <w:ind w:right="20" w:firstLine="987"/>
        <w:spacing w:after="0" w:line="287" w:lineRule="auto"/>
        <w:tabs>
          <w:tab w:leader="none" w:pos="130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w:t>
      </w:r>
    </w:p>
    <w:p>
      <w:pPr>
        <w:spacing w:after="0" w:line="64" w:lineRule="exact"/>
        <w:rPr>
          <w:sz w:val="20"/>
          <w:szCs w:val="20"/>
          <w:color w:val="auto"/>
        </w:rPr>
      </w:pPr>
    </w:p>
    <w:p>
      <w:pPr>
        <w:ind w:left="440" w:right="100"/>
        <w:spacing w:after="0" w:line="279" w:lineRule="auto"/>
        <w:rPr>
          <w:sz w:val="20"/>
          <w:szCs w:val="20"/>
          <w:color w:val="auto"/>
        </w:rPr>
      </w:pPr>
      <w:r>
        <w:rPr>
          <w:rFonts w:ascii="Arial" w:cs="Arial" w:eastAsia="Arial" w:hAnsi="Arial"/>
          <w:sz w:val="17"/>
          <w:szCs w:val="17"/>
          <w:color w:val="auto"/>
        </w:rPr>
        <w:t>“The Securities covered hereby have not been registered under the U.S. Securities Act of 1933 (the “Act”)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w:t>
      </w:r>
    </w:p>
    <w:p>
      <w:pPr>
        <w:spacing w:after="0" w:line="171" w:lineRule="exact"/>
        <w:rPr>
          <w:sz w:val="20"/>
          <w:szCs w:val="20"/>
          <w:color w:val="auto"/>
        </w:rPr>
      </w:pPr>
    </w:p>
    <w:p>
      <w:pPr>
        <w:ind w:right="140" w:firstLine="987"/>
        <w:spacing w:after="0" w:line="308" w:lineRule="auto"/>
        <w:tabs>
          <w:tab w:leader="none" w:pos="1381"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Initial Purchaser also represents and agrees that it has not entered and will not enter into any contractual arrangement with any distributor with respect to the distribution of the Securities, except with its Affiliates or with the prior written consent of the Companies.</w:t>
      </w:r>
    </w:p>
    <w:p>
      <w:pPr>
        <w:spacing w:after="0" w:line="146" w:lineRule="exact"/>
        <w:rPr>
          <w:rFonts w:ascii="Arial" w:cs="Arial" w:eastAsia="Arial" w:hAnsi="Arial"/>
          <w:sz w:val="17"/>
          <w:szCs w:val="17"/>
          <w:color w:val="auto"/>
        </w:rPr>
      </w:pPr>
    </w:p>
    <w:p>
      <w:pPr>
        <w:ind w:left="1360" w:hanging="373"/>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Terms used in this section have the meanings given to them by Regulation S.</w:t>
      </w:r>
    </w:p>
    <w:p>
      <w:pPr>
        <w:spacing w:after="0" w:line="225" w:lineRule="exact"/>
        <w:rPr>
          <w:sz w:val="20"/>
          <w:szCs w:val="20"/>
          <w:color w:val="auto"/>
        </w:rPr>
      </w:pPr>
    </w:p>
    <w:p>
      <w:pPr>
        <w:ind w:left="5220" w:right="1900" w:hanging="4233"/>
        <w:spacing w:after="0" w:line="449" w:lineRule="auto"/>
        <w:tabs>
          <w:tab w:leader="none" w:pos="13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and warrants and agrees with the Companies that: Ex. A-1</w:t>
      </w:r>
    </w:p>
    <w:p>
      <w:pPr>
        <w:sectPr>
          <w:pgSz w:w="11900" w:h="16838" w:orient="portrait"/>
          <w:cols w:equalWidth="0" w:num="1">
            <w:col w:w="11020"/>
          </w:cols>
          <w:pgMar w:left="440" w:top="270" w:right="439" w:bottom="1440" w:gutter="0" w:footer="0" w:header="0"/>
        </w:sectPr>
      </w:pPr>
    </w:p>
    <w:bookmarkStart w:id="42" w:name="page43"/>
    <w:bookmarkEnd w:id="42"/>
    <w:p>
      <w:pPr>
        <w:ind w:right="100" w:firstLine="419"/>
        <w:spacing w:after="0" w:line="259" w:lineRule="auto"/>
        <w:tabs>
          <w:tab w:leader="none" w:pos="803"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has only communicated or caused to be communicated and will only communicate or cause to be communicated an invitation or inducement to engage in investment activity (within the meaning of Section 21 of the United Kingdom Financial Services and Markets Act 2000 (the “</w:t>
      </w:r>
      <w:r>
        <w:rPr>
          <w:rFonts w:ascii="Arial" w:cs="Arial" w:eastAsia="Arial" w:hAnsi="Arial"/>
          <w:sz w:val="18"/>
          <w:szCs w:val="18"/>
          <w:u w:val="single" w:color="auto"/>
          <w:color w:val="auto"/>
        </w:rPr>
        <w:t>FSMA</w:t>
      </w:r>
      <w:r>
        <w:rPr>
          <w:rFonts w:ascii="Arial" w:cs="Arial" w:eastAsia="Arial" w:hAnsi="Arial"/>
          <w:sz w:val="18"/>
          <w:szCs w:val="18"/>
          <w:color w:val="auto"/>
        </w:rPr>
        <w:t>”)) received by it in connection with the issue or sale of the Notes in circumstances in which Section 21(1) of the FSMA does not apply to the Companies; and</w:t>
      </w:r>
    </w:p>
    <w:p>
      <w:pPr>
        <w:spacing w:after="0" w:line="78" w:lineRule="exact"/>
        <w:rPr>
          <w:rFonts w:ascii="Arial" w:cs="Arial" w:eastAsia="Arial" w:hAnsi="Arial"/>
          <w:sz w:val="18"/>
          <w:szCs w:val="18"/>
          <w:color w:val="auto"/>
        </w:rPr>
      </w:pPr>
    </w:p>
    <w:p>
      <w:pPr>
        <w:ind w:firstLine="419"/>
        <w:spacing w:after="0" w:line="277" w:lineRule="auto"/>
        <w:tabs>
          <w:tab w:leader="none" w:pos="8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Ex. A-2</w:t>
      </w:r>
    </w:p>
    <w:sectPr>
      <w:pgSz w:w="11900" w:h="16838" w:orient="portrait"/>
      <w:cols w:equalWidth="0" w:num="1">
        <w:col w:w="10520"/>
      </w:cols>
      <w:pgMar w:left="88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4"/>
    </w:lvl>
  </w:abstractNum>
  <w:abstractNum w:abstractNumId="4">
    <w:nsid w:val="79838CB2"/>
    <w:multiLevelType w:val="hybridMultilevel"/>
    <w:lvl w:ilvl="0">
      <w:lvlJc w:val="left"/>
      <w:lvlText w:val="(%1)"/>
      <w:numFmt w:val="lowerLetter"/>
      <w:start w:val="14"/>
    </w:lvl>
  </w:abstractNum>
  <w:abstractNum w:abstractNumId="5">
    <w:nsid w:val="4353D0CD"/>
    <w:multiLevelType w:val="hybridMultilevel"/>
    <w:lvl w:ilvl="0">
      <w:lvlJc w:val="left"/>
      <w:lvlText w:val="(%1)"/>
      <w:numFmt w:val="lowerLetter"/>
      <w:start w:val="19"/>
    </w:lvl>
  </w:abstractNum>
  <w:abstractNum w:abstractNumId="6">
    <w:nsid w:val="B03E0C6"/>
    <w:multiLevelType w:val="hybridMultilevel"/>
    <w:lvl w:ilvl="0">
      <w:lvlJc w:val="left"/>
      <w:lvlText w:val="(%1)"/>
      <w:numFmt w:val="lowerLetter"/>
      <w:start w:val="23"/>
    </w:lvl>
  </w:abstractNum>
  <w:abstractNum w:abstractNumId="7">
    <w:nsid w:val="189A769B"/>
    <w:multiLevelType w:val="hybridMultilevel"/>
    <w:lvl w:ilvl="0">
      <w:lvlJc w:val="left"/>
      <w:lvlText w:val="(%1)"/>
      <w:numFmt w:val="lowerLetter"/>
      <w:start w:val="27"/>
    </w:lvl>
  </w:abstractNum>
  <w:abstractNum w:abstractNumId="8">
    <w:nsid w:val="54E49EB4"/>
    <w:multiLevelType w:val="hybridMultilevel"/>
    <w:lvl w:ilvl="0">
      <w:lvlJc w:val="left"/>
      <w:lvlText w:val="(%1)"/>
      <w:numFmt w:val="lowerLetter"/>
      <w:start w:val="28"/>
    </w:lvl>
  </w:abstractNum>
  <w:abstractNum w:abstractNumId="9">
    <w:nsid w:val="71F32454"/>
    <w:multiLevelType w:val="hybridMultilevel"/>
    <w:lvl w:ilvl="0">
      <w:lvlJc w:val="left"/>
      <w:lvlText w:val="(%1)"/>
      <w:numFmt w:val="lowerLetter"/>
      <w:start w:val="31"/>
    </w:lvl>
  </w:abstractNum>
  <w:abstractNum w:abstractNumId="10">
    <w:nsid w:val="2CA88611"/>
    <w:multiLevelType w:val="hybridMultilevel"/>
    <w:lvl w:ilvl="0">
      <w:lvlJc w:val="left"/>
      <w:lvlText w:val="(%1)"/>
      <w:numFmt w:val="lowerLetter"/>
      <w:start w:val="35"/>
    </w:lvl>
  </w:abstractNum>
  <w:abstractNum w:abstractNumId="11">
    <w:nsid w:val="836C40E"/>
    <w:multiLevelType w:val="hybridMultilevel"/>
    <w:lvl w:ilvl="0">
      <w:lvlJc w:val="left"/>
      <w:lvlText w:val="%1"/>
      <w:numFmt w:val="lowerLetter"/>
      <w:start w:val="1"/>
    </w:lvl>
    <w:lvl w:ilvl="1">
      <w:lvlJc w:val="left"/>
      <w:lvlText w:val="(%2)"/>
      <w:numFmt w:val="lowerLetter"/>
      <w:start w:val="39"/>
    </w:lvl>
  </w:abstractNum>
  <w:abstractNum w:abstractNumId="12">
    <w:nsid w:val="2901D82"/>
    <w:multiLevelType w:val="hybridMultilevel"/>
    <w:lvl w:ilvl="0">
      <w:lvlJc w:val="left"/>
      <w:lvlText w:val="(%1)"/>
      <w:numFmt w:val="lowerLetter"/>
      <w:start w:val="9"/>
    </w:lvl>
    <w:lvl w:ilvl="1">
      <w:lvlJc w:val="left"/>
      <w:lvlText w:val="%2"/>
      <w:numFmt w:val="lowerLetter"/>
      <w:start w:val="1"/>
    </w:lvl>
  </w:abstractNum>
  <w:abstractNum w:abstractNumId="13">
    <w:nsid w:val="3A95F874"/>
    <w:multiLevelType w:val="hybridMultilevel"/>
    <w:lvl w:ilvl="0">
      <w:lvlJc w:val="left"/>
      <w:lvlText w:val="(%1)"/>
      <w:numFmt w:val="lowerLetter"/>
      <w:start w:val="61"/>
    </w:lvl>
    <w:lvl w:ilvl="1">
      <w:lvlJc w:val="left"/>
      <w:lvlText w:val="(%2)"/>
      <w:numFmt w:val="lowerLetter"/>
      <w:start w:val="41"/>
    </w:lvl>
  </w:abstractNum>
  <w:abstractNum w:abstractNumId="14">
    <w:nsid w:val="8138641"/>
    <w:multiLevelType w:val="hybridMultilevel"/>
    <w:lvl w:ilvl="0">
      <w:lvlJc w:val="left"/>
      <w:lvlText w:val="(%1)"/>
      <w:numFmt w:val="lowerLetter"/>
      <w:start w:val="42"/>
    </w:lvl>
  </w:abstractNum>
  <w:abstractNum w:abstractNumId="15">
    <w:nsid w:val="1E7FF521"/>
    <w:multiLevelType w:val="hybridMultilevel"/>
    <w:lvl w:ilvl="0">
      <w:lvlJc w:val="left"/>
      <w:lvlText w:val="(%1)"/>
      <w:numFmt w:val="lowerLetter"/>
      <w:start w:val="45"/>
    </w:lvl>
  </w:abstractNum>
  <w:abstractNum w:abstractNumId="16">
    <w:nsid w:val="7C3DBD3D"/>
    <w:multiLevelType w:val="hybridMultilevel"/>
    <w:lvl w:ilvl="0">
      <w:lvlJc w:val="left"/>
      <w:lvlText w:val="(%1)"/>
      <w:numFmt w:val="lowerLetter"/>
      <w:start w:val="48"/>
    </w:lvl>
  </w:abstractNum>
  <w:abstractNum w:abstractNumId="17">
    <w:nsid w:val="737B8DDC"/>
    <w:multiLevelType w:val="hybridMultilevel"/>
    <w:lvl w:ilvl="0">
      <w:lvlJc w:val="left"/>
      <w:lvlText w:val="%1"/>
      <w:numFmt w:val="lowerLetter"/>
      <w:start w:val="1"/>
    </w:lvl>
    <w:lvl w:ilvl="1">
      <w:lvlJc w:val="left"/>
      <w:lvlText w:val="%2."/>
      <w:numFmt w:val="decimal"/>
      <w:start w:val="2"/>
    </w:lvl>
  </w:abstractNum>
  <w:abstractNum w:abstractNumId="18">
    <w:nsid w:val="6CEAF087"/>
    <w:multiLevelType w:val="hybridMultilevel"/>
    <w:lvl w:ilvl="0">
      <w:lvlJc w:val="left"/>
      <w:lvlText w:val="(%1)"/>
      <w:numFmt w:val="lowerLetter"/>
      <w:start w:val="1"/>
    </w:lvl>
    <w:lvl w:ilvl="1">
      <w:lvlJc w:val="left"/>
      <w:lvlText w:val="%2"/>
      <w:numFmt w:val="decimal"/>
      <w:start w:val="1"/>
    </w:lvl>
  </w:abstractNum>
  <w:abstractNum w:abstractNumId="19">
    <w:nsid w:val="22221A70"/>
    <w:multiLevelType w:val="hybridMultilevel"/>
    <w:lvl w:ilvl="0">
      <w:lvlJc w:val="left"/>
      <w:lvlText w:val="(%1)"/>
      <w:numFmt w:val="lowerLetter"/>
      <w:start w:val="3"/>
    </w:lvl>
  </w:abstractNum>
  <w:abstractNum w:abstractNumId="20">
    <w:nsid w:val="4516DDE9"/>
    <w:multiLevelType w:val="hybridMultilevel"/>
    <w:lvl w:ilvl="0">
      <w:lvlJc w:val="left"/>
      <w:lvlText w:val="%1"/>
      <w:numFmt w:val="lowerLetter"/>
      <w:start w:val="1"/>
    </w:lvl>
    <w:lvl w:ilvl="1">
      <w:lvlJc w:val="left"/>
      <w:lvlText w:val="%2."/>
      <w:numFmt w:val="decimal"/>
      <w:start w:val="5"/>
    </w:lvl>
  </w:abstractNum>
  <w:abstractNum w:abstractNumId="21">
    <w:nsid w:val="3006C83E"/>
    <w:multiLevelType w:val="hybridMultilevel"/>
    <w:lvl w:ilvl="0">
      <w:lvlJc w:val="left"/>
      <w:lvlText w:val="(%1)"/>
      <w:numFmt w:val="lowerLetter"/>
      <w:start w:val="1"/>
    </w:lvl>
    <w:lvl w:ilvl="1">
      <w:lvlJc w:val="left"/>
      <w:lvlText w:val="%2"/>
      <w:numFmt w:val="decimal"/>
      <w:start w:val="1"/>
    </w:lvl>
  </w:abstractNum>
  <w:abstractNum w:abstractNumId="22">
    <w:nsid w:val="614FD4A1"/>
    <w:multiLevelType w:val="hybridMultilevel"/>
    <w:lvl w:ilvl="0">
      <w:lvlJc w:val="left"/>
      <w:lvlText w:val="(%1)"/>
      <w:numFmt w:val="lowerLetter"/>
      <w:start w:val="3"/>
    </w:lvl>
  </w:abstractNum>
  <w:abstractNum w:abstractNumId="23">
    <w:nsid w:val="419AC241"/>
    <w:multiLevelType w:val="hybridMultilevel"/>
    <w:lvl w:ilvl="0">
      <w:lvlJc w:val="left"/>
      <w:lvlText w:val="(%1)"/>
      <w:numFmt w:val="lowerLetter"/>
      <w:start w:val="9"/>
    </w:lvl>
  </w:abstractNum>
  <w:abstractNum w:abstractNumId="24">
    <w:nsid w:val="5577F8E1"/>
    <w:multiLevelType w:val="hybridMultilevel"/>
    <w:lvl w:ilvl="0">
      <w:lvlJc w:val="left"/>
      <w:lvlText w:val="(%1)"/>
      <w:numFmt w:val="lowerLetter"/>
      <w:start w:val="14"/>
    </w:lvl>
    <w:lvl w:ilvl="1">
      <w:lvlJc w:val="left"/>
      <w:lvlText w:val="%2."/>
      <w:numFmt w:val="decimal"/>
      <w:start w:val="6"/>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3"/>
    </w:lvl>
    <w:lvl w:ilvl="1">
      <w:lvlJc w:val="left"/>
      <w:lvlText w:val="(%2)"/>
      <w:numFmt w:val="lowerRoman"/>
      <w:start w:val="1"/>
    </w:lvl>
  </w:abstractNum>
  <w:abstractNum w:abstractNumId="27">
    <w:nsid w:val="3804823E"/>
    <w:multiLevelType w:val="hybridMultilevel"/>
    <w:lvl w:ilvl="0">
      <w:lvlJc w:val="left"/>
      <w:lvlText w:val="(%1)"/>
      <w:numFmt w:val="lowerLetter"/>
      <w:start w:val="6"/>
    </w:lvl>
  </w:abstractNum>
  <w:abstractNum w:abstractNumId="28">
    <w:nsid w:val="77465F01"/>
    <w:multiLevelType w:val="hybridMultilevel"/>
    <w:lvl w:ilvl="0">
      <w:lvlJc w:val="left"/>
      <w:lvlText w:val="%1."/>
      <w:numFmt w:val="decimal"/>
      <w:start w:val="7"/>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lowerLetter"/>
      <w:start w:val="4"/>
    </w:lvl>
  </w:abstractNum>
  <w:abstractNum w:abstractNumId="32">
    <w:nsid w:val="5E884ADC"/>
    <w:multiLevelType w:val="hybridMultilevel"/>
    <w:lvl w:ilvl="0">
      <w:lvlJc w:val="left"/>
      <w:lvlText w:val="%1."/>
      <w:numFmt w:val="decimal"/>
      <w:start w:val="9"/>
    </w:lvl>
  </w:abstractNum>
  <w:abstractNum w:abstractNumId="33">
    <w:nsid w:val="51EAD36B"/>
    <w:multiLevelType w:val="hybridMultilevel"/>
    <w:lvl w:ilvl="0">
      <w:lvlJc w:val="left"/>
      <w:lvlText w:val="%1"/>
      <w:numFmt w:val="lowerRoman"/>
      <w:start w:val="1"/>
    </w:lvl>
    <w:lvl w:ilvl="1">
      <w:lvlJc w:val="left"/>
      <w:lvlText w:val="%2."/>
      <w:numFmt w:val="decimal"/>
      <w:start w:val="10"/>
    </w:lvl>
  </w:abstractNum>
  <w:abstractNum w:abstractNumId="34">
    <w:nsid w:val="2D517796"/>
    <w:multiLevelType w:val="hybridMultilevel"/>
    <w:lvl w:ilvl="0">
      <w:lvlJc w:val="left"/>
      <w:lvlText w:val="(%1)"/>
      <w:numFmt w:val="lowerRoman"/>
      <w:start w:val="3"/>
    </w:lvl>
    <w:lvl w:ilvl="1">
      <w:lvlJc w:val="left"/>
      <w:lvlText w:val="%2."/>
      <w:numFmt w:val="decimal"/>
      <w:start w:val="11"/>
    </w:lvl>
  </w:abstractNum>
  <w:abstractNum w:abstractNumId="35">
    <w:nsid w:val="580BD78F"/>
    <w:multiLevelType w:val="hybridMultilevel"/>
    <w:lvl w:ilvl="0">
      <w:lvlJc w:val="left"/>
      <w:lvlText w:val="%1."/>
      <w:numFmt w:val="decimal"/>
      <w:start w:val="13"/>
    </w:lvl>
  </w:abstractNum>
  <w:abstractNum w:abstractNumId="36">
    <w:nsid w:val="153EA438"/>
    <w:multiLevelType w:val="hybridMultilevel"/>
    <w:lvl w:ilvl="0">
      <w:lvlJc w:val="left"/>
      <w:lvlText w:val="%1."/>
      <w:numFmt w:val="decimal"/>
      <w:start w:val="19"/>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2"/>
    </w:lvl>
  </w:abstractNum>
  <w:abstractNum w:abstractNumId="39">
    <w:nsid w:val="6A2342EC"/>
    <w:multiLevelType w:val="hybridMultilevel"/>
    <w:lvl w:ilvl="0">
      <w:lvlJc w:val="left"/>
      <w:lvlText w:val="(%1)"/>
      <w:numFmt w:val="lowerRoman"/>
      <w:start w:val="1"/>
    </w:lvl>
  </w:abstractNum>
  <w:abstractNum w:abstractNumId="40">
    <w:nsid w:val="2A487CB0"/>
    <w:multiLevelType w:val="hybridMultilevel"/>
    <w:lvl w:ilvl="0">
      <w:lvlJc w:val="left"/>
      <w:lvlText w:val="(%1)"/>
      <w:numFmt w:val="lowerRoman"/>
      <w:start w:val="2"/>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2022-03-17T16:30:05Z</dcterms:created>
  <dcterms:modified xsi:type="dcterms:W3CDTF">2022-03-17T16:30:05Z</dcterms:modified>
</cp:coreProperties>
</file>