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11-K</w:t>
      </w:r>
    </w:p>
    <w:p>
      <w:pPr>
        <w:sectPr>
          <w:pgSz w:w="11900" w:h="16838" w:orient="portrait"/>
          <w:cols w:equalWidth="0" w:num="1">
            <w:col w:w="9019"/>
          </w:cols>
          <w:pgMar w:left="1440" w:top="1440" w:right="1440"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 X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ANNUAL REPORT PURSUANT TO SECTION 15(d)</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1060" w:space="720"/>
            <w:col w:w="7239"/>
          </w:cols>
          <w:pgMar w:left="1440" w:top="1440" w:right="1440" w:bottom="1440" w:gutter="0" w:footer="0" w:header="0"/>
          <w:type w:val="continuous"/>
        </w:sectPr>
      </w:pPr>
    </w:p>
    <w:p>
      <w:pPr>
        <w:spacing w:after="0" w:line="200" w:lineRule="exact"/>
        <w:rPr>
          <w:sz w:val="24"/>
          <w:szCs w:val="24"/>
          <w:color w:val="auto"/>
        </w:rPr>
      </w:pPr>
    </w:p>
    <w:p>
      <w:pPr>
        <w:spacing w:after="0" w:line="292" w:lineRule="exact"/>
        <w:rPr>
          <w:sz w:val="24"/>
          <w:szCs w:val="24"/>
          <w:color w:val="auto"/>
        </w:rPr>
      </w:pPr>
    </w:p>
    <w:p>
      <w:pPr>
        <w:ind w:left="1780"/>
        <w:spacing w:after="0"/>
        <w:rPr>
          <w:sz w:val="20"/>
          <w:szCs w:val="20"/>
          <w:color w:val="auto"/>
        </w:rPr>
      </w:pPr>
      <w:r>
        <w:rPr>
          <w:rFonts w:ascii="Arial" w:cs="Arial" w:eastAsia="Arial" w:hAnsi="Arial"/>
          <w:sz w:val="19"/>
          <w:szCs w:val="19"/>
          <w:b w:val="1"/>
          <w:bCs w:val="1"/>
          <w:color w:val="auto"/>
        </w:rPr>
        <w:t>For the fiscal year ended December 31, 2018</w:t>
      </w:r>
    </w:p>
    <w:p>
      <w:pPr>
        <w:spacing w:after="0" w:line="200" w:lineRule="exact"/>
        <w:rPr>
          <w:sz w:val="24"/>
          <w:szCs w:val="24"/>
          <w:color w:val="auto"/>
        </w:rPr>
      </w:pPr>
    </w:p>
    <w:p>
      <w:pPr>
        <w:spacing w:after="0" w:line="203"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Commission File Number 000-50189</w:t>
      </w:r>
    </w:p>
    <w:p>
      <w:pPr>
        <w:sectPr>
          <w:pgSz w:w="11900" w:h="16838" w:orient="portrait"/>
          <w:cols w:equalWidth="0" w:num="1">
            <w:col w:w="9019"/>
          </w:cols>
          <w:pgMar w:left="1440" w:top="1440" w:right="1440" w:bottom="1440" w:gutter="0" w:footer="0" w:header="0"/>
          <w:type w:val="continuous"/>
        </w:sectPr>
      </w:pPr>
    </w:p>
    <w:p>
      <w:pPr>
        <w:spacing w:after="0" w:line="395" w:lineRule="exact"/>
        <w:rPr>
          <w:sz w:val="24"/>
          <w:szCs w:val="24"/>
          <w:color w:val="auto"/>
        </w:rPr>
      </w:pPr>
    </w:p>
    <w:p>
      <w:pPr>
        <w:ind w:left="2200" w:hanging="489"/>
        <w:spacing w:after="0"/>
        <w:tabs>
          <w:tab w:leader="none" w:pos="22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Full title of the plan:</w:t>
      </w:r>
    </w:p>
    <w:p>
      <w:pPr>
        <w:spacing w:after="0" w:line="368" w:lineRule="exact"/>
        <w:rPr>
          <w:rFonts w:ascii="Arial" w:cs="Arial" w:eastAsia="Arial" w:hAnsi="Arial"/>
          <w:sz w:val="22"/>
          <w:szCs w:val="22"/>
          <w:b w:val="1"/>
          <w:bCs w:val="1"/>
          <w:color w:val="auto"/>
        </w:rPr>
      </w:pPr>
    </w:p>
    <w:p>
      <w:pPr>
        <w:ind w:left="2200" w:right="3579"/>
        <w:spacing w:after="0" w:line="394" w:lineRule="auto"/>
        <w:rPr>
          <w:rFonts w:ascii="Arial" w:cs="Arial" w:eastAsia="Arial" w:hAnsi="Arial"/>
          <w:sz w:val="22"/>
          <w:szCs w:val="22"/>
          <w:b w:val="1"/>
          <w:bCs w:val="1"/>
          <w:color w:val="auto"/>
        </w:rPr>
      </w:pPr>
      <w:r>
        <w:rPr>
          <w:rFonts w:ascii="Arial" w:cs="Arial" w:eastAsia="Arial" w:hAnsi="Arial"/>
          <w:sz w:val="19"/>
          <w:szCs w:val="19"/>
          <w:b w:val="1"/>
          <w:bCs w:val="1"/>
          <w:color w:val="auto"/>
        </w:rPr>
        <w:t>Crown Cork &amp; Seal Company, Inc. 401(k) Retirement Savings Plan</w:t>
      </w:r>
    </w:p>
    <w:p>
      <w:pPr>
        <w:spacing w:after="0" w:line="200" w:lineRule="exact"/>
        <w:rPr>
          <w:rFonts w:ascii="Arial" w:cs="Arial" w:eastAsia="Arial" w:hAnsi="Arial"/>
          <w:sz w:val="22"/>
          <w:szCs w:val="22"/>
          <w:b w:val="1"/>
          <w:bCs w:val="1"/>
          <w:color w:val="auto"/>
        </w:rPr>
      </w:pPr>
    </w:p>
    <w:p>
      <w:pPr>
        <w:ind w:left="2200" w:right="1539" w:hanging="477"/>
        <w:spacing w:after="0" w:line="394" w:lineRule="auto"/>
        <w:tabs>
          <w:tab w:leader="none" w:pos="220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8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CROWN HOLDINGS, INC.</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770 TOWNSHIP LINE ROAD</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YARDLEY, PA 19067-4232</w:t>
      </w:r>
    </w:p>
    <w:p>
      <w:pPr>
        <w:sectPr>
          <w:pgSz w:w="11900" w:h="16838" w:orient="portrait"/>
          <w:cols w:equalWidth="0" w:num="1">
            <w:col w:w="9019"/>
          </w:cols>
          <w:pgMar w:left="1440" w:top="1440" w:right="1440"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2"/>
          <w:szCs w:val="22"/>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620" w:type="dxa"/>
            <w:vAlign w:val="bottom"/>
          </w:tcPr>
          <w:p>
            <w:pPr>
              <w:spacing w:after="0"/>
              <w:rPr>
                <w:sz w:val="23"/>
                <w:szCs w:val="23"/>
                <w:color w:val="auto"/>
              </w:rPr>
            </w:pPr>
          </w:p>
        </w:tc>
        <w:tc>
          <w:tcPr>
            <w:tcW w:w="2000" w:type="dxa"/>
            <w:vAlign w:val="bottom"/>
          </w:tcPr>
          <w:p>
            <w:pPr>
              <w:ind w:left="1360"/>
              <w:spacing w:after="0"/>
              <w:rPr>
                <w:sz w:val="20"/>
                <w:szCs w:val="20"/>
                <w:color w:val="auto"/>
              </w:rPr>
            </w:pPr>
            <w:r>
              <w:rPr>
                <w:rFonts w:ascii="Arial" w:cs="Arial" w:eastAsia="Arial" w:hAnsi="Arial"/>
                <w:sz w:val="22"/>
                <w:szCs w:val="22"/>
                <w:color w:val="auto"/>
                <w:w w:val="80"/>
              </w:rPr>
              <w:t>Page(s)</w:t>
            </w:r>
          </w:p>
        </w:tc>
      </w:tr>
      <w:tr>
        <w:trPr>
          <w:trHeight w:val="621"/>
        </w:trPr>
        <w:tc>
          <w:tcPr>
            <w:tcW w:w="7620" w:type="dxa"/>
            <w:vAlign w:val="bottom"/>
          </w:tcPr>
          <w:p>
            <w:pPr>
              <w:spacing w:after="0"/>
              <w:rPr>
                <w:sz w:val="20"/>
                <w:szCs w:val="20"/>
                <w:color w:val="auto"/>
              </w:rPr>
            </w:pPr>
            <w:r>
              <w:rPr>
                <w:rFonts w:ascii="Arial" w:cs="Arial" w:eastAsia="Arial" w:hAnsi="Arial"/>
                <w:sz w:val="22"/>
                <w:szCs w:val="22"/>
                <w:color w:val="auto"/>
              </w:rPr>
              <w:t>Signatures</w:t>
            </w:r>
          </w:p>
        </w:tc>
        <w:tc>
          <w:tcPr>
            <w:tcW w:w="2000" w:type="dxa"/>
            <w:vAlign w:val="bottom"/>
          </w:tcPr>
          <w:p>
            <w:pPr>
              <w:jc w:val="center"/>
              <w:ind w:left="1272"/>
              <w:spacing w:after="0"/>
              <w:rPr>
                <w:sz w:val="20"/>
                <w:szCs w:val="20"/>
                <w:color w:val="auto"/>
              </w:rPr>
            </w:pPr>
            <w:r>
              <w:rPr>
                <w:rFonts w:ascii="Arial" w:cs="Arial" w:eastAsia="Arial" w:hAnsi="Arial"/>
                <w:sz w:val="22"/>
                <w:szCs w:val="22"/>
                <w:color w:val="auto"/>
                <w:w w:val="81"/>
              </w:rPr>
              <w:t>3</w:t>
            </w:r>
          </w:p>
        </w:tc>
      </w:tr>
      <w:tr>
        <w:trPr>
          <w:trHeight w:val="621"/>
        </w:trPr>
        <w:tc>
          <w:tcPr>
            <w:tcW w:w="7620" w:type="dxa"/>
            <w:vAlign w:val="bottom"/>
          </w:tcPr>
          <w:p>
            <w:pPr>
              <w:spacing w:after="0"/>
              <w:rPr>
                <w:sz w:val="20"/>
                <w:szCs w:val="20"/>
                <w:color w:val="auto"/>
              </w:rPr>
            </w:pPr>
            <w:r>
              <w:rPr>
                <w:rFonts w:ascii="Arial" w:cs="Arial" w:eastAsia="Arial" w:hAnsi="Arial"/>
                <w:sz w:val="22"/>
                <w:szCs w:val="22"/>
                <w:color w:val="auto"/>
              </w:rPr>
              <w:t>Report of Independent Registered Public Accounting Firm</w:t>
            </w:r>
          </w:p>
        </w:tc>
        <w:tc>
          <w:tcPr>
            <w:tcW w:w="2000" w:type="dxa"/>
            <w:vAlign w:val="bottom"/>
          </w:tcPr>
          <w:p>
            <w:pPr>
              <w:jc w:val="center"/>
              <w:ind w:left="1272"/>
              <w:spacing w:after="0"/>
              <w:rPr>
                <w:sz w:val="20"/>
                <w:szCs w:val="20"/>
                <w:color w:val="auto"/>
              </w:rPr>
            </w:pPr>
            <w:r>
              <w:rPr>
                <w:rFonts w:ascii="Arial" w:cs="Arial" w:eastAsia="Arial" w:hAnsi="Arial"/>
                <w:sz w:val="22"/>
                <w:szCs w:val="22"/>
                <w:color w:val="auto"/>
                <w:w w:val="81"/>
              </w:rPr>
              <w:t>6</w:t>
            </w:r>
          </w:p>
        </w:tc>
      </w:tr>
      <w:tr>
        <w:trPr>
          <w:trHeight w:val="590"/>
        </w:trPr>
        <w:tc>
          <w:tcPr>
            <w:tcW w:w="7620" w:type="dxa"/>
            <w:vAlign w:val="bottom"/>
          </w:tcPr>
          <w:p>
            <w:pPr>
              <w:spacing w:after="0"/>
              <w:rPr>
                <w:sz w:val="20"/>
                <w:szCs w:val="20"/>
                <w:color w:val="auto"/>
              </w:rPr>
            </w:pPr>
            <w:r>
              <w:rPr>
                <w:rFonts w:ascii="Arial" w:cs="Arial" w:eastAsia="Arial" w:hAnsi="Arial"/>
                <w:sz w:val="22"/>
                <w:szCs w:val="22"/>
                <w:color w:val="auto"/>
              </w:rPr>
              <w:t>Financial Statements and Supplemental Information in Accordance</w:t>
            </w:r>
          </w:p>
        </w:tc>
        <w:tc>
          <w:tcPr>
            <w:tcW w:w="2000" w:type="dxa"/>
            <w:vAlign w:val="bottom"/>
          </w:tcPr>
          <w:p>
            <w:pPr>
              <w:spacing w:after="0"/>
              <w:rPr>
                <w:sz w:val="24"/>
                <w:szCs w:val="24"/>
                <w:color w:val="auto"/>
              </w:rPr>
            </w:pPr>
          </w:p>
        </w:tc>
      </w:tr>
      <w:tr>
        <w:trPr>
          <w:trHeight w:val="275"/>
        </w:trPr>
        <w:tc>
          <w:tcPr>
            <w:tcW w:w="7620" w:type="dxa"/>
            <w:vAlign w:val="bottom"/>
          </w:tcPr>
          <w:p>
            <w:pPr>
              <w:spacing w:after="0"/>
              <w:rPr>
                <w:sz w:val="20"/>
                <w:szCs w:val="20"/>
                <w:color w:val="auto"/>
              </w:rPr>
            </w:pPr>
            <w:r>
              <w:rPr>
                <w:rFonts w:ascii="Arial" w:cs="Arial" w:eastAsia="Arial" w:hAnsi="Arial"/>
                <w:sz w:val="22"/>
                <w:szCs w:val="22"/>
                <w:color w:val="auto"/>
              </w:rPr>
              <w:t>with the Financial Reporting Requirements of ERISA</w:t>
            </w:r>
          </w:p>
        </w:tc>
        <w:tc>
          <w:tcPr>
            <w:tcW w:w="2000" w:type="dxa"/>
            <w:vAlign w:val="bottom"/>
          </w:tcPr>
          <w:p>
            <w:pPr>
              <w:jc w:val="center"/>
              <w:ind w:left="1272"/>
              <w:spacing w:after="0"/>
              <w:rPr>
                <w:sz w:val="20"/>
                <w:szCs w:val="20"/>
                <w:color w:val="auto"/>
              </w:rPr>
            </w:pPr>
            <w:r>
              <w:rPr>
                <w:rFonts w:ascii="Arial" w:cs="Arial" w:eastAsia="Arial" w:hAnsi="Arial"/>
                <w:sz w:val="22"/>
                <w:szCs w:val="22"/>
                <w:color w:val="auto"/>
                <w:w w:val="88"/>
              </w:rPr>
              <w:t>7 - 16</w:t>
            </w:r>
          </w:p>
        </w:tc>
      </w:tr>
      <w:tr>
        <w:trPr>
          <w:trHeight w:val="621"/>
        </w:trPr>
        <w:tc>
          <w:tcPr>
            <w:tcW w:w="7620" w:type="dxa"/>
            <w:vAlign w:val="bottom"/>
          </w:tcPr>
          <w:p>
            <w:pPr>
              <w:spacing w:after="0"/>
              <w:rPr>
                <w:sz w:val="20"/>
                <w:szCs w:val="20"/>
                <w:color w:val="auto"/>
              </w:rPr>
            </w:pPr>
            <w:r>
              <w:rPr>
                <w:rFonts w:ascii="Arial" w:cs="Arial" w:eastAsia="Arial" w:hAnsi="Arial"/>
                <w:sz w:val="22"/>
                <w:szCs w:val="22"/>
                <w:color w:val="auto"/>
              </w:rPr>
              <w:t>Exhibit 23 - Consent of Independent Registered Public Accounting Firm</w:t>
            </w:r>
          </w:p>
        </w:tc>
        <w:tc>
          <w:tcPr>
            <w:tcW w:w="2000" w:type="dxa"/>
            <w:vAlign w:val="bottom"/>
          </w:tcPr>
          <w:p>
            <w:pPr>
              <w:jc w:val="center"/>
              <w:ind w:left="1272"/>
              <w:spacing w:after="0"/>
              <w:rPr>
                <w:sz w:val="20"/>
                <w:szCs w:val="20"/>
                <w:color w:val="auto"/>
              </w:rPr>
            </w:pPr>
            <w:r>
              <w:rPr>
                <w:rFonts w:ascii="Arial" w:cs="Arial" w:eastAsia="Arial" w:hAnsi="Arial"/>
                <w:sz w:val="22"/>
                <w:szCs w:val="22"/>
                <w:color w:val="auto"/>
                <w:w w:val="89"/>
              </w:rPr>
              <w:t>17</w:t>
            </w:r>
          </w:p>
        </w:tc>
      </w:tr>
    </w:tbl>
    <w:p>
      <w:pPr>
        <w:sectPr>
          <w:pgSz w:w="11900" w:h="16838" w:orient="portrait"/>
          <w:cols w:equalWidth="0" w:num="1">
            <w:col w:w="9620"/>
          </w:cols>
          <w:pgMar w:left="1120" w:top="1023" w:right="11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Crown Cork &amp; Seal Company, Inc.</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401(k) Retirement Savings Plan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David A. Beaver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June 20, 2019</w:t>
      </w:r>
    </w:p>
    <w:p>
      <w:pPr>
        <w:sectPr>
          <w:pgSz w:w="11900" w:h="16838" w:orient="portrait"/>
          <w:cols w:equalWidth="0" w:num="1">
            <w:col w:w="11340"/>
          </w:cols>
          <w:pgMar w:left="240" w:top="1239" w:right="31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CROWN CORK &amp; SEAL COMPANY, INC.</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401(k) RETIREMENT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Financial Statements as of and for the years ended</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December 31, 2018 and 2017</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Supplemental information required for Form 5500</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as of December 31, 2018</w:t>
      </w:r>
    </w:p>
    <w:p>
      <w:pPr>
        <w:sectPr>
          <w:pgSz w:w="11900" w:h="16838" w:orient="portrait"/>
          <w:cols w:equalWidth="0" w:num="1">
            <w:col w:w="9019"/>
          </w:cols>
          <w:pgMar w:left="1440" w:top="1440" w:right="1440"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401(k) Retirement Savings Plan</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8500" w:type="dxa"/>
            <w:vAlign w:val="bottom"/>
          </w:tcPr>
          <w:p>
            <w:pPr>
              <w:spacing w:after="0"/>
              <w:rPr>
                <w:sz w:val="21"/>
                <w:szCs w:val="21"/>
                <w:color w:val="auto"/>
              </w:rPr>
            </w:pPr>
          </w:p>
        </w:tc>
        <w:tc>
          <w:tcPr>
            <w:tcW w:w="2420" w:type="dxa"/>
            <w:vAlign w:val="bottom"/>
          </w:tcPr>
          <w:p>
            <w:pPr>
              <w:ind w:left="1840"/>
              <w:spacing w:after="0"/>
              <w:rPr>
                <w:sz w:val="20"/>
                <w:szCs w:val="20"/>
                <w:color w:val="auto"/>
              </w:rPr>
            </w:pPr>
            <w:r>
              <w:rPr>
                <w:rFonts w:ascii="Arial" w:cs="Arial" w:eastAsia="Arial" w:hAnsi="Arial"/>
                <w:sz w:val="20"/>
                <w:szCs w:val="20"/>
                <w:color w:val="auto"/>
                <w:w w:val="79"/>
              </w:rPr>
              <w:t>Page(s)</w:t>
            </w:r>
          </w:p>
        </w:tc>
      </w:tr>
      <w:tr>
        <w:trPr>
          <w:trHeight w:val="608"/>
        </w:trPr>
        <w:tc>
          <w:tcPr>
            <w:tcW w:w="850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2420" w:type="dxa"/>
            <w:vAlign w:val="bottom"/>
          </w:tcPr>
          <w:p>
            <w:pPr>
              <w:jc w:val="center"/>
              <w:ind w:left="1741"/>
              <w:spacing w:after="0"/>
              <w:rPr>
                <w:sz w:val="20"/>
                <w:szCs w:val="20"/>
                <w:color w:val="auto"/>
              </w:rPr>
            </w:pPr>
            <w:r>
              <w:rPr>
                <w:rFonts w:ascii="Arial" w:cs="Arial" w:eastAsia="Arial" w:hAnsi="Arial"/>
                <w:sz w:val="20"/>
                <w:szCs w:val="20"/>
                <w:color w:val="auto"/>
                <w:w w:val="89"/>
              </w:rPr>
              <w:t>1</w:t>
            </w:r>
          </w:p>
        </w:tc>
      </w:tr>
      <w:tr>
        <w:trPr>
          <w:trHeight w:val="608"/>
        </w:trPr>
        <w:tc>
          <w:tcPr>
            <w:tcW w:w="8500" w:type="dxa"/>
            <w:vAlign w:val="bottom"/>
          </w:tcPr>
          <w:p>
            <w:pPr>
              <w:spacing w:after="0"/>
              <w:rPr>
                <w:sz w:val="20"/>
                <w:szCs w:val="20"/>
                <w:color w:val="auto"/>
              </w:rPr>
            </w:pPr>
            <w:r>
              <w:rPr>
                <w:rFonts w:ascii="Arial" w:cs="Arial" w:eastAsia="Arial" w:hAnsi="Arial"/>
                <w:sz w:val="20"/>
                <w:szCs w:val="20"/>
                <w:color w:val="auto"/>
              </w:rPr>
              <w:t>Financial Statements</w:t>
            </w:r>
          </w:p>
        </w:tc>
        <w:tc>
          <w:tcPr>
            <w:tcW w:w="2420" w:type="dxa"/>
            <w:vAlign w:val="bottom"/>
          </w:tcPr>
          <w:p>
            <w:pPr>
              <w:spacing w:after="0"/>
              <w:rPr>
                <w:sz w:val="24"/>
                <w:szCs w:val="24"/>
                <w:color w:val="auto"/>
              </w:rPr>
            </w:pPr>
          </w:p>
        </w:tc>
      </w:tr>
      <w:tr>
        <w:trPr>
          <w:trHeight w:val="608"/>
        </w:trPr>
        <w:tc>
          <w:tcPr>
            <w:tcW w:w="8500" w:type="dxa"/>
            <w:vAlign w:val="bottom"/>
          </w:tcPr>
          <w:p>
            <w:pPr>
              <w:ind w:left="160"/>
              <w:spacing w:after="0"/>
              <w:rPr>
                <w:sz w:val="20"/>
                <w:szCs w:val="20"/>
                <w:color w:val="auto"/>
              </w:rPr>
            </w:pPr>
            <w:r>
              <w:rPr>
                <w:rFonts w:ascii="Arial" w:cs="Arial" w:eastAsia="Arial" w:hAnsi="Arial"/>
                <w:sz w:val="20"/>
                <w:szCs w:val="20"/>
                <w:color w:val="auto"/>
              </w:rPr>
              <w:t>Statement of Net Assets Available for Benefits as of December 31, 2018 and 2017</w:t>
            </w:r>
          </w:p>
        </w:tc>
        <w:tc>
          <w:tcPr>
            <w:tcW w:w="2420" w:type="dxa"/>
            <w:vAlign w:val="bottom"/>
          </w:tcPr>
          <w:p>
            <w:pPr>
              <w:jc w:val="center"/>
              <w:ind w:left="1741"/>
              <w:spacing w:after="0"/>
              <w:rPr>
                <w:sz w:val="20"/>
                <w:szCs w:val="20"/>
                <w:color w:val="auto"/>
              </w:rPr>
            </w:pPr>
            <w:r>
              <w:rPr>
                <w:rFonts w:ascii="Arial" w:cs="Arial" w:eastAsia="Arial" w:hAnsi="Arial"/>
                <w:sz w:val="20"/>
                <w:szCs w:val="20"/>
                <w:color w:val="auto"/>
                <w:w w:val="89"/>
              </w:rPr>
              <w:t>2</w:t>
            </w:r>
          </w:p>
        </w:tc>
      </w:tr>
      <w:tr>
        <w:trPr>
          <w:trHeight w:val="587"/>
        </w:trPr>
        <w:tc>
          <w:tcPr>
            <w:tcW w:w="8500" w:type="dxa"/>
            <w:vAlign w:val="bottom"/>
          </w:tcPr>
          <w:p>
            <w:pPr>
              <w:ind w:left="160"/>
              <w:spacing w:after="0"/>
              <w:rPr>
                <w:sz w:val="20"/>
                <w:szCs w:val="20"/>
                <w:color w:val="auto"/>
              </w:rPr>
            </w:pPr>
            <w:r>
              <w:rPr>
                <w:rFonts w:ascii="Arial" w:cs="Arial" w:eastAsia="Arial" w:hAnsi="Arial"/>
                <w:sz w:val="20"/>
                <w:szCs w:val="20"/>
                <w:color w:val="auto"/>
              </w:rPr>
              <w:t>Statement of Changes in Net Assets Available for Benefits for the years ended</w:t>
            </w:r>
          </w:p>
        </w:tc>
        <w:tc>
          <w:tcPr>
            <w:tcW w:w="2420" w:type="dxa"/>
            <w:vAlign w:val="bottom"/>
          </w:tcPr>
          <w:p>
            <w:pPr>
              <w:spacing w:after="0"/>
              <w:rPr>
                <w:sz w:val="24"/>
                <w:szCs w:val="24"/>
                <w:color w:val="auto"/>
              </w:rPr>
            </w:pPr>
          </w:p>
        </w:tc>
      </w:tr>
      <w:tr>
        <w:trPr>
          <w:trHeight w:val="250"/>
        </w:trPr>
        <w:tc>
          <w:tcPr>
            <w:tcW w:w="8500" w:type="dxa"/>
            <w:vAlign w:val="bottom"/>
          </w:tcPr>
          <w:p>
            <w:pPr>
              <w:ind w:left="160"/>
              <w:spacing w:after="0"/>
              <w:rPr>
                <w:sz w:val="20"/>
                <w:szCs w:val="20"/>
                <w:color w:val="auto"/>
              </w:rPr>
            </w:pPr>
            <w:r>
              <w:rPr>
                <w:rFonts w:ascii="Arial" w:cs="Arial" w:eastAsia="Arial" w:hAnsi="Arial"/>
                <w:sz w:val="20"/>
                <w:szCs w:val="20"/>
                <w:color w:val="auto"/>
              </w:rPr>
              <w:t>December 31, 2018 and 2017</w:t>
            </w:r>
          </w:p>
        </w:tc>
        <w:tc>
          <w:tcPr>
            <w:tcW w:w="2420" w:type="dxa"/>
            <w:vAlign w:val="bottom"/>
          </w:tcPr>
          <w:p>
            <w:pPr>
              <w:jc w:val="center"/>
              <w:ind w:left="1741"/>
              <w:spacing w:after="0"/>
              <w:rPr>
                <w:sz w:val="20"/>
                <w:szCs w:val="20"/>
                <w:color w:val="auto"/>
              </w:rPr>
            </w:pPr>
            <w:r>
              <w:rPr>
                <w:rFonts w:ascii="Arial" w:cs="Arial" w:eastAsia="Arial" w:hAnsi="Arial"/>
                <w:sz w:val="20"/>
                <w:szCs w:val="20"/>
                <w:color w:val="auto"/>
                <w:w w:val="89"/>
              </w:rPr>
              <w:t>3</w:t>
            </w:r>
          </w:p>
        </w:tc>
      </w:tr>
      <w:tr>
        <w:trPr>
          <w:trHeight w:val="608"/>
        </w:trPr>
        <w:tc>
          <w:tcPr>
            <w:tcW w:w="8500" w:type="dxa"/>
            <w:vAlign w:val="bottom"/>
          </w:tcPr>
          <w:p>
            <w:pPr>
              <w:ind w:left="140"/>
              <w:spacing w:after="0"/>
              <w:rPr>
                <w:sz w:val="20"/>
                <w:szCs w:val="20"/>
                <w:color w:val="auto"/>
              </w:rPr>
            </w:pPr>
            <w:r>
              <w:rPr>
                <w:rFonts w:ascii="Arial" w:cs="Arial" w:eastAsia="Arial" w:hAnsi="Arial"/>
                <w:sz w:val="20"/>
                <w:szCs w:val="20"/>
                <w:color w:val="auto"/>
              </w:rPr>
              <w:t>Notes to Financial Statements</w:t>
            </w:r>
          </w:p>
        </w:tc>
        <w:tc>
          <w:tcPr>
            <w:tcW w:w="2420" w:type="dxa"/>
            <w:vAlign w:val="bottom"/>
          </w:tcPr>
          <w:p>
            <w:pPr>
              <w:jc w:val="center"/>
              <w:ind w:left="1741"/>
              <w:spacing w:after="0"/>
              <w:rPr>
                <w:sz w:val="20"/>
                <w:szCs w:val="20"/>
                <w:color w:val="auto"/>
              </w:rPr>
            </w:pPr>
            <w:r>
              <w:rPr>
                <w:rFonts w:ascii="Arial" w:cs="Arial" w:eastAsia="Arial" w:hAnsi="Arial"/>
                <w:sz w:val="20"/>
                <w:szCs w:val="20"/>
                <w:color w:val="auto"/>
                <w:w w:val="94"/>
              </w:rPr>
              <w:t>4 - 9</w:t>
            </w:r>
          </w:p>
        </w:tc>
      </w:tr>
      <w:tr>
        <w:trPr>
          <w:trHeight w:val="608"/>
        </w:trPr>
        <w:tc>
          <w:tcPr>
            <w:tcW w:w="8500" w:type="dxa"/>
            <w:vAlign w:val="bottom"/>
          </w:tcPr>
          <w:p>
            <w:pPr>
              <w:spacing w:after="0"/>
              <w:rPr>
                <w:sz w:val="20"/>
                <w:szCs w:val="20"/>
                <w:color w:val="auto"/>
              </w:rPr>
            </w:pPr>
            <w:r>
              <w:rPr>
                <w:rFonts w:ascii="Arial" w:cs="Arial" w:eastAsia="Arial" w:hAnsi="Arial"/>
                <w:sz w:val="20"/>
                <w:szCs w:val="20"/>
                <w:color w:val="auto"/>
              </w:rPr>
              <w:t>Supplemental Information *</w:t>
            </w:r>
          </w:p>
        </w:tc>
        <w:tc>
          <w:tcPr>
            <w:tcW w:w="2420" w:type="dxa"/>
            <w:vAlign w:val="bottom"/>
          </w:tcPr>
          <w:p>
            <w:pPr>
              <w:spacing w:after="0"/>
              <w:rPr>
                <w:sz w:val="24"/>
                <w:szCs w:val="24"/>
                <w:color w:val="auto"/>
              </w:rPr>
            </w:pPr>
          </w:p>
        </w:tc>
      </w:tr>
      <w:tr>
        <w:trPr>
          <w:trHeight w:val="608"/>
        </w:trPr>
        <w:tc>
          <w:tcPr>
            <w:tcW w:w="8500" w:type="dxa"/>
            <w:vAlign w:val="bottom"/>
          </w:tcPr>
          <w:p>
            <w:pPr>
              <w:spacing w:after="0"/>
              <w:rPr>
                <w:sz w:val="20"/>
                <w:szCs w:val="20"/>
                <w:color w:val="auto"/>
              </w:rPr>
            </w:pPr>
            <w:r>
              <w:rPr>
                <w:rFonts w:ascii="Arial" w:cs="Arial" w:eastAsia="Arial" w:hAnsi="Arial"/>
                <w:sz w:val="20"/>
                <w:szCs w:val="20"/>
                <w:color w:val="auto"/>
              </w:rPr>
              <w:t>Schedule H, Line 4i - Schedule of Assets (Held at End of Year)</w:t>
            </w:r>
          </w:p>
        </w:tc>
        <w:tc>
          <w:tcPr>
            <w:tcW w:w="2420" w:type="dxa"/>
            <w:vAlign w:val="bottom"/>
          </w:tcPr>
          <w:p>
            <w:pPr>
              <w:jc w:val="center"/>
              <w:ind w:left="1741"/>
              <w:spacing w:after="0"/>
              <w:rPr>
                <w:sz w:val="20"/>
                <w:szCs w:val="20"/>
                <w:color w:val="auto"/>
              </w:rPr>
            </w:pPr>
            <w:r>
              <w:rPr>
                <w:rFonts w:ascii="Arial" w:cs="Arial" w:eastAsia="Arial" w:hAnsi="Arial"/>
                <w:sz w:val="20"/>
                <w:szCs w:val="20"/>
                <w:color w:val="auto"/>
                <w:w w:val="80"/>
              </w:rPr>
              <w:t>10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line="277" w:lineRule="auto"/>
        <w:tabs>
          <w:tab w:leader="none" w:pos="1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400"/>
          </w:cols>
          <w:pgMar w:left="240" w:top="873"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To the Plan Administrator and Plan Participants of Crown Cork &amp; Seal Company, Inc. 401(k) Retirement Savings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have audited the accompanying statement of net assets available for benefits of the Crown Cork &amp; Seal Company, Inc. 401(k) Retirement Savings Plan (the "Plan") as of December 31, 2018 and 2017, the related statement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2018 and 2017, and the changes in net assets available for benefits for the years then ended,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supplemental Schedule H, Line 4i - Schedule of Assets (Held at End of Year) as of December 31, 2018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forms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/s/ Baker Tilly Virchow Krause,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Plan's auditor since 2005.</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20, 2019</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2" w:right="239" w:bottom="1440" w:gutter="0" w:footer="0" w:header="0"/>
        </w:sectPr>
      </w:pPr>
    </w:p>
    <w:bookmarkStart w:id="6" w:name="page7"/>
    <w:bookmarkEnd w:id="6"/>
    <w:p>
      <w:pPr>
        <w:ind w:left="260"/>
        <w:spacing w:after="0"/>
        <w:rPr>
          <w:sz w:val="20"/>
          <w:szCs w:val="20"/>
          <w:color w:val="auto"/>
        </w:rPr>
      </w:pPr>
      <w:r>
        <w:rPr>
          <w:rFonts w:ascii="Arial" w:cs="Arial" w:eastAsia="Arial" w:hAnsi="Arial"/>
          <w:sz w:val="22"/>
          <w:szCs w:val="22"/>
          <w:b w:val="1"/>
          <w:bCs w:val="1"/>
          <w:color w:val="auto"/>
        </w:rPr>
        <w:t>CROWN CORK &amp; SEAL COMPANY, INC.</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401(k) RETIREMENT SAVINGS PLAN</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Statement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28575</wp:posOffset>
            </wp:positionV>
            <wp:extent cx="69634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3410" cy="17145"/>
                    </a:xfrm>
                    <a:prstGeom prst="rect">
                      <a:avLst/>
                    </a:prstGeom>
                    <a:noFill/>
                  </pic:spPr>
                </pic:pic>
              </a:graphicData>
            </a:graphic>
          </wp:anchor>
        </w:drawing>
      </w:r>
    </w:p>
    <w:p>
      <w:pPr>
        <w:spacing w:after="0" w:line="56"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00" w:type="dxa"/>
            <w:vAlign w:val="bottom"/>
            <w:gridSpan w:val="3"/>
          </w:tcPr>
          <w:p>
            <w:pPr>
              <w:jc w:val="right"/>
              <w:ind w:right="41"/>
              <w:spacing w:after="0"/>
              <w:rPr>
                <w:sz w:val="20"/>
                <w:szCs w:val="20"/>
                <w:color w:val="auto"/>
              </w:rPr>
            </w:pPr>
            <w:r>
              <w:rPr>
                <w:rFonts w:ascii="Arial" w:cs="Arial" w:eastAsia="Arial" w:hAnsi="Arial"/>
                <w:sz w:val="20"/>
                <w:szCs w:val="20"/>
                <w:b w:val="1"/>
                <w:bCs w:val="1"/>
                <w:color w:val="auto"/>
              </w:rPr>
              <w:t>As of December 31,</w:t>
            </w: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30"/>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61"/>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481"/>
              <w:spacing w:after="0"/>
              <w:rPr>
                <w:sz w:val="20"/>
                <w:szCs w:val="20"/>
                <w:color w:val="auto"/>
              </w:rPr>
            </w:pPr>
            <w:r>
              <w:rPr>
                <w:rFonts w:ascii="Arial" w:cs="Arial" w:eastAsia="Arial" w:hAnsi="Arial"/>
                <w:sz w:val="20"/>
                <w:szCs w:val="20"/>
                <w:b w:val="1"/>
                <w:bCs w:val="1"/>
                <w:color w:val="auto"/>
              </w:rPr>
              <w:t>2018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481"/>
              <w:spacing w:after="0"/>
              <w:rPr>
                <w:sz w:val="20"/>
                <w:szCs w:val="20"/>
                <w:color w:val="auto"/>
              </w:rPr>
            </w:pPr>
            <w:r>
              <w:rPr>
                <w:rFonts w:ascii="Arial" w:cs="Arial" w:eastAsia="Arial" w:hAnsi="Arial"/>
                <w:sz w:val="20"/>
                <w:szCs w:val="20"/>
                <w:b w:val="1"/>
                <w:bCs w:val="1"/>
                <w:color w:val="auto"/>
              </w:rPr>
              <w:t>2017</w:t>
            </w:r>
          </w:p>
        </w:tc>
        <w:tc>
          <w:tcPr>
            <w:tcW w:w="320" w:type="dxa"/>
            <w:vAlign w:val="bottom"/>
          </w:tcPr>
          <w:p>
            <w:pPr>
              <w:spacing w:after="0"/>
              <w:rPr>
                <w:sz w:val="22"/>
                <w:szCs w:val="22"/>
                <w:color w:val="auto"/>
              </w:rPr>
            </w:pPr>
          </w:p>
        </w:tc>
      </w:tr>
      <w:tr>
        <w:trPr>
          <w:trHeight w:val="30"/>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b w:val="1"/>
                <w:bCs w:val="1"/>
                <w:color w:val="auto"/>
              </w:rPr>
              <w:t>Investments, at fair value</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Baird Core Plus Bond Fund</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8,294,368</w:t>
            </w:r>
          </w:p>
        </w:tc>
        <w:tc>
          <w:tcPr>
            <w:tcW w:w="13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5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DFA Emerging Markets Core Equity Portfolio</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259,837</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1,290,135</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DFA US Targeted Value Portfolio</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303,258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341,079</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HSBC Opportunity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9,854,953</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11,791,224</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Harbor International Fund</w:t>
            </w:r>
          </w:p>
        </w:tc>
        <w:tc>
          <w:tcPr>
            <w:tcW w:w="280" w:type="dxa"/>
            <w:vAlign w:val="bottom"/>
          </w:tcPr>
          <w:p>
            <w:pPr>
              <w:spacing w:after="0"/>
              <w:rPr>
                <w:sz w:val="22"/>
                <w:szCs w:val="22"/>
                <w:color w:val="auto"/>
              </w:rPr>
            </w:pPr>
          </w:p>
        </w:tc>
        <w:tc>
          <w:tcPr>
            <w:tcW w:w="2580" w:type="dxa"/>
            <w:vAlign w:val="bottom"/>
            <w:gridSpan w:val="2"/>
          </w:tcPr>
          <w:p>
            <w:pPr>
              <w:jc w:val="right"/>
              <w:ind w:right="14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983,987</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JPMorgan Intrepid Value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4,336,778</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4,883,541</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Metropolitan West Total Return Bond Fund</w:t>
            </w:r>
          </w:p>
        </w:tc>
        <w:tc>
          <w:tcPr>
            <w:tcW w:w="280" w:type="dxa"/>
            <w:vAlign w:val="bottom"/>
          </w:tcPr>
          <w:p>
            <w:pPr>
              <w:spacing w:after="0"/>
              <w:rPr>
                <w:sz w:val="22"/>
                <w:szCs w:val="22"/>
                <w:color w:val="auto"/>
              </w:rPr>
            </w:pPr>
          </w:p>
        </w:tc>
        <w:tc>
          <w:tcPr>
            <w:tcW w:w="2580" w:type="dxa"/>
            <w:vAlign w:val="bottom"/>
            <w:gridSpan w:val="2"/>
          </w:tcPr>
          <w:p>
            <w:pPr>
              <w:jc w:val="right"/>
              <w:ind w:right="14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9,249,768</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T. Rowe Price International Discovery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214,697</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452,177</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Developed Markets Index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1,251,613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International Growth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9,921,274</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11,930,685</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Morgan Growth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4,556,427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3,498,083</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Prime Money Market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106,706</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94,702</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2015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3,639,772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3,822,914</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2020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5,737,387</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4,862,885</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2025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7,954,350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8,294,700</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2030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5,876,604</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5,046,451</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2035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4,771,259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5,397,124</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2040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2,817,476</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3,112,646</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2045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3,749,339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3,314,009</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2050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2,322,741</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2,052,549</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2055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1,833,576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956,845</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2060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181,258</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86,488</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2065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19,682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528</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Income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1,299,190</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1,593,670</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Total Stock Market Index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42,436,219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47,690,459</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8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Wellington Fund</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14,538,930</w:t>
            </w:r>
          </w:p>
        </w:tc>
        <w:tc>
          <w:tcPr>
            <w:tcW w:w="1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15,506,313</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54"/>
        </w:trPr>
        <w:tc>
          <w:tcPr>
            <w:tcW w:w="62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136,277,694</w:t>
            </w:r>
          </w:p>
        </w:tc>
        <w:tc>
          <w:tcPr>
            <w:tcW w:w="13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98"/>
              </w:rPr>
              <w:t>146,252,962</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6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color w:val="auto"/>
              </w:rPr>
              <w:t>Vanguard Retirement Savings Trust</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39,678,273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42,397,220</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8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Crown Holdings, Inc. Stock Fund</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14,164,309</w:t>
            </w:r>
          </w:p>
        </w:tc>
        <w:tc>
          <w:tcPr>
            <w:tcW w:w="1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19,546,121</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54"/>
        </w:trPr>
        <w:tc>
          <w:tcPr>
            <w:tcW w:w="6220" w:type="dxa"/>
            <w:vAlign w:val="bottom"/>
          </w:tcPr>
          <w:p>
            <w:pPr>
              <w:ind w:left="820"/>
              <w:spacing w:after="0"/>
              <w:rPr>
                <w:sz w:val="20"/>
                <w:szCs w:val="20"/>
                <w:color w:val="auto"/>
              </w:rPr>
            </w:pPr>
            <w:r>
              <w:rPr>
                <w:rFonts w:ascii="Arial" w:cs="Arial" w:eastAsia="Arial" w:hAnsi="Arial"/>
                <w:sz w:val="20"/>
                <w:szCs w:val="20"/>
                <w:b w:val="1"/>
                <w:bCs w:val="1"/>
                <w:color w:val="auto"/>
              </w:rPr>
              <w:t>Total investments, at fair value</w:t>
            </w: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190,120,276</w:t>
            </w:r>
          </w:p>
        </w:tc>
        <w:tc>
          <w:tcPr>
            <w:tcW w:w="13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98"/>
              </w:rPr>
              <w:t>208,196,303</w:t>
            </w:r>
          </w:p>
        </w:tc>
        <w:tc>
          <w:tcPr>
            <w:tcW w:w="320" w:type="dxa"/>
            <w:vAlign w:val="bottom"/>
          </w:tcPr>
          <w:p>
            <w:pPr>
              <w:spacing w:after="0"/>
              <w:rPr>
                <w:sz w:val="22"/>
                <w:szCs w:val="22"/>
                <w:color w:val="auto"/>
              </w:rPr>
            </w:pP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64"/>
        </w:trPr>
        <w:tc>
          <w:tcPr>
            <w:tcW w:w="6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b w:val="1"/>
                <w:bCs w:val="1"/>
                <w:color w:val="auto"/>
              </w:rPr>
              <w:t>Receivables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8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Notes receivable from participants</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3,197,741</w:t>
            </w:r>
          </w:p>
        </w:tc>
        <w:tc>
          <w:tcPr>
            <w:tcW w:w="1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3,368,015</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54"/>
        </w:trPr>
        <w:tc>
          <w:tcPr>
            <w:tcW w:w="6220" w:type="dxa"/>
            <w:vAlign w:val="bottom"/>
          </w:tcPr>
          <w:p>
            <w:pPr>
              <w:ind w:left="900"/>
              <w:spacing w:after="0"/>
              <w:rPr>
                <w:sz w:val="20"/>
                <w:szCs w:val="20"/>
                <w:color w:val="auto"/>
              </w:rPr>
            </w:pPr>
            <w:r>
              <w:rPr>
                <w:rFonts w:ascii="Arial" w:cs="Arial" w:eastAsia="Arial" w:hAnsi="Arial"/>
                <w:sz w:val="20"/>
                <w:szCs w:val="20"/>
                <w:b w:val="1"/>
                <w:bCs w:val="1"/>
                <w:color w:val="auto"/>
              </w:rPr>
              <w:t>Total receivables</w:t>
            </w: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3,197,741</w:t>
            </w:r>
          </w:p>
        </w:tc>
        <w:tc>
          <w:tcPr>
            <w:tcW w:w="13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3,368,015</w:t>
            </w:r>
          </w:p>
        </w:tc>
        <w:tc>
          <w:tcPr>
            <w:tcW w:w="320" w:type="dxa"/>
            <w:vAlign w:val="bottom"/>
          </w:tcPr>
          <w:p>
            <w:pPr>
              <w:spacing w:after="0"/>
              <w:rPr>
                <w:sz w:val="22"/>
                <w:szCs w:val="22"/>
                <w:color w:val="auto"/>
              </w:rPr>
            </w:pP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64"/>
        </w:trPr>
        <w:tc>
          <w:tcPr>
            <w:tcW w:w="6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61"/>
        </w:trPr>
        <w:tc>
          <w:tcPr>
            <w:tcW w:w="6220" w:type="dxa"/>
            <w:vAlign w:val="bottom"/>
          </w:tcPr>
          <w:p>
            <w:pPr>
              <w:ind w:left="820"/>
              <w:spacing w:after="0"/>
              <w:rPr>
                <w:sz w:val="20"/>
                <w:szCs w:val="20"/>
                <w:color w:val="auto"/>
              </w:rPr>
            </w:pPr>
            <w:r>
              <w:rPr>
                <w:rFonts w:ascii="Arial" w:cs="Arial" w:eastAsia="Arial" w:hAnsi="Arial"/>
                <w:sz w:val="20"/>
                <w:szCs w:val="20"/>
                <w:b w:val="1"/>
                <w:bCs w:val="1"/>
                <w:color w:val="auto"/>
              </w:rPr>
              <w:t>Total assets</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193,318,017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w w:val="98"/>
              </w:rPr>
              <w:t>211,564,318</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6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b w:val="1"/>
                <w:bCs w:val="1"/>
                <w:color w:val="auto"/>
              </w:rPr>
              <w:t>LIABILITIES</w:t>
            </w:r>
          </w:p>
        </w:tc>
        <w:tc>
          <w:tcPr>
            <w:tcW w:w="280" w:type="dxa"/>
            <w:vAlign w:val="bottom"/>
          </w:tcPr>
          <w:p>
            <w:pPr>
              <w:spacing w:after="0"/>
              <w:rPr>
                <w:sz w:val="22"/>
                <w:szCs w:val="22"/>
                <w:color w:val="auto"/>
              </w:rPr>
            </w:pPr>
          </w:p>
        </w:tc>
        <w:tc>
          <w:tcPr>
            <w:tcW w:w="2580" w:type="dxa"/>
            <w:vAlign w:val="bottom"/>
            <w:gridSpan w:val="2"/>
          </w:tcPr>
          <w:p>
            <w:pPr>
              <w:jc w:val="center"/>
              <w:ind w:right="1580"/>
              <w:spacing w:after="0"/>
              <w:rPr>
                <w:sz w:val="20"/>
                <w:szCs w:val="20"/>
                <w:color w:val="auto"/>
              </w:rPr>
            </w:pPr>
            <w:r>
              <w:rPr>
                <w:rFonts w:ascii="Arial" w:cs="Arial" w:eastAsia="Arial" w:hAnsi="Arial"/>
                <w:sz w:val="20"/>
                <w:szCs w:val="20"/>
                <w:color w:val="auto"/>
                <w:w w:val="99"/>
              </w:rPr>
              <w:t>—</w:t>
            </w:r>
          </w:p>
        </w:tc>
        <w:tc>
          <w:tcPr>
            <w:tcW w:w="320" w:type="dxa"/>
            <w:vAlign w:val="bottom"/>
          </w:tcPr>
          <w:p>
            <w:pPr>
              <w:spacing w:after="0"/>
              <w:rPr>
                <w:sz w:val="22"/>
                <w:szCs w:val="22"/>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20"/>
                <w:szCs w:val="20"/>
                <w:color w:val="auto"/>
                <w:w w:val="99"/>
              </w:rPr>
              <w:t>—</w:t>
            </w: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6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r>
      <w:tr>
        <w:trPr>
          <w:trHeight w:val="272"/>
        </w:trPr>
        <w:tc>
          <w:tcPr>
            <w:tcW w:w="622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193,318,017</w:t>
            </w:r>
          </w:p>
        </w:tc>
        <w:tc>
          <w:tcPr>
            <w:tcW w:w="1300" w:type="dxa"/>
            <w:vAlign w:val="bottom"/>
          </w:tcPr>
          <w:p>
            <w:pPr>
              <w:spacing w:after="0"/>
              <w:rPr>
                <w:sz w:val="23"/>
                <w:szCs w:val="23"/>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98"/>
              </w:rPr>
              <w:t>211,564,318</w:t>
            </w:r>
          </w:p>
        </w:tc>
        <w:tc>
          <w:tcPr>
            <w:tcW w:w="320" w:type="dxa"/>
            <w:vAlign w:val="bottom"/>
          </w:tcPr>
          <w:p>
            <w:pPr>
              <w:spacing w:after="0"/>
              <w:rPr>
                <w:sz w:val="23"/>
                <w:szCs w:val="23"/>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00"/>
          </w:cols>
          <w:pgMar w:left="240" w:top="949" w:right="459" w:bottom="435" w:gutter="0" w:footer="0" w:header="0"/>
        </w:sectPr>
      </w:pP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00"/>
          </w:cols>
          <w:pgMar w:left="240" w:top="949" w:right="459" w:bottom="435" w:gutter="0" w:footer="0" w:header="0"/>
          <w:type w:val="continuous"/>
        </w:sectPr>
      </w:pPr>
    </w:p>
    <w:bookmarkStart w:id="7" w:name="page8"/>
    <w:bookmarkEnd w:id="7"/>
    <w:p>
      <w:pPr>
        <w:ind w:left="320"/>
        <w:spacing w:after="0"/>
        <w:rPr>
          <w:sz w:val="20"/>
          <w:szCs w:val="20"/>
          <w:color w:val="auto"/>
        </w:rPr>
      </w:pPr>
      <w:r>
        <w:rPr>
          <w:rFonts w:ascii="Arial" w:cs="Arial" w:eastAsia="Arial" w:hAnsi="Arial"/>
          <w:sz w:val="22"/>
          <w:szCs w:val="22"/>
          <w:b w:val="1"/>
          <w:bCs w:val="1"/>
          <w:color w:val="auto"/>
        </w:rPr>
        <w:t>CROWN CORK &amp; SEAL COMPANY, INC.</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401(k) RETIREMENT SAVINGS PLAN</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28575</wp:posOffset>
            </wp:positionV>
            <wp:extent cx="6877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56"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6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60" w:type="dxa"/>
            <w:vAlign w:val="bottom"/>
            <w:gridSpan w:val="4"/>
          </w:tcPr>
          <w:p>
            <w:pPr>
              <w:jc w:val="right"/>
              <w:ind w:right="761"/>
              <w:spacing w:after="0"/>
              <w:rPr>
                <w:sz w:val="20"/>
                <w:szCs w:val="20"/>
                <w:color w:val="auto"/>
              </w:rPr>
            </w:pPr>
            <w:r>
              <w:rPr>
                <w:rFonts w:ascii="Arial" w:cs="Arial" w:eastAsia="Arial" w:hAnsi="Arial"/>
                <w:sz w:val="20"/>
                <w:szCs w:val="20"/>
                <w:b w:val="1"/>
                <w:bCs w:val="1"/>
                <w:color w:val="auto"/>
              </w:rPr>
              <w:t>For the Year Ended December 31,</w:t>
            </w:r>
          </w:p>
        </w:tc>
      </w:tr>
      <w:tr>
        <w:trPr>
          <w:trHeight w:val="30"/>
        </w:trPr>
        <w:tc>
          <w:tcPr>
            <w:tcW w:w="6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1"/>
        </w:trPr>
        <w:tc>
          <w:tcPr>
            <w:tcW w:w="6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541"/>
              <w:spacing w:after="0"/>
              <w:rPr>
                <w:sz w:val="20"/>
                <w:szCs w:val="20"/>
                <w:color w:val="auto"/>
              </w:rPr>
            </w:pPr>
            <w:r>
              <w:rPr>
                <w:rFonts w:ascii="Arial" w:cs="Arial" w:eastAsia="Arial" w:hAnsi="Arial"/>
                <w:sz w:val="20"/>
                <w:szCs w:val="20"/>
                <w:b w:val="1"/>
                <w:bCs w:val="1"/>
                <w:color w:val="auto"/>
              </w:rPr>
              <w:t>2018</w:t>
            </w: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541"/>
              <w:spacing w:after="0"/>
              <w:rPr>
                <w:sz w:val="20"/>
                <w:szCs w:val="20"/>
                <w:color w:val="auto"/>
              </w:rPr>
            </w:pPr>
            <w:r>
              <w:rPr>
                <w:rFonts w:ascii="Arial" w:cs="Arial" w:eastAsia="Arial" w:hAnsi="Arial"/>
                <w:sz w:val="20"/>
                <w:szCs w:val="20"/>
                <w:b w:val="1"/>
                <w:bCs w:val="1"/>
                <w:color w:val="auto"/>
              </w:rPr>
              <w:t>2017</w:t>
            </w:r>
          </w:p>
        </w:tc>
      </w:tr>
      <w:tr>
        <w:trPr>
          <w:trHeight w:val="30"/>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Changes/Additions: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61"/>
        </w:trPr>
        <w:tc>
          <w:tcPr>
            <w:tcW w:w="6240" w:type="dxa"/>
            <w:vAlign w:val="bottom"/>
          </w:tcPr>
          <w:p>
            <w:pPr>
              <w:ind w:left="20"/>
              <w:spacing w:after="0"/>
              <w:rPr>
                <w:sz w:val="20"/>
                <w:szCs w:val="20"/>
                <w:color w:val="auto"/>
              </w:rPr>
            </w:pPr>
            <w:r>
              <w:rPr>
                <w:rFonts w:ascii="Arial" w:cs="Arial" w:eastAsia="Arial" w:hAnsi="Arial"/>
                <w:sz w:val="20"/>
                <w:szCs w:val="20"/>
                <w:color w:val="auto"/>
              </w:rPr>
              <w:t>Investment (loss) income:</w:t>
            </w: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
        </w:trPr>
        <w:tc>
          <w:tcPr>
            <w:tcW w:w="6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Interest and dividend income</w:t>
            </w: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7,735,920</w:t>
            </w: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6,316,373</w:t>
            </w:r>
          </w:p>
        </w:tc>
      </w:tr>
      <w:tr>
        <w:trPr>
          <w:trHeight w:val="261"/>
        </w:trPr>
        <w:tc>
          <w:tcPr>
            <w:tcW w:w="6240" w:type="dxa"/>
            <w:vAlign w:val="bottom"/>
          </w:tcPr>
          <w:p>
            <w:pPr>
              <w:ind w:left="180"/>
              <w:spacing w:after="0"/>
              <w:rPr>
                <w:sz w:val="20"/>
                <w:szCs w:val="20"/>
                <w:color w:val="auto"/>
              </w:rPr>
            </w:pPr>
            <w:r>
              <w:rPr>
                <w:rFonts w:ascii="Arial" w:cs="Arial" w:eastAsia="Arial" w:hAnsi="Arial"/>
                <w:sz w:val="20"/>
                <w:szCs w:val="20"/>
                <w:color w:val="auto"/>
              </w:rPr>
              <w:t>Net (depreciation) appreciation in fair value of investments</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(20,353,970)</w:t>
            </w: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20,571,904</w:t>
            </w:r>
          </w:p>
        </w:tc>
      </w:tr>
      <w:tr>
        <w:trPr>
          <w:trHeight w:val="2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7"/>
        </w:trPr>
        <w:tc>
          <w:tcPr>
            <w:tcW w:w="6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20"/>
                <w:szCs w:val="20"/>
                <w:b w:val="1"/>
                <w:bCs w:val="1"/>
                <w:color w:val="auto"/>
              </w:rPr>
              <w:t>Total investment (loss) income</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(12,618,050)</w:t>
            </w:r>
          </w:p>
        </w:tc>
        <w:tc>
          <w:tcPr>
            <w:tcW w:w="1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26,888,277</w:t>
            </w:r>
          </w:p>
        </w:tc>
      </w:tr>
      <w:tr>
        <w:trPr>
          <w:trHeight w:val="318"/>
        </w:trPr>
        <w:tc>
          <w:tcPr>
            <w:tcW w:w="6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8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Interest income, notes receivable from participants</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162,440</w:t>
            </w:r>
          </w:p>
        </w:tc>
        <w:tc>
          <w:tcPr>
            <w:tcW w:w="1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146,594</w:t>
            </w:r>
          </w:p>
        </w:tc>
      </w:tr>
      <w:tr>
        <w:trPr>
          <w:trHeight w:val="254"/>
        </w:trPr>
        <w:tc>
          <w:tcPr>
            <w:tcW w:w="6240" w:type="dxa"/>
            <w:vAlign w:val="bottom"/>
          </w:tcPr>
          <w:p>
            <w:pPr>
              <w:ind w:left="1020"/>
              <w:spacing w:after="0"/>
              <w:rPr>
                <w:sz w:val="20"/>
                <w:szCs w:val="20"/>
                <w:color w:val="auto"/>
              </w:rPr>
            </w:pPr>
            <w:r>
              <w:rPr>
                <w:rFonts w:ascii="Arial" w:cs="Arial" w:eastAsia="Arial" w:hAnsi="Arial"/>
                <w:sz w:val="20"/>
                <w:szCs w:val="20"/>
                <w:b w:val="1"/>
                <w:bCs w:val="1"/>
                <w:color w:val="auto"/>
              </w:rPr>
              <w:t>Total interest income, notes receivable</w:t>
            </w:r>
          </w:p>
        </w:tc>
        <w:tc>
          <w:tcPr>
            <w:tcW w:w="3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162,440</w:t>
            </w:r>
          </w:p>
        </w:tc>
        <w:tc>
          <w:tcPr>
            <w:tcW w:w="12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146,594</w:t>
            </w:r>
          </w:p>
        </w:tc>
      </w:tr>
      <w:tr>
        <w:trPr>
          <w:trHeight w:val="2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6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1"/>
        </w:trPr>
        <w:tc>
          <w:tcPr>
            <w:tcW w:w="6240" w:type="dxa"/>
            <w:vAlign w:val="bottom"/>
          </w:tcPr>
          <w:p>
            <w:pPr>
              <w:ind w:left="20"/>
              <w:spacing w:after="0"/>
              <w:rPr>
                <w:sz w:val="20"/>
                <w:szCs w:val="20"/>
                <w:color w:val="auto"/>
              </w:rPr>
            </w:pPr>
            <w:r>
              <w:rPr>
                <w:rFonts w:ascii="Arial" w:cs="Arial" w:eastAsia="Arial" w:hAnsi="Arial"/>
                <w:sz w:val="20"/>
                <w:szCs w:val="20"/>
                <w:color w:val="auto"/>
              </w:rPr>
              <w:t>Contributions:</w:t>
            </w: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
        </w:trPr>
        <w:tc>
          <w:tcPr>
            <w:tcW w:w="6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20"/>
                <w:szCs w:val="20"/>
                <w:color w:val="auto"/>
              </w:rPr>
              <w:t>Employer</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1,744,251</w:t>
            </w: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1,623,272</w:t>
            </w:r>
          </w:p>
        </w:tc>
      </w:tr>
      <w:tr>
        <w:trPr>
          <w:trHeight w:val="261"/>
        </w:trPr>
        <w:tc>
          <w:tcPr>
            <w:tcW w:w="6240" w:type="dxa"/>
            <w:vAlign w:val="bottom"/>
          </w:tcPr>
          <w:p>
            <w:pPr>
              <w:ind w:left="320"/>
              <w:spacing w:after="0"/>
              <w:rPr>
                <w:sz w:val="20"/>
                <w:szCs w:val="20"/>
                <w:color w:val="auto"/>
              </w:rPr>
            </w:pPr>
            <w:r>
              <w:rPr>
                <w:rFonts w:ascii="Arial" w:cs="Arial" w:eastAsia="Arial" w:hAnsi="Arial"/>
                <w:sz w:val="20"/>
                <w:szCs w:val="20"/>
                <w:color w:val="auto"/>
              </w:rPr>
              <w:t>Participant</w:t>
            </w: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9,698,825</w:t>
            </w: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9,841,027</w:t>
            </w:r>
          </w:p>
        </w:tc>
      </w:tr>
      <w:tr>
        <w:trPr>
          <w:trHeight w:val="2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7"/>
        </w:trPr>
        <w:tc>
          <w:tcPr>
            <w:tcW w:w="6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20"/>
                <w:szCs w:val="20"/>
                <w:b w:val="1"/>
                <w:bCs w:val="1"/>
                <w:color w:val="auto"/>
              </w:rPr>
              <w:t>Total contributions</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11,443,076</w:t>
            </w:r>
          </w:p>
        </w:tc>
        <w:tc>
          <w:tcPr>
            <w:tcW w:w="1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11,464,299</w:t>
            </w:r>
          </w:p>
        </w:tc>
      </w:tr>
      <w:tr>
        <w:trPr>
          <w:trHeight w:val="318"/>
        </w:trPr>
        <w:tc>
          <w:tcPr>
            <w:tcW w:w="6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8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Other additions</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8,938</w:t>
            </w:r>
          </w:p>
        </w:tc>
        <w:tc>
          <w:tcPr>
            <w:tcW w:w="1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32,390</w:t>
            </w:r>
          </w:p>
        </w:tc>
      </w:tr>
      <w:tr>
        <w:trPr>
          <w:trHeight w:val="254"/>
        </w:trPr>
        <w:tc>
          <w:tcPr>
            <w:tcW w:w="6240" w:type="dxa"/>
            <w:vAlign w:val="bottom"/>
          </w:tcPr>
          <w:p>
            <w:pPr>
              <w:ind w:left="1020"/>
              <w:spacing w:after="0"/>
              <w:rPr>
                <w:sz w:val="20"/>
                <w:szCs w:val="20"/>
                <w:color w:val="auto"/>
              </w:rPr>
            </w:pPr>
            <w:r>
              <w:rPr>
                <w:rFonts w:ascii="Arial" w:cs="Arial" w:eastAsia="Arial" w:hAnsi="Arial"/>
                <w:sz w:val="20"/>
                <w:szCs w:val="20"/>
                <w:b w:val="1"/>
                <w:bCs w:val="1"/>
                <w:color w:val="auto"/>
              </w:rPr>
              <w:t>Total changes/additions</w:t>
            </w:r>
          </w:p>
        </w:tc>
        <w:tc>
          <w:tcPr>
            <w:tcW w:w="3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(1,003,596)</w:t>
            </w:r>
          </w:p>
        </w:tc>
        <w:tc>
          <w:tcPr>
            <w:tcW w:w="12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38,531,560</w:t>
            </w:r>
          </w:p>
        </w:tc>
      </w:tr>
      <w:tr>
        <w:trPr>
          <w:trHeight w:val="2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6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1"/>
        </w:trPr>
        <w:tc>
          <w:tcPr>
            <w:tcW w:w="6240" w:type="dxa"/>
            <w:vAlign w:val="bottom"/>
          </w:tcPr>
          <w:p>
            <w:pPr>
              <w:ind w:left="20"/>
              <w:spacing w:after="0"/>
              <w:rPr>
                <w:sz w:val="20"/>
                <w:szCs w:val="20"/>
                <w:color w:val="auto"/>
              </w:rPr>
            </w:pPr>
            <w:r>
              <w:rPr>
                <w:rFonts w:ascii="Arial" w:cs="Arial" w:eastAsia="Arial" w:hAnsi="Arial"/>
                <w:sz w:val="20"/>
                <w:szCs w:val="20"/>
                <w:b w:val="1"/>
                <w:bCs w:val="1"/>
                <w:color w:val="auto"/>
              </w:rPr>
              <w:t>Deductions:</w:t>
            </w: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
        </w:trPr>
        <w:tc>
          <w:tcPr>
            <w:tcW w:w="6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Benefits paid to participants</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17,078,412</w:t>
            </w: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18,634,017</w:t>
            </w:r>
          </w:p>
        </w:tc>
      </w:tr>
      <w:tr>
        <w:trPr>
          <w:trHeight w:val="261"/>
        </w:trPr>
        <w:tc>
          <w:tcPr>
            <w:tcW w:w="6240" w:type="dxa"/>
            <w:vAlign w:val="bottom"/>
          </w:tcPr>
          <w:p>
            <w:pPr>
              <w:ind w:left="20"/>
              <w:spacing w:after="0"/>
              <w:rPr>
                <w:sz w:val="20"/>
                <w:szCs w:val="20"/>
                <w:color w:val="auto"/>
              </w:rPr>
            </w:pPr>
            <w:r>
              <w:rPr>
                <w:rFonts w:ascii="Arial" w:cs="Arial" w:eastAsia="Arial" w:hAnsi="Arial"/>
                <w:sz w:val="20"/>
                <w:szCs w:val="20"/>
                <w:color w:val="auto"/>
              </w:rPr>
              <w:t>Administrative expenses</w:t>
            </w: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164,293</w:t>
            </w: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151,530</w:t>
            </w:r>
          </w:p>
        </w:tc>
      </w:tr>
      <w:tr>
        <w:trPr>
          <w:trHeight w:val="2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7"/>
        </w:trPr>
        <w:tc>
          <w:tcPr>
            <w:tcW w:w="6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20"/>
                <w:szCs w:val="20"/>
                <w:b w:val="1"/>
                <w:bCs w:val="1"/>
                <w:color w:val="auto"/>
              </w:rPr>
              <w:t>Total deductions</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17,242,705</w:t>
            </w:r>
          </w:p>
        </w:tc>
        <w:tc>
          <w:tcPr>
            <w:tcW w:w="1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18,785,547</w:t>
            </w:r>
          </w:p>
        </w:tc>
      </w:tr>
      <w:tr>
        <w:trPr>
          <w:trHeight w:val="318"/>
        </w:trPr>
        <w:tc>
          <w:tcPr>
            <w:tcW w:w="6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6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(decrease) increase</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(18,246,301)</w:t>
            </w: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19,746,013</w:t>
            </w:r>
          </w:p>
        </w:tc>
      </w:tr>
      <w:tr>
        <w:trPr>
          <w:trHeight w:val="324"/>
        </w:trPr>
        <w:tc>
          <w:tcPr>
            <w:tcW w:w="6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61"/>
        </w:trPr>
        <w:tc>
          <w:tcPr>
            <w:tcW w:w="6240" w:type="dxa"/>
            <w:vAlign w:val="bottom"/>
          </w:tcPr>
          <w:p>
            <w:pPr>
              <w:ind w:left="340"/>
              <w:spacing w:after="0"/>
              <w:rPr>
                <w:sz w:val="20"/>
                <w:szCs w:val="20"/>
                <w:color w:val="auto"/>
              </w:rPr>
            </w:pPr>
            <w:r>
              <w:rPr>
                <w:rFonts w:ascii="Arial" w:cs="Arial" w:eastAsia="Arial" w:hAnsi="Arial"/>
                <w:sz w:val="20"/>
                <w:szCs w:val="20"/>
                <w:color w:val="auto"/>
              </w:rPr>
              <w:t>Beginning of year</w:t>
            </w: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211,564,318</w:t>
            </w: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191,818,305</w:t>
            </w:r>
          </w:p>
        </w:tc>
      </w:tr>
      <w:tr>
        <w:trPr>
          <w:trHeight w:val="2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2"/>
        </w:trPr>
        <w:tc>
          <w:tcPr>
            <w:tcW w:w="6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20"/>
                <w:szCs w:val="20"/>
                <w:color w:val="auto"/>
              </w:rPr>
              <w:t>End of year</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193,318,017</w:t>
            </w:r>
          </w:p>
        </w:tc>
        <w:tc>
          <w:tcPr>
            <w:tcW w:w="1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211,564,318</w:t>
            </w:r>
          </w:p>
        </w:tc>
      </w:tr>
      <w:tr>
        <w:trPr>
          <w:trHeight w:val="20"/>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40"/>
          </w:cols>
          <w:pgMar w:left="240" w:top="94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40"/>
          </w:cols>
          <w:pgMar w:left="240" w:top="949" w:right="5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DESCRIPTION OF PLAN</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description of the Crown Cork &amp; Seal Company, Inc. 401(k) Retirement Savings Plan (the “Plan") provides only general information. Participants should refer to the Plan document for a more complete description of the Plan's provisions.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Plan is a voluntary defined contribution plan. The purpose of the Plan is to provide a convenient method by which eligible employees of Crown Holdings, Inc. and subsidiaries (the “Company”) may save regularly through salary deferrals and through Company matching contributions. Generally, employees are eligible to participate in the Plan upon date of hire. The Plan is subject to the provisions of the Employee Retirement Income Security Act of 1974 (“ERISA”).</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Contributions</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Plan has two contribution components: a participant salary deferral 401(k) component and a Company matching contribution component. The Plan allows before-tax participant contributions of 2% to 75% of eligible compensation. The Plan also allows after-tax participant contributions of 1% to 10% of eligible compensation. The Company makes matching contributions equal to 50% of the participant's contribution, up to 3% of compensation, depending on the employer company, as defined in the Plan document. Participants direct the investment of their contributions into various investment options offered by the Plan. Company contributions are invested in accordance with participant investment directions. Contribution amounts are subject to certain Internal Revenue Service ("IRS") limitations.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Participant Accounts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Each participant's account is credited with the participant's contributions and allocation of (a) the Company's contribution and (b) Plan earnings, and charged with an allocation of any miscellaneous fees. Allocations are based on participant earnings or account balances, as defined. The benefit to which a participant is entitled is the benefit that can be provided from the participant's vested account.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Participants are immediately vested in their contributions plus actual earnings thereon. Vesting in the Company's contribution plus actual earnings thereon is based on years of continuous service. A participant is considered 25% vested in the Company's contributions after one year of credited service. The participant's vested interest increases at a rate of 25% for each year of service thereafter, with the participant being 100% vested after four years.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Participants may borrow from their account a minimum of $1,000 up to a maximum equal to the lesser of $50,000 or 50% of the participant's vested account balance. Notes receivable terms range from 1 to 5 years or up to 10 years for the purchase of a primary residence. The notes receivable are secured by the balance in the participant's account and bear interest at a rate commensurate with a prevailing commercial rate for a secured personal loan. Interest rates on notes receivable outstanding as of December 31, 2018 and 2017 range from 4.25% to 6.50% and 4.25% to 6.25%, respectively. Principal and interest are paid ratably through monthly payroll deductions. A participant may not have more than two outstanding notes receivable at any one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2" w:right="2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All distributions are paid in either cash or Company stock at the participant's election.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Forfeited Accounts</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When certain terminations of participation in the Plan occur, the non-vested portion of the participant's account, as defined, represents a forfeiture. Total unallocated forfeitures, which will be used to reduce future Company contributions, were $1,607 and $425 at December 31, 2018 and 2017, respectively. Forfeitures used to offset Company contributions in 2018 and 2017 totaled $71,513 and $78,259,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Plan Termination</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of Accounting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financial statements of the Plan are prepared under the accrual basis of accounting.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Use of Estimates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Investment Valuation and Income Recognition</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Plan’s investments are reported at fair value. Fair value is the price that would be received to sell an asset or paid to transfer a liability in an orderly transaction between market participants at the measurement date. See Note 3 for a discussion of fair value measurements.</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Purchases and sales of securities are recorded on the trade-date basis. Interest income is recorded on the accrual basis. Dividends are recorded on the ex-dividend date. Net (depreciation) appreciation includes the Plan’s gains and losses on investments bought and sold as well as held during the year.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05" w:right="2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2018 and 2017.</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Expenses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Recordkeeping expenses and fees related to the administration of notes receivable from participants are charged directly to the participant’s account and are included in administrative expenses. Investment related expenses are included in net (depreciation) appreciation in fair value of investments. Expenses paid by the Company are excluded from these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Standards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In August 2018, the Financial Accounting Standards Board ("FASB") issued Accounting Standards Update ("ASU") No. 2018-13, </w:t>
      </w:r>
      <w:r>
        <w:rPr>
          <w:rFonts w:ascii="Arial" w:cs="Arial" w:eastAsia="Arial" w:hAnsi="Arial"/>
          <w:sz w:val="19"/>
          <w:szCs w:val="19"/>
          <w:i w:val="1"/>
          <w:iCs w:val="1"/>
          <w:color w:val="auto"/>
        </w:rPr>
        <w:t>Disclosure</w:t>
      </w:r>
      <w:r>
        <w:rPr>
          <w:rFonts w:ascii="Arial" w:cs="Arial" w:eastAsia="Arial" w:hAnsi="Arial"/>
          <w:sz w:val="19"/>
          <w:szCs w:val="19"/>
          <w:color w:val="auto"/>
        </w:rPr>
        <w:t xml:space="preserve"> </w:t>
      </w:r>
      <w:r>
        <w:rPr>
          <w:rFonts w:ascii="Arial" w:cs="Arial" w:eastAsia="Arial" w:hAnsi="Arial"/>
          <w:sz w:val="19"/>
          <w:szCs w:val="19"/>
          <w:i w:val="1"/>
          <w:iCs w:val="1"/>
          <w:color w:val="auto"/>
        </w:rPr>
        <w:t>Framework - Changes to the Disclosure Requirements for Fair Value Measurement</w:t>
      </w:r>
      <w:r>
        <w:rPr>
          <w:rFonts w:ascii="Arial" w:cs="Arial" w:eastAsia="Arial" w:hAnsi="Arial"/>
          <w:sz w:val="19"/>
          <w:szCs w:val="19"/>
          <w:color w:val="auto"/>
        </w:rPr>
        <w:t>. ASU No. 2018-13 modifies the disclosure requirements for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fair value measurements in Topic 820, Fair Value Measurement. The amendments are based on the concepts in the FASB Concepts Statement, </w:t>
      </w:r>
      <w:r>
        <w:rPr>
          <w:rFonts w:ascii="Arial" w:cs="Arial" w:eastAsia="Arial" w:hAnsi="Arial"/>
          <w:sz w:val="19"/>
          <w:szCs w:val="19"/>
          <w:i w:val="1"/>
          <w:iCs w:val="1"/>
          <w:color w:val="auto"/>
        </w:rPr>
        <w:t>Conceptual Framework for Financial Reporting-Chapter 8: Notes to Financial Statements</w:t>
      </w:r>
      <w:r>
        <w:rPr>
          <w:rFonts w:ascii="Arial" w:cs="Arial" w:eastAsia="Arial" w:hAnsi="Arial"/>
          <w:sz w:val="19"/>
          <w:szCs w:val="19"/>
          <w:color w:val="auto"/>
        </w:rPr>
        <w:t>, which the Board finalized on August 28, 2018.</w:t>
      </w:r>
      <w:r>
        <w:rPr>
          <w:rFonts w:ascii="Arial" w:cs="Arial" w:eastAsia="Arial" w:hAnsi="Arial"/>
          <w:sz w:val="19"/>
          <w:szCs w:val="19"/>
          <w:i w:val="1"/>
          <w:iCs w:val="1"/>
          <w:color w:val="auto"/>
        </w:rPr>
        <w:t xml:space="preserve"> </w:t>
      </w:r>
      <w:r>
        <w:rPr>
          <w:rFonts w:ascii="Arial" w:cs="Arial" w:eastAsia="Arial" w:hAnsi="Arial"/>
          <w:sz w:val="19"/>
          <w:szCs w:val="19"/>
          <w:color w:val="auto"/>
        </w:rPr>
        <w:t>ASU No. 2018-13 is effective for fiscal years beginning after December 15, 2019. Early adoption is permitted. Management is currently assessing the impact that ASU No. 2018-13 will have on the Plan’s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FAIR VALUE MEASUREMENTS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205"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190"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such as:</w:t>
      </w:r>
    </w:p>
    <w:p>
      <w:pPr>
        <w:spacing w:after="0" w:line="190"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quoted prices for similar assets or liabilities in active markets;</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quoted prices for identical or similar assets or liabilities in inactive markets;</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other than quoted prices that are observable for the asset or liability;</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that are derived principally from or corroborated by observable market data by correlation or other means.</w:t>
      </w:r>
    </w:p>
    <w:p>
      <w:pPr>
        <w:spacing w:after="0" w:line="21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If the asset or liability has a specified (contractual) term, the Level 2 input must be observable for substantially the full term of the asset or liability.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805" w:right="23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instruments measured at fair value on a recurring basis for the Plan:</w:t>
      </w:r>
    </w:p>
    <w:p>
      <w:pPr>
        <w:spacing w:after="0" w:line="385"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60" w:type="dxa"/>
            <w:vAlign w:val="bottom"/>
            <w:gridSpan w:val="4"/>
          </w:tcPr>
          <w:p>
            <w:pPr>
              <w:jc w:val="right"/>
              <w:ind w:right="521"/>
              <w:spacing w:after="0"/>
              <w:rPr>
                <w:sz w:val="20"/>
                <w:szCs w:val="20"/>
                <w:color w:val="auto"/>
              </w:rPr>
            </w:pPr>
            <w:r>
              <w:rPr>
                <w:rFonts w:ascii="Arial" w:cs="Arial" w:eastAsia="Arial" w:hAnsi="Arial"/>
                <w:sz w:val="20"/>
                <w:szCs w:val="20"/>
                <w:b w:val="1"/>
                <w:bCs w:val="1"/>
                <w:color w:val="auto"/>
                <w:w w:val="93"/>
              </w:rPr>
              <w:t>Assets at Fair Value as of December 31, 2018</w:t>
            </w:r>
          </w:p>
        </w:tc>
      </w:tr>
      <w:tr>
        <w:trPr>
          <w:trHeight w:val="23"/>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4"/>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40" w:type="dxa"/>
            <w:vAlign w:val="bottom"/>
            <w:gridSpan w:val="2"/>
          </w:tcPr>
          <w:p>
            <w:pPr>
              <w:ind w:left="24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2"/>
                <w:szCs w:val="22"/>
                <w:color w:val="auto"/>
              </w:rPr>
            </w:pPr>
          </w:p>
        </w:tc>
        <w:tc>
          <w:tcPr>
            <w:tcW w:w="1420" w:type="dxa"/>
            <w:vAlign w:val="bottom"/>
          </w:tcPr>
          <w:p>
            <w:pPr>
              <w:jc w:val="right"/>
              <w:ind w:right="601"/>
              <w:spacing w:after="0"/>
              <w:rPr>
                <w:sz w:val="20"/>
                <w:szCs w:val="20"/>
                <w:color w:val="auto"/>
              </w:rPr>
            </w:pPr>
            <w:r>
              <w:rPr>
                <w:rFonts w:ascii="Arial" w:cs="Arial" w:eastAsia="Arial" w:hAnsi="Arial"/>
                <w:sz w:val="20"/>
                <w:szCs w:val="20"/>
                <w:b w:val="1"/>
                <w:bCs w:val="1"/>
                <w:color w:val="auto"/>
              </w:rPr>
              <w:t>Total</w:t>
            </w:r>
          </w:p>
        </w:tc>
      </w:tr>
      <w:tr>
        <w:trPr>
          <w:trHeight w:val="2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91"/>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1"/>
        </w:trPr>
        <w:tc>
          <w:tcPr>
            <w:tcW w:w="4980" w:type="dxa"/>
            <w:vAlign w:val="bottom"/>
          </w:tcPr>
          <w:p>
            <w:pPr>
              <w:ind w:left="20"/>
              <w:spacing w:after="0"/>
              <w:rPr>
                <w:sz w:val="20"/>
                <w:szCs w:val="20"/>
                <w:color w:val="auto"/>
              </w:rPr>
            </w:pPr>
            <w:r>
              <w:rPr>
                <w:rFonts w:ascii="Arial" w:cs="Arial" w:eastAsia="Arial" w:hAnsi="Arial"/>
                <w:sz w:val="20"/>
                <w:szCs w:val="20"/>
                <w:color w:val="auto"/>
              </w:rPr>
              <w:t>Registered investment companies</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136,277,694</w:t>
            </w:r>
          </w:p>
        </w:tc>
        <w:tc>
          <w:tcPr>
            <w:tcW w:w="138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136,277,694</w:t>
            </w:r>
          </w:p>
        </w:tc>
      </w:tr>
      <w:tr>
        <w:trPr>
          <w:trHeight w:val="23"/>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Company common stock fund</w:t>
            </w:r>
          </w:p>
        </w:tc>
        <w:tc>
          <w:tcPr>
            <w:tcW w:w="3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14,164,309</w:t>
            </w: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14,164,309</w:t>
            </w:r>
          </w:p>
        </w:tc>
      </w:tr>
      <w:tr>
        <w:trPr>
          <w:trHeight w:val="277"/>
        </w:trPr>
        <w:tc>
          <w:tcPr>
            <w:tcW w:w="4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79"/>
        </w:trPr>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Total assets in fair value hierarchy</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150,442,003</w:t>
            </w: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150,442,003</w:t>
            </w:r>
          </w:p>
        </w:tc>
      </w:tr>
      <w:tr>
        <w:trPr>
          <w:trHeight w:val="20"/>
        </w:trPr>
        <w:tc>
          <w:tcPr>
            <w:tcW w:w="4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9"/>
        </w:trPr>
        <w:tc>
          <w:tcPr>
            <w:tcW w:w="4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8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39,678,273</w:t>
            </w:r>
          </w:p>
        </w:tc>
      </w:tr>
      <w:tr>
        <w:trPr>
          <w:trHeight w:val="277"/>
        </w:trPr>
        <w:tc>
          <w:tcPr>
            <w:tcW w:w="4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7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at fair value</w:t>
            </w:r>
          </w:p>
        </w:tc>
        <w:tc>
          <w:tcPr>
            <w:tcW w:w="3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190,120,276</w:t>
            </w:r>
          </w:p>
        </w:tc>
      </w:tr>
      <w:tr>
        <w:trPr>
          <w:trHeight w:val="20"/>
        </w:trPr>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60" w:type="dxa"/>
            <w:vAlign w:val="bottom"/>
            <w:gridSpan w:val="4"/>
          </w:tcPr>
          <w:p>
            <w:pPr>
              <w:jc w:val="right"/>
              <w:ind w:right="521"/>
              <w:spacing w:after="0"/>
              <w:rPr>
                <w:sz w:val="20"/>
                <w:szCs w:val="20"/>
                <w:color w:val="auto"/>
              </w:rPr>
            </w:pPr>
            <w:r>
              <w:rPr>
                <w:rFonts w:ascii="Arial" w:cs="Arial" w:eastAsia="Arial" w:hAnsi="Arial"/>
                <w:sz w:val="20"/>
                <w:szCs w:val="20"/>
                <w:b w:val="1"/>
                <w:bCs w:val="1"/>
                <w:color w:val="auto"/>
                <w:w w:val="93"/>
              </w:rPr>
              <w:t>Assets at Fair Value as of December 31, 2017</w:t>
            </w:r>
          </w:p>
        </w:tc>
      </w:tr>
      <w:tr>
        <w:trPr>
          <w:trHeight w:val="23"/>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4"/>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40" w:type="dxa"/>
            <w:vAlign w:val="bottom"/>
            <w:gridSpan w:val="2"/>
          </w:tcPr>
          <w:p>
            <w:pPr>
              <w:ind w:left="24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2"/>
                <w:szCs w:val="22"/>
                <w:color w:val="auto"/>
              </w:rPr>
            </w:pPr>
          </w:p>
        </w:tc>
        <w:tc>
          <w:tcPr>
            <w:tcW w:w="1420" w:type="dxa"/>
            <w:vAlign w:val="bottom"/>
          </w:tcPr>
          <w:p>
            <w:pPr>
              <w:jc w:val="right"/>
              <w:ind w:right="601"/>
              <w:spacing w:after="0"/>
              <w:rPr>
                <w:sz w:val="20"/>
                <w:szCs w:val="20"/>
                <w:color w:val="auto"/>
              </w:rPr>
            </w:pPr>
            <w:r>
              <w:rPr>
                <w:rFonts w:ascii="Arial" w:cs="Arial" w:eastAsia="Arial" w:hAnsi="Arial"/>
                <w:sz w:val="20"/>
                <w:szCs w:val="20"/>
                <w:b w:val="1"/>
                <w:bCs w:val="1"/>
                <w:color w:val="auto"/>
              </w:rPr>
              <w:t>Total</w:t>
            </w:r>
          </w:p>
        </w:tc>
      </w:tr>
      <w:tr>
        <w:trPr>
          <w:trHeight w:val="2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91"/>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1"/>
        </w:trPr>
        <w:tc>
          <w:tcPr>
            <w:tcW w:w="4980" w:type="dxa"/>
            <w:vAlign w:val="bottom"/>
          </w:tcPr>
          <w:p>
            <w:pPr>
              <w:ind w:left="20"/>
              <w:spacing w:after="0"/>
              <w:rPr>
                <w:sz w:val="20"/>
                <w:szCs w:val="20"/>
                <w:color w:val="auto"/>
              </w:rPr>
            </w:pPr>
            <w:r>
              <w:rPr>
                <w:rFonts w:ascii="Arial" w:cs="Arial" w:eastAsia="Arial" w:hAnsi="Arial"/>
                <w:sz w:val="20"/>
                <w:szCs w:val="20"/>
                <w:color w:val="auto"/>
              </w:rPr>
              <w:t>Registered investment companies</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146,252,962</w:t>
            </w:r>
          </w:p>
        </w:tc>
        <w:tc>
          <w:tcPr>
            <w:tcW w:w="138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146,252,962</w:t>
            </w:r>
          </w:p>
        </w:tc>
      </w:tr>
      <w:tr>
        <w:trPr>
          <w:trHeight w:val="23"/>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Company common stock fund</w:t>
            </w:r>
          </w:p>
        </w:tc>
        <w:tc>
          <w:tcPr>
            <w:tcW w:w="3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19,546,121</w:t>
            </w: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19,546,121</w:t>
            </w:r>
          </w:p>
        </w:tc>
      </w:tr>
      <w:tr>
        <w:trPr>
          <w:trHeight w:val="277"/>
        </w:trPr>
        <w:tc>
          <w:tcPr>
            <w:tcW w:w="4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319"/>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Total assets in fair value hierarchy</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165,799,083</w:t>
            </w: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165,799,083</w:t>
            </w:r>
          </w:p>
        </w:tc>
      </w:tr>
      <w:tr>
        <w:trPr>
          <w:trHeight w:val="269"/>
        </w:trPr>
        <w:tc>
          <w:tcPr>
            <w:tcW w:w="498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38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r>
      <w:tr>
        <w:trPr>
          <w:trHeight w:val="28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42,397,220</w:t>
            </w:r>
          </w:p>
        </w:tc>
      </w:tr>
      <w:tr>
        <w:trPr>
          <w:trHeight w:val="277"/>
        </w:trPr>
        <w:tc>
          <w:tcPr>
            <w:tcW w:w="4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7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at fair value</w:t>
            </w:r>
          </w:p>
        </w:tc>
        <w:tc>
          <w:tcPr>
            <w:tcW w:w="3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208,196,303</w:t>
            </w:r>
          </w:p>
        </w:tc>
      </w:tr>
      <w:tr>
        <w:trPr>
          <w:trHeight w:val="20"/>
        </w:trPr>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980" w:hanging="324"/>
        <w:spacing w:after="0" w:line="26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9"/>
          <w:szCs w:val="19"/>
          <w:color w:val="auto"/>
        </w:rPr>
        <w:t>Certain investments that were measured at net asset value ("NAV") per share (or its equivalent)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18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is a description of the valuation methodologies used for assets measured at fair value. There have been no changes in the methodologies used at December 31, 2018 and 2017.</w:t>
      </w:r>
    </w:p>
    <w:p>
      <w:pPr>
        <w:spacing w:after="0" w:line="15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Registered investment companies are valued at the daily closing price as reported by the fund, which represent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ectPr>
          <w:pgSz w:w="11900" w:h="16838" w:orient="portrait"/>
          <w:cols w:equalWidth="0" w:num="1">
            <w:col w:w="11420"/>
          </w:cols>
          <w:pgMar w:left="240" w:top="576" w:right="239" w:bottom="1440" w:gutter="0" w:footer="0" w:header="0"/>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76"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fair value of the Company common stock fund is measured at the closing price reported on the active market on which the security held by the fund is traded.</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Investments Measured Using NAV per Share Practical Expedient</w:t>
      </w:r>
    </w:p>
    <w:p>
      <w:pPr>
        <w:spacing w:after="0" w:line="235" w:lineRule="exact"/>
        <w:rPr>
          <w:sz w:val="20"/>
          <w:szCs w:val="20"/>
          <w:color w:val="auto"/>
        </w:rPr>
      </w:pPr>
    </w:p>
    <w:p>
      <w:pPr>
        <w:jc w:val="both"/>
        <w:ind w:left="500"/>
        <w:spacing w:after="0" w:line="250" w:lineRule="auto"/>
        <w:rPr>
          <w:sz w:val="20"/>
          <w:szCs w:val="20"/>
          <w:color w:val="auto"/>
        </w:rPr>
      </w:pPr>
      <w:r>
        <w:rPr>
          <w:rFonts w:ascii="Arial" w:cs="Arial" w:eastAsia="Arial" w:hAnsi="Arial"/>
          <w:sz w:val="20"/>
          <w:szCs w:val="20"/>
          <w:color w:val="auto"/>
        </w:rPr>
        <w:t>The following table summarizes investments for which fair value is measured using NAV per share practical expedient as of December 31, 2018 and 2017, respectively. There are no participant redemption restrictions for these investments; the redemption notice period is applicable only to the Plan.</w:t>
      </w:r>
    </w:p>
    <w:p>
      <w:pPr>
        <w:spacing w:after="0" w:line="356"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20" w:type="dxa"/>
            <w:vAlign w:val="bottom"/>
            <w:gridSpan w:val="4"/>
          </w:tcPr>
          <w:p>
            <w:pPr>
              <w:ind w:left="860"/>
              <w:spacing w:after="0"/>
              <w:rPr>
                <w:sz w:val="20"/>
                <w:szCs w:val="20"/>
                <w:color w:val="auto"/>
              </w:rPr>
            </w:pPr>
            <w:r>
              <w:rPr>
                <w:rFonts w:ascii="Arial" w:cs="Arial" w:eastAsia="Arial" w:hAnsi="Arial"/>
                <w:sz w:val="20"/>
                <w:szCs w:val="20"/>
                <w:b w:val="1"/>
                <w:bCs w:val="1"/>
                <w:color w:val="auto"/>
              </w:rPr>
              <w:t>December 31, 2018</w:t>
            </w:r>
          </w:p>
        </w:tc>
        <w:tc>
          <w:tcPr>
            <w:tcW w:w="1440" w:type="dxa"/>
            <w:vAlign w:val="bottom"/>
          </w:tcPr>
          <w:p>
            <w:pPr>
              <w:spacing w:after="0"/>
              <w:rPr>
                <w:sz w:val="22"/>
                <w:szCs w:val="22"/>
                <w:color w:val="auto"/>
              </w:rPr>
            </w:pP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7"/>
        </w:trPr>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180"/>
              <w:spacing w:after="0" w:line="228" w:lineRule="exact"/>
              <w:rPr>
                <w:sz w:val="20"/>
                <w:szCs w:val="20"/>
                <w:color w:val="auto"/>
              </w:rPr>
            </w:pPr>
            <w:r>
              <w:rPr>
                <w:rFonts w:ascii="Arial" w:cs="Arial" w:eastAsia="Arial" w:hAnsi="Arial"/>
                <w:sz w:val="20"/>
                <w:szCs w:val="20"/>
                <w:b w:val="1"/>
                <w:bCs w:val="1"/>
                <w:color w:val="auto"/>
                <w:w w:val="89"/>
              </w:rPr>
              <w:t>Unfunded</w:t>
            </w:r>
          </w:p>
        </w:tc>
        <w:tc>
          <w:tcPr>
            <w:tcW w:w="1760" w:type="dxa"/>
            <w:vAlign w:val="bottom"/>
            <w:gridSpan w:val="2"/>
          </w:tcPr>
          <w:p>
            <w:pPr>
              <w:jc w:val="center"/>
              <w:ind w:right="200"/>
              <w:spacing w:after="0" w:line="228" w:lineRule="exact"/>
              <w:rPr>
                <w:sz w:val="20"/>
                <w:szCs w:val="20"/>
                <w:color w:val="auto"/>
              </w:rPr>
            </w:pPr>
            <w:r>
              <w:rPr>
                <w:rFonts w:ascii="Arial" w:cs="Arial" w:eastAsia="Arial" w:hAnsi="Arial"/>
                <w:sz w:val="20"/>
                <w:szCs w:val="20"/>
                <w:b w:val="1"/>
                <w:bCs w:val="1"/>
                <w:color w:val="auto"/>
                <w:w w:val="89"/>
              </w:rPr>
              <w:t>Redemption</w:t>
            </w:r>
          </w:p>
        </w:tc>
        <w:tc>
          <w:tcPr>
            <w:tcW w:w="14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Redemption</w:t>
            </w:r>
          </w:p>
        </w:tc>
      </w:tr>
      <w:tr>
        <w:trPr>
          <w:trHeight w:val="256"/>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20"/>
                <w:szCs w:val="20"/>
                <w:b w:val="1"/>
                <w:bCs w:val="1"/>
                <w:color w:val="auto"/>
              </w:rPr>
              <w:t>Fair Value</w:t>
            </w:r>
          </w:p>
        </w:tc>
        <w:tc>
          <w:tcPr>
            <w:tcW w:w="186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9"/>
              </w:rPr>
              <w:t>Commitments</w:t>
            </w:r>
          </w:p>
        </w:tc>
        <w:tc>
          <w:tcPr>
            <w:tcW w:w="176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8"/>
              </w:rPr>
              <w:t>Frequency</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78"/>
        </w:trPr>
        <w:tc>
          <w:tcPr>
            <w:tcW w:w="3520" w:type="dxa"/>
            <w:vAlign w:val="bottom"/>
          </w:tcPr>
          <w:p>
            <w:pPr>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39,678,273</w:t>
            </w:r>
          </w:p>
        </w:tc>
        <w:tc>
          <w:tcPr>
            <w:tcW w:w="20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20"/>
                <w:szCs w:val="20"/>
                <w:color w:val="auto"/>
              </w:rPr>
              <w:t>N/A</w:t>
            </w:r>
          </w:p>
        </w:tc>
        <w:tc>
          <w:tcPr>
            <w:tcW w:w="1760" w:type="dxa"/>
            <w:vAlign w:val="bottom"/>
            <w:gridSpan w:val="2"/>
          </w:tcPr>
          <w:p>
            <w:pPr>
              <w:jc w:val="center"/>
              <w:ind w:right="200"/>
              <w:spacing w:after="0"/>
              <w:rPr>
                <w:sz w:val="20"/>
                <w:szCs w:val="20"/>
                <w:color w:val="auto"/>
              </w:rPr>
            </w:pPr>
            <w:r>
              <w:rPr>
                <w:rFonts w:ascii="Arial" w:cs="Arial" w:eastAsia="Arial" w:hAnsi="Arial"/>
                <w:sz w:val="20"/>
                <w:szCs w:val="20"/>
                <w:color w:val="auto"/>
                <w:w w:val="98"/>
              </w:rPr>
              <w:t>Daily</w:t>
            </w:r>
          </w:p>
        </w:tc>
        <w:tc>
          <w:tcPr>
            <w:tcW w:w="1440" w:type="dxa"/>
            <w:vAlign w:val="bottom"/>
          </w:tcPr>
          <w:p>
            <w:pPr>
              <w:jc w:val="center"/>
              <w:spacing w:after="0"/>
              <w:rPr>
                <w:sz w:val="20"/>
                <w:szCs w:val="20"/>
                <w:color w:val="auto"/>
              </w:rPr>
            </w:pPr>
            <w:r>
              <w:rPr>
                <w:rFonts w:ascii="Arial" w:cs="Arial" w:eastAsia="Arial" w:hAnsi="Arial"/>
                <w:sz w:val="20"/>
                <w:szCs w:val="20"/>
                <w:color w:val="auto"/>
              </w:rPr>
              <w:t>N/A</w:t>
            </w:r>
          </w:p>
        </w:tc>
      </w:tr>
      <w:tr>
        <w:trPr>
          <w:trHeight w:val="608"/>
        </w:trPr>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4"/>
          </w:tcPr>
          <w:p>
            <w:pPr>
              <w:ind w:left="860"/>
              <w:spacing w:after="0"/>
              <w:rPr>
                <w:sz w:val="20"/>
                <w:szCs w:val="20"/>
                <w:color w:val="auto"/>
              </w:rPr>
            </w:pPr>
            <w:r>
              <w:rPr>
                <w:rFonts w:ascii="Arial" w:cs="Arial" w:eastAsia="Arial" w:hAnsi="Arial"/>
                <w:sz w:val="20"/>
                <w:szCs w:val="20"/>
                <w:b w:val="1"/>
                <w:bCs w:val="1"/>
                <w:color w:val="auto"/>
              </w:rPr>
              <w:t>December 31, 2017</w:t>
            </w:r>
          </w:p>
        </w:tc>
        <w:tc>
          <w:tcPr>
            <w:tcW w:w="1440" w:type="dxa"/>
            <w:vAlign w:val="bottom"/>
          </w:tcPr>
          <w:p>
            <w:pPr>
              <w:spacing w:after="0"/>
              <w:rPr>
                <w:sz w:val="24"/>
                <w:szCs w:val="24"/>
                <w:color w:val="auto"/>
              </w:rPr>
            </w:pP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7"/>
        </w:trPr>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180"/>
              <w:spacing w:after="0" w:line="228" w:lineRule="exact"/>
              <w:rPr>
                <w:sz w:val="20"/>
                <w:szCs w:val="20"/>
                <w:color w:val="auto"/>
              </w:rPr>
            </w:pPr>
            <w:r>
              <w:rPr>
                <w:rFonts w:ascii="Arial" w:cs="Arial" w:eastAsia="Arial" w:hAnsi="Arial"/>
                <w:sz w:val="20"/>
                <w:szCs w:val="20"/>
                <w:b w:val="1"/>
                <w:bCs w:val="1"/>
                <w:color w:val="auto"/>
                <w:w w:val="89"/>
              </w:rPr>
              <w:t>Unfunded</w:t>
            </w:r>
          </w:p>
        </w:tc>
        <w:tc>
          <w:tcPr>
            <w:tcW w:w="1760" w:type="dxa"/>
            <w:vAlign w:val="bottom"/>
            <w:gridSpan w:val="2"/>
          </w:tcPr>
          <w:p>
            <w:pPr>
              <w:jc w:val="center"/>
              <w:ind w:right="200"/>
              <w:spacing w:after="0" w:line="228" w:lineRule="exact"/>
              <w:rPr>
                <w:sz w:val="20"/>
                <w:szCs w:val="20"/>
                <w:color w:val="auto"/>
              </w:rPr>
            </w:pPr>
            <w:r>
              <w:rPr>
                <w:rFonts w:ascii="Arial" w:cs="Arial" w:eastAsia="Arial" w:hAnsi="Arial"/>
                <w:sz w:val="20"/>
                <w:szCs w:val="20"/>
                <w:b w:val="1"/>
                <w:bCs w:val="1"/>
                <w:color w:val="auto"/>
                <w:w w:val="89"/>
              </w:rPr>
              <w:t>Redemption</w:t>
            </w:r>
          </w:p>
        </w:tc>
        <w:tc>
          <w:tcPr>
            <w:tcW w:w="14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Redemption</w:t>
            </w:r>
          </w:p>
        </w:tc>
      </w:tr>
      <w:tr>
        <w:trPr>
          <w:trHeight w:val="256"/>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20"/>
                <w:szCs w:val="20"/>
                <w:b w:val="1"/>
                <w:bCs w:val="1"/>
                <w:color w:val="auto"/>
              </w:rPr>
              <w:t>Fair Value</w:t>
            </w:r>
          </w:p>
        </w:tc>
        <w:tc>
          <w:tcPr>
            <w:tcW w:w="186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9"/>
              </w:rPr>
              <w:t>Commitments</w:t>
            </w:r>
          </w:p>
        </w:tc>
        <w:tc>
          <w:tcPr>
            <w:tcW w:w="176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8"/>
              </w:rPr>
              <w:t>Frequency</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78"/>
        </w:trPr>
        <w:tc>
          <w:tcPr>
            <w:tcW w:w="3520" w:type="dxa"/>
            <w:vAlign w:val="bottom"/>
          </w:tcPr>
          <w:p>
            <w:pPr>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42,397,220</w:t>
            </w:r>
          </w:p>
        </w:tc>
        <w:tc>
          <w:tcPr>
            <w:tcW w:w="20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20"/>
                <w:szCs w:val="20"/>
                <w:color w:val="auto"/>
              </w:rPr>
              <w:t>N/A</w:t>
            </w:r>
          </w:p>
        </w:tc>
        <w:tc>
          <w:tcPr>
            <w:tcW w:w="1760" w:type="dxa"/>
            <w:vAlign w:val="bottom"/>
            <w:gridSpan w:val="2"/>
          </w:tcPr>
          <w:p>
            <w:pPr>
              <w:jc w:val="center"/>
              <w:ind w:right="200"/>
              <w:spacing w:after="0"/>
              <w:rPr>
                <w:sz w:val="20"/>
                <w:szCs w:val="20"/>
                <w:color w:val="auto"/>
              </w:rPr>
            </w:pPr>
            <w:r>
              <w:rPr>
                <w:rFonts w:ascii="Arial" w:cs="Arial" w:eastAsia="Arial" w:hAnsi="Arial"/>
                <w:sz w:val="20"/>
                <w:szCs w:val="20"/>
                <w:color w:val="auto"/>
                <w:w w:val="98"/>
              </w:rPr>
              <w:t>Daily</w:t>
            </w:r>
          </w:p>
        </w:tc>
        <w:tc>
          <w:tcPr>
            <w:tcW w:w="1440" w:type="dxa"/>
            <w:vAlign w:val="bottom"/>
          </w:tcPr>
          <w:p>
            <w:pPr>
              <w:jc w:val="center"/>
              <w:spacing w:after="0"/>
              <w:rPr>
                <w:sz w:val="20"/>
                <w:szCs w:val="20"/>
                <w:color w:val="auto"/>
              </w:rPr>
            </w:pPr>
            <w:r>
              <w:rPr>
                <w:rFonts w:ascii="Arial" w:cs="Arial" w:eastAsia="Arial" w:hAnsi="Arial"/>
                <w:sz w:val="20"/>
                <w:szCs w:val="20"/>
                <w:color w:val="auto"/>
              </w:rPr>
              <w:t>N/A</w:t>
            </w: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RELATED PARTY TRANSACTIONS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Plan participants invest in shares of registered investment companies and a collective trust fund managed by affiliates of VFTC. VFTC acts as trustee for investments of the Plan. The Plan participants also invest in shares of the Company’s common stock through the Crown Holdings, Inc. Stock Fund. The Company’s common stock fund held approximately 341,000 and 347,000 shares of Crown Holdings, Inc. common stock representing 7.3% and 9.2% of Plan assets as of December 31, 2018 and 2017, respectively. For the years 2018 and 2017, the Company common stock fund had purchases of $2,994,206 and $6,169,323, respectively, and sales of $3,375,438 and $9,594,700, respectively. There were no dividends on the Company's common stock in 2018 or 2017.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76" w:right="2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TAX STATUS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IRS determined and informed the Company by letter dated August 19,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 The Plan administrator</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believes it is no longer subject to income tax examination for years prior to 2015.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RISKS AND UNCERTAINTIES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 of Net Assets Available for Benefits.</w:t>
      </w:r>
    </w:p>
    <w:p>
      <w:pPr>
        <w:spacing w:after="0" w:line="205"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As of December 31, 2018 and 2017, the Plan had investments of $82,114,492 and $90,087,679, respectively that were concentrated in two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5" w:right="2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Supplemental Information</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CROWN CORK &amp; SEAL COMPANY, INC. 401(k) RETIREMENT SAVINGS PLAN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Schedule H, Line 4i - Schedule of Assets (Held at End of Year)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69805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0555" cy="17145"/>
                    </a:xfrm>
                    <a:prstGeom prst="rect">
                      <a:avLst/>
                    </a:prstGeom>
                    <a:noFill/>
                  </pic:spPr>
                </pic:pic>
              </a:graphicData>
            </a:graphic>
          </wp:anchor>
        </w:drawing>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Crown Cork &amp; Seal Company, Inc. 401(k) Retirement Savings Plan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EIN 23-1526444 Plan No. 100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Current</w:t>
            </w:r>
          </w:p>
        </w:tc>
      </w:tr>
      <w:tr>
        <w:trPr>
          <w:trHeight w:val="256"/>
        </w:trPr>
        <w:tc>
          <w:tcPr>
            <w:tcW w:w="4800" w:type="dxa"/>
            <w:vAlign w:val="bottom"/>
          </w:tcPr>
          <w:p>
            <w:pPr>
              <w:ind w:left="180"/>
              <w:spacing w:after="0"/>
              <w:rPr>
                <w:sz w:val="20"/>
                <w:szCs w:val="20"/>
                <w:color w:val="auto"/>
              </w:rPr>
            </w:pPr>
            <w:r>
              <w:rPr>
                <w:rFonts w:ascii="Arial" w:cs="Arial" w:eastAsia="Arial" w:hAnsi="Arial"/>
                <w:sz w:val="20"/>
                <w:szCs w:val="20"/>
                <w:b w:val="1"/>
                <w:bCs w:val="1"/>
                <w:color w:val="auto"/>
              </w:rPr>
              <w:t>Identity of Participant-Directed Issues</w:t>
            </w:r>
          </w:p>
        </w:tc>
        <w:tc>
          <w:tcPr>
            <w:tcW w:w="4860" w:type="dxa"/>
            <w:vAlign w:val="bottom"/>
          </w:tcPr>
          <w:p>
            <w:pPr>
              <w:ind w:left="1680"/>
              <w:spacing w:after="0"/>
              <w:rPr>
                <w:sz w:val="20"/>
                <w:szCs w:val="20"/>
                <w:color w:val="auto"/>
              </w:rPr>
            </w:pPr>
            <w:r>
              <w:rPr>
                <w:rFonts w:ascii="Arial" w:cs="Arial" w:eastAsia="Arial" w:hAnsi="Arial"/>
                <w:sz w:val="20"/>
                <w:szCs w:val="20"/>
                <w:b w:val="1"/>
                <w:bCs w:val="1"/>
                <w:color w:val="auto"/>
              </w:rPr>
              <w:t>Investment Type</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Value</w:t>
            </w:r>
          </w:p>
        </w:tc>
      </w:tr>
      <w:tr>
        <w:trPr>
          <w:trHeight w:val="30"/>
        </w:trPr>
        <w:tc>
          <w:tcPr>
            <w:tcW w:w="480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Baird Core Plus Bond Fund</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8,294,368</w:t>
            </w:r>
          </w:p>
        </w:tc>
      </w:tr>
      <w:tr>
        <w:trPr>
          <w:trHeight w:val="261"/>
        </w:trPr>
        <w:tc>
          <w:tcPr>
            <w:tcW w:w="4800" w:type="dxa"/>
            <w:vAlign w:val="bottom"/>
          </w:tcPr>
          <w:p>
            <w:pPr>
              <w:ind w:left="180"/>
              <w:spacing w:after="0"/>
              <w:rPr>
                <w:sz w:val="20"/>
                <w:szCs w:val="20"/>
                <w:color w:val="auto"/>
              </w:rPr>
            </w:pPr>
            <w:r>
              <w:rPr>
                <w:rFonts w:ascii="Arial" w:cs="Arial" w:eastAsia="Arial" w:hAnsi="Arial"/>
                <w:sz w:val="20"/>
                <w:szCs w:val="20"/>
                <w:color w:val="auto"/>
              </w:rPr>
              <w:t>DFA Emerging Markets Core Equity Portfolio</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259,837</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DFA US Targeted Value Portfolio</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303,258</w:t>
            </w:r>
          </w:p>
        </w:tc>
      </w:tr>
      <w:tr>
        <w:trPr>
          <w:trHeight w:val="261"/>
        </w:trPr>
        <w:tc>
          <w:tcPr>
            <w:tcW w:w="4800" w:type="dxa"/>
            <w:vAlign w:val="bottom"/>
          </w:tcPr>
          <w:p>
            <w:pPr>
              <w:ind w:left="180"/>
              <w:spacing w:after="0"/>
              <w:rPr>
                <w:sz w:val="20"/>
                <w:szCs w:val="20"/>
                <w:color w:val="auto"/>
              </w:rPr>
            </w:pPr>
            <w:r>
              <w:rPr>
                <w:rFonts w:ascii="Arial" w:cs="Arial" w:eastAsia="Arial" w:hAnsi="Arial"/>
                <w:sz w:val="20"/>
                <w:szCs w:val="20"/>
                <w:color w:val="auto"/>
              </w:rPr>
              <w:t>HSBC Opportunity Fund</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9,854,953</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JPMorgan Intrepid Value Fund</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4,336,778</w:t>
            </w:r>
          </w:p>
        </w:tc>
      </w:tr>
      <w:tr>
        <w:trPr>
          <w:trHeight w:val="261"/>
        </w:trPr>
        <w:tc>
          <w:tcPr>
            <w:tcW w:w="4800" w:type="dxa"/>
            <w:vAlign w:val="bottom"/>
          </w:tcPr>
          <w:p>
            <w:pPr>
              <w:ind w:left="180"/>
              <w:spacing w:after="0"/>
              <w:rPr>
                <w:sz w:val="20"/>
                <w:szCs w:val="20"/>
                <w:color w:val="auto"/>
              </w:rPr>
            </w:pPr>
            <w:r>
              <w:rPr>
                <w:rFonts w:ascii="Arial" w:cs="Arial" w:eastAsia="Arial" w:hAnsi="Arial"/>
                <w:sz w:val="20"/>
                <w:szCs w:val="20"/>
                <w:color w:val="auto"/>
              </w:rPr>
              <w:t>T. Rowe Price International Discovery Fund</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214,697</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Developed Markets Growth Fund</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1,251,613</w:t>
            </w:r>
          </w:p>
        </w:tc>
      </w:tr>
      <w:tr>
        <w:trPr>
          <w:trHeight w:val="261"/>
        </w:trPr>
        <w:tc>
          <w:tcPr>
            <w:tcW w:w="48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International Growth Fund</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9,921,274</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Morgan Growth Fund</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4,556,427</w:t>
            </w:r>
          </w:p>
        </w:tc>
      </w:tr>
      <w:tr>
        <w:trPr>
          <w:trHeight w:val="261"/>
        </w:trPr>
        <w:tc>
          <w:tcPr>
            <w:tcW w:w="48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Prime Money Market Fund</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106,706</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2015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3,639,772</w:t>
            </w:r>
          </w:p>
        </w:tc>
      </w:tr>
      <w:tr>
        <w:trPr>
          <w:trHeight w:val="261"/>
        </w:trPr>
        <w:tc>
          <w:tcPr>
            <w:tcW w:w="48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2020 Trust</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5,737,387</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2025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7,954,350</w:t>
            </w:r>
          </w:p>
        </w:tc>
      </w:tr>
      <w:tr>
        <w:trPr>
          <w:trHeight w:val="261"/>
        </w:trPr>
        <w:tc>
          <w:tcPr>
            <w:tcW w:w="48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2030 Trust</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5,876,604</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2035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4,771,259</w:t>
            </w:r>
          </w:p>
        </w:tc>
      </w:tr>
      <w:tr>
        <w:trPr>
          <w:trHeight w:val="261"/>
        </w:trPr>
        <w:tc>
          <w:tcPr>
            <w:tcW w:w="48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2040 Trust</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2,817,476</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2045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3,749,339</w:t>
            </w:r>
          </w:p>
        </w:tc>
      </w:tr>
      <w:tr>
        <w:trPr>
          <w:trHeight w:val="261"/>
        </w:trPr>
        <w:tc>
          <w:tcPr>
            <w:tcW w:w="48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2050 Trust</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2,322,741</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2055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1,833,576</w:t>
            </w:r>
          </w:p>
        </w:tc>
      </w:tr>
      <w:tr>
        <w:trPr>
          <w:trHeight w:val="261"/>
        </w:trPr>
        <w:tc>
          <w:tcPr>
            <w:tcW w:w="48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2060 Trust</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181,258</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2065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19,682</w:t>
            </w:r>
          </w:p>
        </w:tc>
      </w:tr>
      <w:tr>
        <w:trPr>
          <w:trHeight w:val="261"/>
        </w:trPr>
        <w:tc>
          <w:tcPr>
            <w:tcW w:w="48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Income Fund</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1,299,190</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Total Stock Market Index Fund</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42,436,219</w:t>
            </w:r>
          </w:p>
        </w:tc>
      </w:tr>
      <w:tr>
        <w:trPr>
          <w:trHeight w:val="261"/>
        </w:trPr>
        <w:tc>
          <w:tcPr>
            <w:tcW w:w="48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Wellington Fund</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14,538,930</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Retirement Savings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Collective Trust Fund</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39,678,273</w:t>
            </w:r>
          </w:p>
        </w:tc>
      </w:tr>
      <w:tr>
        <w:trPr>
          <w:trHeight w:val="261"/>
        </w:trPr>
        <w:tc>
          <w:tcPr>
            <w:tcW w:w="48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Crown Holdings, Inc. Stock Fund</w:t>
            </w:r>
          </w:p>
        </w:tc>
        <w:tc>
          <w:tcPr>
            <w:tcW w:w="4860" w:type="dxa"/>
            <w:vAlign w:val="bottom"/>
          </w:tcPr>
          <w:p>
            <w:pPr>
              <w:ind w:left="940"/>
              <w:spacing w:after="0"/>
              <w:rPr>
                <w:sz w:val="20"/>
                <w:szCs w:val="20"/>
                <w:color w:val="auto"/>
              </w:rPr>
            </w:pPr>
            <w:r>
              <w:rPr>
                <w:rFonts w:ascii="Arial" w:cs="Arial" w:eastAsia="Arial" w:hAnsi="Arial"/>
                <w:sz w:val="20"/>
                <w:szCs w:val="20"/>
                <w:color w:val="auto"/>
              </w:rPr>
              <w:t>Common Stock Fund</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14,164,309</w:t>
            </w:r>
          </w:p>
        </w:tc>
      </w:tr>
      <w:tr>
        <w:trPr>
          <w:trHeight w:val="23"/>
        </w:trPr>
        <w:tc>
          <w:tcPr>
            <w:tcW w:w="48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Notes receivable from participants</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Interest rates: 4.25% - 6.50%</w:t>
            </w: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3,197,741</w:t>
            </w:r>
          </w:p>
        </w:tc>
      </w:tr>
      <w:tr>
        <w:trPr>
          <w:trHeight w:val="272"/>
        </w:trPr>
        <w:tc>
          <w:tcPr>
            <w:tcW w:w="4800" w:type="dxa"/>
            <w:vAlign w:val="bottom"/>
          </w:tcPr>
          <w:p>
            <w:pPr>
              <w:ind w:left="180"/>
              <w:spacing w:after="0"/>
              <w:rPr>
                <w:sz w:val="20"/>
                <w:szCs w:val="20"/>
                <w:color w:val="auto"/>
              </w:rPr>
            </w:pPr>
            <w:r>
              <w:rPr>
                <w:rFonts w:ascii="Arial" w:cs="Arial" w:eastAsia="Arial" w:hAnsi="Arial"/>
                <w:sz w:val="20"/>
                <w:szCs w:val="20"/>
                <w:b w:val="1"/>
                <w:bCs w:val="1"/>
                <w:color w:val="auto"/>
              </w:rPr>
              <w:t>Total Assets (Held at End of Year)</w:t>
            </w:r>
          </w:p>
        </w:tc>
        <w:tc>
          <w:tcPr>
            <w:tcW w:w="486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91"/>
              </w:rPr>
              <w:t>193,318,017</w:t>
            </w:r>
          </w:p>
        </w:tc>
      </w:tr>
      <w:tr>
        <w:trPr>
          <w:trHeight w:val="20"/>
        </w:trPr>
        <w:tc>
          <w:tcPr>
            <w:tcW w:w="48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Party-in-Interest as defined by ERISA</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column not required to be reported as all investments are participant directed.</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733"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25"/>
          <w:szCs w:val="25"/>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consent to the incorporation by reference in the Registration Statement (No. 333-140991) on Form S-8 of our report dated June 20, 2019, which appears in this annual report on Form 11-K of the Crown Cork &amp; Seal Company, Inc. 401(k) Retirement Savings Plan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/s/ Baker Tilly Virchow Krause,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June 20, 2019</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2019-12-01T14:50:54Z</dcterms:created>
  <dcterms:modified xsi:type="dcterms:W3CDTF">2019-12-01T14:50:54Z</dcterms:modified>
</cp:coreProperties>
</file>