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Sourisseau Didier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European Division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14,727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81,158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14,727 shares of Deferred Common Stock under the 2013 Stock-Based Compensation Plan. 5,028 time-vested deferred shares vest over a three year period as follows: 1,676 time-vested deferred shares on January 11, 2021, January 10, 2022 and January 9, 2023, respectively. 4,671 performance-based deferred shares are targeted to vest on January 9, 2023 based on the Company's Total Shareholder Return versus a defined peer group of companies, with the final number of performance-based vested shares varying from 0 to 200% of 4,671. 5,028 performance-based deferred shares are targeted to vest on January 9, 2023 based on the Return on Invested Capital achieved by the Company compared to the ROIC target, with the final number of performance-based vested shares varying from 0 to 200% of 5,028.</w:t>
      </w:r>
    </w:p>
    <w:p>
      <w:pPr>
        <w:spacing w:after="0" w:line="3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01/13/2020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2532"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2020-01-13T08:57:56Z</dcterms:created>
  <dcterms:modified xsi:type="dcterms:W3CDTF">2020-01-13T08:57:56Z</dcterms:modified>
</cp:coreProperties>
</file>