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20, 2022</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000-50189</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9"/>
        </w:trPr>
        <w:tc>
          <w:tcPr>
            <w:tcW w:w="3160" w:type="dxa"/>
            <w:vAlign w:val="bottom"/>
          </w:tcPr>
          <w:p>
            <w:pPr>
              <w:jc w:val="center"/>
              <w:ind w:right="87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7"/>
                <w:szCs w:val="17"/>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2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spacing w:after="0" w:line="3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2.02. RESULTS OF OPERATIONS AND FINANCIAL CONDITION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July 20, 2022 Crown Holdings, Inc. issued a press release announcing its earnings for the second quarter ended June 30, 2022. A copy of the press release is attached hereto as Exhibit 99 and incorporated herein by reference.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8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Press release, dated July 20, 2022, issued by Crown Holdings, Inc.</w:t>
      </w:r>
    </w:p>
    <w:p>
      <w:pPr>
        <w:spacing w:after="0" w:line="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REPORTS SECOND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90805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Yardley, PA - July 20, 2022. </w:t>
      </w:r>
      <w:r>
        <w:rPr>
          <w:rFonts w:ascii="Times New Roman" w:cs="Times New Roman" w:eastAsia="Times New Roman" w:hAnsi="Times New Roman"/>
          <w:sz w:val="20"/>
          <w:szCs w:val="20"/>
          <w:color w:val="auto"/>
        </w:rPr>
        <w:t>Crown Holdings, Inc. (NYSE: CCK) today announced its financial results for the second quarter ended June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Highlights</w:t>
      </w:r>
    </w:p>
    <w:p>
      <w:pPr>
        <w:spacing w:after="0" w:line="24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Earnings per share of $2.43 versus $0.95 in 2021</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Global beverage can volumes grew 4%</w:t>
      </w:r>
    </w:p>
    <w:p>
      <w:pPr>
        <w:ind w:left="640" w:hanging="308"/>
        <w:spacing w:after="0" w:line="225"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Self-made two-piece food cans up 43%</w:t>
      </w:r>
    </w:p>
    <w:p>
      <w:pPr>
        <w:ind w:left="640" w:hanging="308"/>
        <w:spacing w:after="0" w:line="225" w:lineRule="auto"/>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Global beverage can capacity expansion projects on schedule</w:t>
      </w: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Kiwiplan sale completed for $180 million, after tax gain of $102 million</w:t>
      </w: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Repurchased $600 million in Company shares year to date</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Net sales in the second quarter were $3,510 million compared to $2,856 million in the second quarter of 2021 reflecting increased beverage can unit volumes and the pass through of higher raw material costs partially offset by unfavorable foreign currency translation of $104 million.</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Income from operations was $466 million in the second quarter compared to $385 million in the second quarter of 2021. Segment income of $432 million in the second quarter improved by $37 million compared to the $395 million in the prior year second quarter primarily due to improved profitability in the North American tinplate and can-making equipment businesses, recovery of inflation incurred in prior years and increased beverage can unit volumes, partially offset by unfavorable foreign currency translation of $11 million.</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Commenting on the quarter, Timothy J. Donahue, President and Chief Executive Officer, stated, “The Company performed well during the quarter despite accelerating European energy prices and currency translation headwinds. Global beverage can demand continues to be robust, with virtually every region operating at full capacity. Shipment growth during the second quarter was particularly strong in Mexico, the Middle East and Southeast Asia. In North America, demand currently exceeds our ability to supply, and we expect to remain in an over-sold position at least through the end of 2023.</w:t>
      </w:r>
    </w:p>
    <w:p>
      <w:pPr>
        <w:spacing w:after="0" w:line="20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“On April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the inflation recovery mechanisms built into our North American beverage can contracts commenced, allowing us to begin to recoup many of the cost increases experienced over the past year. As previously noted, the Company is in the process of negotiating pending beverage can contracts in Europe to include more comprehensive raw material and other inflationary pass-through provisions. Demand remains strong across most Transit Packaging businesses with overall performance level to the prior year when accounting for currency translation and the sale of the Kiwiplan business. The Transit business has initiated an overhead cost reduction program that will begin to yield benefits during the second half of 2022 and throughout 2023. Performance across the North American Tinplate and can-making equipment businesses reflects firm demand and the installation of new two-piece food can capacity to plants in Iowa and Pennsylvania during 2021. Additional capacity is expected to be commercialized later this year as we complete the construction of a third two-piece food can line at the Owatonna, Minnesota plant."</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meet customers' global beverage can requirements, the Company will commercialize significant new beverage can capacity through the end of 2023 with several projects in construction, including new multi-line greenfield plants in Martinsville, Virginia; Mesquite, Nevada; Uberaba, Brazil; and Peterborough, United Kingdom. The first line in Uberaba began commercial production in May. Additional production lines are being installed to existing plants in Phnom Penh, Cambodia; Agoncillo, Spain; and Parma, Italy.</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Interest expense was $64 million in the second quarter of 2022 compared to $68 million in 2021 as lower outstanding debt balances were partially offset by higher borrowing costs.</w:t>
      </w:r>
    </w:p>
    <w:p>
      <w:pPr>
        <w:sectPr>
          <w:pgSz w:w="11900" w:h="16838" w:orient="portrait"/>
          <w:cols w:equalWidth="0" w:num="1">
            <w:col w:w="11240"/>
          </w:cols>
          <w:pgMar w:left="320" w:top="493"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 of 13</w:t>
      </w:r>
    </w:p>
    <w:p>
      <w:pPr>
        <w:sectPr>
          <w:pgSz w:w="11900" w:h="16838" w:orient="portrait"/>
          <w:cols w:equalWidth="0" w:num="1">
            <w:col w:w="11240"/>
          </w:cols>
          <w:pgMar w:left="320" w:top="493" w:right="3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Net income attributable to Crown Holdings in the second quarter was $295 million compared to $128 million in the second quarter of 2021. Reported diluted earnings per share were $2.43 in the second quarter of 2022 compared to $0.95 in 2021. Adjusted diluted earnings per share was $2.10 compared to $2.14 in 2021.</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the second quarter of 2022, the Company recorded a restructuring charge of $29 million related to an overhead cost reduction program in the Transit Packaging segment. The Company expects to realize annual savings of approximately $60 million, reducing headcount by approximately 600 employees. Additionally, the Company recorded a gain of $113 million ($102 million net of tax) in the second quarter of 2022 for the sale of the Transit Packaging segment's Kiwiplan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Six Month Results</w:t>
      </w:r>
    </w:p>
    <w:p>
      <w:pPr>
        <w:spacing w:after="0" w:line="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Net sales for the first six months of 2022 were $6,672 million compared to $5,420 million in the first six months of 2021, primarily due to increased sales unit volumes and the pass through of higher raw material costs which more than offset unfavorable foreign currency translation of $153 million.</w:t>
      </w:r>
    </w:p>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Income from operations was $810 million in the first half of 2022 compared to $712 million in the first half of 2021. Segment income in the first half of 2022 was $815 million versus $764 million in the prior year period, primarily due to improved profitability in the North American tinplate and can-making equipment businesses and higher global beverage can sales unit volumes, offsetting unfavorable foreign currency translation of $19 million.</w:t>
      </w:r>
    </w:p>
    <w:p>
      <w:pPr>
        <w:spacing w:after="0" w:line="2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Interest expense was $118 million for the first six months of 2022 compared to $137 million in 2021 primarily due to lower outstanding debt balances.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Net income attributable to Crown Holdings in the first six months of 2022 was $511 million compared to $339 million in the first six months of 2021. Reported diluted earnings per share were $4.15 compared to $2.52 in 2021 and adjusted diluted earnings per share were $4.11 compared to $3.97 in 2021.</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following supplemental information is provided below: a reconciliation from net income and diluted earnings per share to adjusted net income and adjusted diluted earnings per share, the impact of foreign currency translation by segment and net income and diluted earnings per share at constant currencies.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12" w:lineRule="exact"/>
        <w:rPr>
          <w:sz w:val="20"/>
          <w:szCs w:val="20"/>
          <w:color w:val="auto"/>
        </w:rPr>
      </w:pPr>
    </w:p>
    <w:p>
      <w:pPr>
        <w:jc w:val="both"/>
        <w:ind w:right="120"/>
        <w:spacing w:after="0" w:line="237" w:lineRule="auto"/>
        <w:rPr>
          <w:sz w:val="20"/>
          <w:szCs w:val="20"/>
          <w:color w:val="auto"/>
        </w:rPr>
      </w:pPr>
      <w:r>
        <w:rPr>
          <w:rFonts w:ascii="Times New Roman" w:cs="Times New Roman" w:eastAsia="Times New Roman" w:hAnsi="Times New Roman"/>
          <w:sz w:val="20"/>
          <w:szCs w:val="20"/>
          <w:color w:val="auto"/>
        </w:rPr>
        <w:t>The Company currently expects third quarter adjusted earnings to be in the range of $1.75 to $1.85 per share, and full year adjusted earnings in the range of $7.65 to $7.85 per share. The full year guidance assumes approximately a $0.50 headwind due to the stronger U.S. dollar and higher energy cost in Europe.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Segment income, adjusted free cash flow, adjusted net leverage ratio, adjusted net income, the adjusted effective tax rate, adjusted diluted earnings per share, adjusted EBITDA and amounts presented at constant currency exchange rates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views segment income as the principal measure of the performance of its operations and adjusted free cash flow and adjusted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Reconciliations of estimated adjusted diluted earnings per share for the third quarter and full year of 2022 to estimated diluted earnings per share on a GAAP basis are not provided in this release due to the unavailability of estimates of the following, the timing and magnitude of which the</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2 of 13</w:t>
      </w:r>
    </w:p>
    <w:p>
      <w:pPr>
        <w:sectPr>
          <w:pgSz w:w="11900" w:h="16838" w:orient="portrait"/>
          <w:cols w:equalWidth="0" w:num="1">
            <w:col w:w="11240"/>
          </w:cols>
          <w:pgMar w:left="320" w:top="601" w:right="339" w:bottom="1440" w:gutter="0" w:footer="0" w:header="0"/>
          <w:type w:val="continuous"/>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The Company believes that adjusted net income, the adjusted effective tax rate and adjusted diluted earnings per share are useful in evaluating the Company’s operations as these measures are adjusted for items that affect comparability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Segment income, adjusted free cash flow, adjusted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The Company will hold a conference call tomorrow, July 21, 2022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 w:cs="Times New Roman" w:eastAsia="Times New Roman" w:hAnsi="Times New Roman"/>
          <w:sz w:val="20"/>
          <w:szCs w:val="20"/>
          <w:color w:val="0000FF"/>
        </w:rPr>
        <w:t>www.crowncork.com</w:t>
      </w:r>
      <w:r>
        <w:rPr>
          <w:rFonts w:ascii="Times New Roman" w:cs="Times New Roman" w:eastAsia="Times New Roman" w:hAnsi="Times New Roman"/>
          <w:sz w:val="20"/>
          <w:szCs w:val="20"/>
          <w:color w:val="auto"/>
        </w:rPr>
        <w:t>. A replay of the conference call will be available for a one-week period ending at midnight on July 28. The telephone numbers for the replay are 203-369-1213 or toll free 866-452-2107.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including the Company’s ability to continue to operate its plants, distribute its products, and maintain its supply chain; the impact of the coronavirus pandemic on demand for the Company’s products; the future impact of currency translation; the continuation of performance and market trends in 2022, including consumer preference for beverage cans and increasing global beverage can demand; future demand for food cans; and the Company’s ability to successfully complete its previously announced capacity expansion projects and begin production within expected timelines, including any delays related to the pandemic,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2021 and in subsequent filings made prior to or after the date hereof. The Company does not intend to review or revise any particular forward-looking statement in light of future events.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contact:</w:t>
      </w:r>
    </w:p>
    <w:p>
      <w:pPr>
        <w:spacing w:after="0" w:line="22" w:lineRule="exact"/>
        <w:rPr>
          <w:sz w:val="20"/>
          <w:szCs w:val="20"/>
          <w:color w:val="auto"/>
        </w:rPr>
      </w:pPr>
    </w:p>
    <w:p>
      <w:pPr>
        <w:ind w:right="3860"/>
        <w:spacing w:after="0" w:line="256" w:lineRule="auto"/>
        <w:rPr>
          <w:sz w:val="20"/>
          <w:szCs w:val="20"/>
          <w:color w:val="auto"/>
        </w:rPr>
      </w:pPr>
      <w:r>
        <w:rPr>
          <w:rFonts w:ascii="Times New Roman" w:cs="Times New Roman" w:eastAsia="Times New Roman" w:hAnsi="Times New Roman"/>
          <w:sz w:val="19"/>
          <w:szCs w:val="19"/>
          <w:color w:val="auto"/>
        </w:rPr>
        <w:t>Kevin C. Clothier, Senior Vice President and Chief Financial Officer, (215) 698-5281 Thomas T. Fischer, Vice President, Investor Relations and Corporate Affairs, (215) 552-3720</w:t>
      </w:r>
    </w:p>
    <w:p>
      <w:pPr>
        <w:spacing w:after="0" w:line="200" w:lineRule="exact"/>
        <w:rPr>
          <w:sz w:val="20"/>
          <w:szCs w:val="20"/>
          <w:color w:val="auto"/>
        </w:rPr>
      </w:pPr>
    </w:p>
    <w:p>
      <w:pPr>
        <w:spacing w:after="0" w:line="239" w:lineRule="exact"/>
        <w:rPr>
          <w:sz w:val="20"/>
          <w:szCs w:val="20"/>
          <w:color w:val="auto"/>
        </w:rPr>
      </w:pPr>
    </w:p>
    <w:p>
      <w:pPr>
        <w:ind w:right="1080"/>
        <w:spacing w:after="0" w:line="259" w:lineRule="auto"/>
        <w:rPr>
          <w:sz w:val="20"/>
          <w:szCs w:val="20"/>
          <w:color w:val="auto"/>
        </w:rPr>
      </w:pPr>
      <w:r>
        <w:rPr>
          <w:rFonts w:ascii="Times New Roman" w:cs="Times New Roman" w:eastAsia="Times New Roman" w:hAnsi="Times New Roman"/>
          <w:sz w:val="20"/>
          <w:szCs w:val="20"/>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13</w:t>
      </w:r>
    </w:p>
    <w:p>
      <w:pPr>
        <w:sectPr>
          <w:pgSz w:w="11900" w:h="16838" w:orient="portrait"/>
          <w:cols w:equalWidth="0" w:num="1">
            <w:col w:w="11240"/>
          </w:cols>
          <w:pgMar w:left="320" w:top="601"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-132080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ind w:left="60"/>
        <w:spacing w:after="0" w:line="221" w:lineRule="auto"/>
        <w:rPr>
          <w:sz w:val="20"/>
          <w:szCs w:val="20"/>
          <w:color w:val="auto"/>
        </w:rPr>
      </w:pPr>
      <w:r>
        <w:rPr>
          <w:rFonts w:ascii="Arial" w:cs="Arial" w:eastAsia="Arial" w:hAnsi="Arial"/>
          <w:sz w:val="14"/>
          <w:szCs w:val="14"/>
          <w:color w:val="auto"/>
        </w:rPr>
        <w:t>770 Township Line Road</w:t>
      </w:r>
    </w:p>
    <w:p>
      <w:pPr>
        <w:ind w:left="6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Operations (Unaudited)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30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4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6"/>
        </w:trPr>
        <w:tc>
          <w:tcPr>
            <w:tcW w:w="53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$3,510</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$2,856</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$6,672</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$5,420</w:t>
            </w:r>
          </w:p>
        </w:tc>
      </w:tr>
      <w:tr>
        <w:trPr>
          <w:trHeight w:val="367"/>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products sold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2,861</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2,244</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5,408</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4,226</w:t>
            </w:r>
          </w:p>
        </w:tc>
      </w:tr>
      <w:tr>
        <w:trPr>
          <w:trHeight w:val="229"/>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231</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223</w:t>
            </w:r>
          </w:p>
        </w:tc>
      </w:tr>
      <w:tr>
        <w:trPr>
          <w:trHeight w:val="229"/>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147</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297</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290</w:t>
            </w: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and other</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8"/>
        </w:trPr>
        <w:tc>
          <w:tcPr>
            <w:tcW w:w="5300" w:type="dxa"/>
            <w:vAlign w:val="bottom"/>
          </w:tcPr>
          <w:p>
            <w:pPr>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3"/>
                <w:szCs w:val="23"/>
                <w:b w:val="1"/>
                <w:bCs w:val="1"/>
                <w:color w:val="auto"/>
                <w:vertAlign w:val="superscript"/>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466</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385</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810</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712</w:t>
            </w:r>
          </w:p>
        </w:tc>
      </w:tr>
      <w:tr>
        <w:trPr>
          <w:trHeight w:val="230"/>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exchange</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463</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386</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821</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716</w:t>
            </w:r>
          </w:p>
        </w:tc>
      </w:tr>
      <w:tr>
        <w:trPr>
          <w:trHeight w:val="229"/>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137</w:t>
            </w: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402</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319</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709</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582</w:t>
            </w:r>
          </w:p>
        </w:tc>
      </w:tr>
      <w:tr>
        <w:trPr>
          <w:trHeight w:val="229"/>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146</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163</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211</w:t>
            </w: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earnings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329</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176</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575</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376</w:t>
            </w:r>
          </w:p>
        </w:tc>
      </w:tr>
      <w:tr>
        <w:trPr>
          <w:trHeight w:val="223"/>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329</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173</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575</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418</w:t>
            </w:r>
          </w:p>
        </w:tc>
      </w:tr>
      <w:tr>
        <w:trPr>
          <w:trHeight w:val="180"/>
        </w:trPr>
        <w:tc>
          <w:tcPr>
            <w:tcW w:w="530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Net income from continuing operations attributable to noncontrolling</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8"/>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180"/>
        </w:trPr>
        <w:tc>
          <w:tcPr>
            <w:tcW w:w="530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Net income from discontinued operations attributable to</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$295</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$128</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$511</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$339</w:t>
            </w:r>
          </w:p>
        </w:tc>
      </w:tr>
      <w:tr>
        <w:trPr>
          <w:trHeight w:val="20"/>
        </w:trPr>
        <w:tc>
          <w:tcPr>
            <w:tcW w:w="5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160" w:right="5160" w:hanging="4929"/>
        <w:spacing w:after="0" w:line="971" w:lineRule="auto"/>
        <w:tabs>
          <w:tab w:leader="none" w:pos="4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Reconciliation from income from operations to segment income follows. Page 4 of 13</w:t>
      </w:r>
    </w:p>
    <w:p>
      <w:pPr>
        <w:sectPr>
          <w:pgSz w:w="11900" w:h="16838" w:orient="portrait"/>
          <w:cols w:equalWidth="0" w:num="1">
            <w:col w:w="11220"/>
          </w:cols>
          <w:pgMar w:left="340" w:top="601"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Earnings Per Share</w:t>
      </w: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27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2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26"/>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05"/>
        </w:trPr>
        <w:tc>
          <w:tcPr>
            <w:tcW w:w="55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$295</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$511</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$298</w:t>
            </w:r>
          </w:p>
        </w:tc>
        <w:tc>
          <w:tcPr>
            <w:tcW w:w="0" w:type="dxa"/>
            <w:vAlign w:val="bottom"/>
          </w:tcPr>
          <w:p>
            <w:pPr>
              <w:spacing w:after="0"/>
              <w:rPr>
                <w:sz w:val="1"/>
                <w:szCs w:val="1"/>
                <w:color w:val="auto"/>
              </w:rPr>
            </w:pPr>
          </w:p>
        </w:tc>
      </w:tr>
      <w:tr>
        <w:trPr>
          <w:trHeight w:val="238"/>
        </w:trPr>
        <w:tc>
          <w:tcPr>
            <w:tcW w:w="5580" w:type="dxa"/>
            <w:vAlign w:val="bottom"/>
          </w:tcPr>
          <w:p>
            <w:pPr>
              <w:ind w:left="160"/>
              <w:spacing w:after="0" w:line="237" w:lineRule="exact"/>
              <w:rPr>
                <w:sz w:val="20"/>
                <w:szCs w:val="20"/>
                <w:color w:val="auto"/>
              </w:rPr>
            </w:pPr>
            <w:r>
              <w:rPr>
                <w:rFonts w:ascii="Times New Roman" w:cs="Times New Roman" w:eastAsia="Times New Roman" w:hAnsi="Times New Roman"/>
                <w:sz w:val="18"/>
                <w:szCs w:val="18"/>
                <w:color w:val="auto"/>
              </w:rPr>
              <w:t xml:space="preserve">From discontinued operations </w:t>
            </w:r>
            <w:r>
              <w:rPr>
                <w:rFonts w:ascii="Times New Roman" w:cs="Times New Roman" w:eastAsia="Times New Roman" w:hAnsi="Times New Roman"/>
                <w:sz w:val="23"/>
                <w:szCs w:val="23"/>
                <w:color w:val="auto"/>
                <w:vertAlign w:val="superscript"/>
              </w:rPr>
              <w:t>(1)</w:t>
            </w: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$295</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$128</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$511</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$339</w:t>
            </w:r>
          </w:p>
        </w:tc>
        <w:tc>
          <w:tcPr>
            <w:tcW w:w="0" w:type="dxa"/>
            <w:vAlign w:val="bottom"/>
          </w:tcPr>
          <w:p>
            <w:pPr>
              <w:spacing w:after="0"/>
              <w:rPr>
                <w:sz w:val="1"/>
                <w:szCs w:val="1"/>
                <w:color w:val="auto"/>
              </w:rPr>
            </w:pPr>
          </w:p>
        </w:tc>
      </w:tr>
      <w:tr>
        <w:trPr>
          <w:trHeight w:val="21"/>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Crown Holdings:</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8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$2.44</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$0.98</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4"/>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per share from discontinued operations</w:t>
            </w: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0.31</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$2.44</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$0.96</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$4.18</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$2.54</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earnings per common share from continuing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$0.97</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4"/>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earnings per common share from discontinued operations</w:t>
            </w: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0.30</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$2.43</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$0.95</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$4.15</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$2.52</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120,980,821</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133,146,361</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122,305,457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133,379,911</w:t>
            </w: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121,622,534</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134,179,586</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122,991,134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134,400,624</w:t>
            </w:r>
          </w:p>
        </w:tc>
      </w:tr>
      <w:tr>
        <w:trPr>
          <w:trHeight w:val="234"/>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Actual common shares outstanding at quarter end</w:t>
            </w:r>
          </w:p>
        </w:tc>
        <w:tc>
          <w:tcPr>
            <w:tcW w:w="2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121,166,297</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132,157,477</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121,166,297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132,157,477</w:t>
            </w:r>
          </w:p>
        </w:tc>
      </w:tr>
    </w:tbl>
    <w:p>
      <w:pPr>
        <w:spacing w:after="0" w:line="200" w:lineRule="exact"/>
        <w:rPr>
          <w:sz w:val="20"/>
          <w:szCs w:val="20"/>
          <w:color w:val="auto"/>
        </w:rPr>
      </w:pPr>
    </w:p>
    <w:p>
      <w:pPr>
        <w:spacing w:after="0" w:line="317" w:lineRule="exact"/>
        <w:rPr>
          <w:sz w:val="20"/>
          <w:szCs w:val="20"/>
          <w:color w:val="auto"/>
        </w:rPr>
      </w:pPr>
    </w:p>
    <w:p>
      <w:pPr>
        <w:ind w:left="1240" w:hanging="178"/>
        <w:spacing w:after="0"/>
        <w:tabs>
          <w:tab w:leader="none" w:pos="124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Discontinued operations does not include any allocation of interest expense or indirect costs.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1" w:lineRule="exact"/>
        <w:rPr>
          <w:rFonts w:ascii="Times New Roman" w:cs="Times New Roman" w:eastAsia="Times New Roman" w:hAnsi="Times New Roman"/>
          <w:sz w:val="22"/>
          <w:szCs w:val="22"/>
          <w:color w:val="auto"/>
          <w:vertAlign w:val="superscript"/>
        </w:rPr>
      </w:pPr>
    </w:p>
    <w:p>
      <w:pPr>
        <w:ind w:left="510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Page 5 of 13</w:t>
      </w:r>
    </w:p>
    <w:p>
      <w:pPr>
        <w:sectPr>
          <w:pgSz w:w="11900" w:h="16838" w:orient="portrait"/>
          <w:cols w:equalWidth="0" w:num="1">
            <w:col w:w="11040"/>
          </w:cols>
          <w:pgMar w:left="400" w:top="601" w:right="459" w:bottom="1440" w:gutter="0" w:footer="0" w:header="0"/>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Financial Data (Unaudited)</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Income from Operations to Segment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276" w:lineRule="exact"/>
        <w:rPr>
          <w:sz w:val="20"/>
          <w:szCs w:val="20"/>
          <w:color w:val="auto"/>
        </w:rPr>
      </w:pPr>
    </w:p>
    <w:tbl>
      <w:tblPr>
        <w:tblLayout w:type="fixed"/>
        <w:tblInd w:w="140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31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4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27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5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amortization</w:t>
            </w:r>
          </w:p>
        </w:tc>
        <w:tc>
          <w:tcPr>
            <w:tcW w:w="7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5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395</w:t>
            </w:r>
          </w:p>
        </w:tc>
        <w:tc>
          <w:tcPr>
            <w:tcW w:w="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815</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764</w:t>
            </w:r>
          </w:p>
        </w:tc>
      </w:tr>
      <w:tr>
        <w:trPr>
          <w:trHeight w:val="20"/>
        </w:trPr>
        <w:tc>
          <w:tcPr>
            <w:tcW w:w="2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319"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34"/>
        </w:trPr>
        <w:tc>
          <w:tcPr>
            <w:tcW w:w="2740" w:type="dxa"/>
            <w:vAlign w:val="bottom"/>
            <w:gridSpan w:val="3"/>
          </w:tcPr>
          <w:p>
            <w:pPr>
              <w:spacing w:after="0" w:line="234"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3"/>
        </w:trPr>
        <w:tc>
          <w:tcPr>
            <w:tcW w:w="2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2,856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5,420</w:t>
            </w:r>
          </w:p>
        </w:tc>
        <w:tc>
          <w:tcPr>
            <w:tcW w:w="0" w:type="dxa"/>
            <w:vAlign w:val="bottom"/>
          </w:tcPr>
          <w:p>
            <w:pPr>
              <w:spacing w:after="0"/>
              <w:rPr>
                <w:sz w:val="1"/>
                <w:szCs w:val="1"/>
                <w:color w:val="auto"/>
              </w:rPr>
            </w:pPr>
          </w:p>
        </w:tc>
      </w:tr>
      <w:tr>
        <w:trPr>
          <w:trHeight w:val="21"/>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7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3"/>
        </w:trPr>
        <w:tc>
          <w:tcPr>
            <w:tcW w:w="2740" w:type="dxa"/>
            <w:vAlign w:val="bottom"/>
            <w:gridSpan w:val="3"/>
          </w:tcPr>
          <w:p>
            <w:pPr>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Corporate and other unallocated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items</w:t>
            </w: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2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60" w:right="80" w:hanging="252"/>
        <w:spacing w:after="0" w:line="226"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Includes the Company’s food can, aerosol can and closures businesses in North America, and beverage tooling and equipment operations in the U.S. and United Kingdom.</w:t>
      </w:r>
    </w:p>
    <w:p>
      <w:pPr>
        <w:sectPr>
          <w:pgSz w:w="11900" w:h="16838" w:orient="portrait"/>
          <w:cols w:equalWidth="0" w:num="1">
            <w:col w:w="11240"/>
          </w:cols>
          <w:pgMar w:left="320" w:top="601" w:right="339" w:bottom="5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6 of 13</w:t>
      </w:r>
    </w:p>
    <w:p>
      <w:pPr>
        <w:sectPr>
          <w:pgSz w:w="11900" w:h="16838" w:orient="portrait"/>
          <w:cols w:equalWidth="0" w:num="1">
            <w:col w:w="11240"/>
          </w:cols>
          <w:pgMar w:left="320" w:top="601" w:right="339" w:bottom="567"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reported net income and diluted earnings per share attributable to the Company to adjusted net income and adjusted diluted</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as used elsewhere in this release. Some or all of each reconciling item is reported within discontinued operations in the Consolidated Statement of Operations.</w:t>
      </w:r>
    </w:p>
    <w:p>
      <w:pPr>
        <w:spacing w:after="0" w:line="200" w:lineRule="exact"/>
        <w:rPr>
          <w:sz w:val="20"/>
          <w:szCs w:val="20"/>
          <w:color w:val="auto"/>
        </w:rPr>
      </w:pP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242"/>
        </w:trPr>
        <w:tc>
          <w:tcPr>
            <w:tcW w:w="3120" w:type="dxa"/>
            <w:vAlign w:val="bottom"/>
          </w:tcPr>
          <w:p>
            <w:pPr>
              <w:spacing w:after="0"/>
              <w:rPr>
                <w:sz w:val="21"/>
                <w:szCs w:val="21"/>
                <w:color w:val="auto"/>
              </w:rPr>
            </w:pPr>
          </w:p>
        </w:tc>
        <w:tc>
          <w:tcPr>
            <w:tcW w:w="3240" w:type="dxa"/>
            <w:vAlign w:val="bottom"/>
            <w:gridSpan w:val="10"/>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gridSpan w:val="8"/>
          </w:tcPr>
          <w:p>
            <w:pPr>
              <w:ind w:left="540"/>
              <w:spacing w:after="0"/>
              <w:rPr>
                <w:sz w:val="20"/>
                <w:szCs w:val="20"/>
                <w:color w:val="auto"/>
              </w:rPr>
            </w:pPr>
            <w:r>
              <w:rPr>
                <w:rFonts w:ascii="Times New Roman" w:cs="Times New Roman" w:eastAsia="Times New Roman" w:hAnsi="Times New Roman"/>
                <w:sz w:val="17"/>
                <w:szCs w:val="17"/>
                <w:b w:val="1"/>
                <w:bCs w:val="1"/>
                <w:color w:val="auto"/>
                <w:w w:val="99"/>
              </w:rPr>
              <w:t>Six Months Ended June 30,</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income/diluted earnings per share</w:t>
            </w: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ind w:left="560"/>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5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1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 Crown Holdings, as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$2.43</w:t>
            </w:r>
          </w:p>
        </w:tc>
        <w:tc>
          <w:tcPr>
            <w:tcW w:w="16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$0.95</w:t>
            </w:r>
          </w:p>
        </w:tc>
        <w:tc>
          <w:tcPr>
            <w:tcW w:w="14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$511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$4.15</w:t>
            </w:r>
          </w:p>
        </w:tc>
        <w:tc>
          <w:tcPr>
            <w:tcW w:w="1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$339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$2.52</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0.32</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0.64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0.65</w:t>
            </w:r>
          </w:p>
        </w:tc>
        <w:tc>
          <w:tcPr>
            <w:tcW w:w="0" w:type="dxa"/>
            <w:vAlign w:val="bottom"/>
          </w:tcPr>
          <w:p>
            <w:pPr>
              <w:spacing w:after="0"/>
              <w:rPr>
                <w:sz w:val="1"/>
                <w:szCs w:val="1"/>
                <w:color w:val="auto"/>
              </w:rPr>
            </w:pPr>
          </w:p>
        </w:tc>
      </w:tr>
      <w:tr>
        <w:trPr>
          <w:trHeight w:val="270"/>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Restructuring and other </w:t>
            </w:r>
            <w:r>
              <w:rPr>
                <w:rFonts w:ascii="Times New Roman" w:cs="Times New Roman" w:eastAsia="Times New Roman" w:hAnsi="Times New Roman"/>
                <w:sz w:val="23"/>
                <w:szCs w:val="23"/>
                <w:color w:val="auto"/>
                <w:vertAlign w:val="superscript"/>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(0.60)</w:t>
            </w:r>
          </w:p>
        </w:tc>
        <w:tc>
          <w:tcPr>
            <w:tcW w:w="16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(0.60)</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(0.17)</w:t>
            </w:r>
          </w:p>
        </w:tc>
        <w:tc>
          <w:tcPr>
            <w:tcW w:w="0" w:type="dxa"/>
            <w:vAlign w:val="bottom"/>
          </w:tcPr>
          <w:p>
            <w:pPr>
              <w:spacing w:after="0"/>
              <w:rPr>
                <w:sz w:val="1"/>
                <w:szCs w:val="1"/>
                <w:color w:val="auto"/>
              </w:rPr>
            </w:pPr>
          </w:p>
        </w:tc>
      </w:tr>
      <w:tr>
        <w:trPr>
          <w:trHeight w:val="270"/>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Loss from discontinued operations </w:t>
            </w:r>
            <w:r>
              <w:rPr>
                <w:rFonts w:ascii="Times New Roman" w:cs="Times New Roman" w:eastAsia="Times New Roman" w:hAnsi="Times New Roman"/>
                <w:sz w:val="23"/>
                <w:szCs w:val="23"/>
                <w:color w:val="auto"/>
                <w:vertAlign w:val="superscript"/>
              </w:rPr>
              <w:t>(3)</w:t>
            </w: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0.52</w:t>
            </w:r>
          </w:p>
        </w:tc>
        <w:tc>
          <w:tcPr>
            <w:tcW w:w="0" w:type="dxa"/>
            <w:vAlign w:val="bottom"/>
          </w:tcPr>
          <w:p>
            <w:pPr>
              <w:spacing w:after="0"/>
              <w:rPr>
                <w:sz w:val="1"/>
                <w:szCs w:val="1"/>
                <w:color w:val="auto"/>
              </w:rPr>
            </w:pPr>
          </w:p>
        </w:tc>
      </w:tr>
      <w:tr>
        <w:trPr>
          <w:trHeight w:val="257"/>
        </w:trPr>
        <w:tc>
          <w:tcPr>
            <w:tcW w:w="312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(0.07)</w:t>
            </w: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(0.12)</w:t>
            </w:r>
          </w:p>
        </w:tc>
        <w:tc>
          <w:tcPr>
            <w:tcW w:w="1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0.37</w:t>
            </w:r>
          </w:p>
        </w:tc>
        <w:tc>
          <w:tcPr>
            <w:tcW w:w="0" w:type="dxa"/>
            <w:vAlign w:val="bottom"/>
          </w:tcPr>
          <w:p>
            <w:pPr>
              <w:spacing w:after="0"/>
              <w:rPr>
                <w:sz w:val="1"/>
                <w:szCs w:val="1"/>
                <w:color w:val="auto"/>
              </w:rPr>
            </w:pPr>
          </w:p>
        </w:tc>
      </w:tr>
      <w:tr>
        <w:trPr>
          <w:trHeight w:val="256"/>
        </w:trPr>
        <w:tc>
          <w:tcPr>
            <w:tcW w:w="312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Equity earnings </w:t>
            </w:r>
            <w:r>
              <w:rPr>
                <w:rFonts w:ascii="Times New Roman" w:cs="Times New Roman" w:eastAsia="Times New Roman" w:hAnsi="Times New Roman"/>
                <w:sz w:val="23"/>
                <w:szCs w:val="23"/>
                <w:color w:val="auto"/>
                <w:vertAlign w:val="superscript"/>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0.02</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0.04</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12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3"/>
                <w:szCs w:val="23"/>
                <w:color w:val="auto"/>
                <w:vertAlign w:val="superscript"/>
              </w:rPr>
              <w:t>(6)</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169"/>
        </w:trPr>
        <w:tc>
          <w:tcPr>
            <w:tcW w:w="312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Adjusted net income/diluted earnings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$2.10</w:t>
            </w:r>
          </w:p>
        </w:tc>
        <w:tc>
          <w:tcPr>
            <w:tcW w:w="16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$2.14</w:t>
            </w:r>
          </w:p>
        </w:tc>
        <w:tc>
          <w:tcPr>
            <w:tcW w:w="14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3"/>
              </w:rPr>
              <w:t>$4.11</w:t>
            </w: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rPr>
              <w:t>$3.97</w:t>
            </w:r>
          </w:p>
        </w:tc>
        <w:tc>
          <w:tcPr>
            <w:tcW w:w="0" w:type="dxa"/>
            <w:vAlign w:val="bottom"/>
          </w:tcPr>
          <w:p>
            <w:pPr>
              <w:spacing w:after="0"/>
              <w:rPr>
                <w:sz w:val="1"/>
                <w:szCs w:val="1"/>
                <w:color w:val="auto"/>
              </w:rPr>
            </w:pPr>
          </w:p>
        </w:tc>
      </w:tr>
      <w:tr>
        <w:trPr>
          <w:trHeight w:val="203"/>
        </w:trPr>
        <w:tc>
          <w:tcPr>
            <w:tcW w:w="312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7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Effective tax rate as reported </w:t>
            </w:r>
            <w:r>
              <w:rPr>
                <w:rFonts w:ascii="Times New Roman" w:cs="Times New Roman" w:eastAsia="Times New Roman" w:hAnsi="Times New Roman"/>
                <w:sz w:val="23"/>
                <w:szCs w:val="23"/>
                <w:color w:val="auto"/>
                <w:vertAlign w:val="superscript"/>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effective tax rate </w:t>
            </w:r>
            <w:r>
              <w:rPr>
                <w:rFonts w:ascii="Times New Roman" w:cs="Times New Roman" w:eastAsia="Times New Roman" w:hAnsi="Times New Roman"/>
                <w:sz w:val="23"/>
                <w:szCs w:val="23"/>
                <w:color w:val="auto"/>
                <w:vertAlign w:val="superscript"/>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right="80" w:hanging="332"/>
        <w:spacing w:after="0" w:line="274"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and first six months of 2022, the Company recorded charges of $39 million ($30 million net of tax) and $79 million ($61 million net of tax) for intangibles amortization arising from prior acquisitions. In the second quarter and first six months of 2021, the Company recorded charges of $41 million ($30 million net of tax) and $88 million ($66 million net of tax) for intangibles amortization.</w:t>
      </w:r>
    </w:p>
    <w:p>
      <w:pPr>
        <w:spacing w:after="0" w:line="222" w:lineRule="exact"/>
        <w:rPr>
          <w:rFonts w:ascii="Times New Roman" w:cs="Times New Roman" w:eastAsia="Times New Roman" w:hAnsi="Times New Roman"/>
          <w:sz w:val="18"/>
          <w:szCs w:val="18"/>
          <w:color w:val="auto"/>
        </w:rPr>
      </w:pPr>
    </w:p>
    <w:p>
      <w:pPr>
        <w:ind w:left="340" w:right="60" w:hanging="332"/>
        <w:spacing w:after="0" w:line="25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and first six months of 2022, the Company recorded net restructuring and other gains of $73 million ($72 million net of tax) and $74 million ($74 million net of tax). In the second quarter and first six months of 2021, the Company recorded net restructuring and other gains of $25 million ($17 million net of tax) and $23 million ($15 million net of tax).</w:t>
      </w:r>
    </w:p>
    <w:p>
      <w:pPr>
        <w:spacing w:after="0" w:line="2" w:lineRule="exact"/>
        <w:rPr>
          <w:rFonts w:ascii="Times New Roman" w:cs="Times New Roman" w:eastAsia="Times New Roman" w:hAnsi="Times New Roman"/>
          <w:sz w:val="18"/>
          <w:szCs w:val="18"/>
          <w:color w:val="auto"/>
        </w:rPr>
      </w:pPr>
    </w:p>
    <w:p>
      <w:pPr>
        <w:ind w:left="340" w:right="600" w:hanging="332"/>
        <w:spacing w:after="0" w:line="243"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2021, the Company recorded an after-tax charge of $70 million (primarily due to cumulative translation adjustments of approximately $600 million) in connection with the agreement to sell its European Tinplate operations.</w:t>
      </w:r>
    </w:p>
    <w:p>
      <w:pPr>
        <w:spacing w:after="0" w:line="208"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income tax benefits of $8 million and $15 million in the second quarter and first six months of 2022 and income tax charges of $63 and $49 in the second quarter and first six months of 2021 related to tax matters including changes in tax laws, tax settlements, valuation allowance adjustments and for the items described above.</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7 of 13</w:t>
      </w:r>
    </w:p>
    <w:p>
      <w:pPr>
        <w:sectPr>
          <w:pgSz w:w="11900" w:h="16838" w:orient="portrait"/>
          <w:cols w:equalWidth="0" w:num="1">
            <w:col w:w="11240"/>
          </w:cols>
          <w:pgMar w:left="320" w:top="601" w:right="339" w:bottom="1440" w:gutter="0" w:footer="0" w:header="0"/>
          <w:type w:val="continuous"/>
        </w:sectPr>
      </w:pPr>
    </w:p>
    <w:bookmarkStart w:id="11" w:name="page12"/>
    <w:bookmarkEnd w:id="11"/>
    <w:p>
      <w:pPr>
        <w:ind w:left="7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-132080</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72"/>
        <w:spacing w:after="0"/>
        <w:rPr>
          <w:sz w:val="20"/>
          <w:szCs w:val="20"/>
          <w:color w:val="auto"/>
        </w:rPr>
      </w:pPr>
      <w:r>
        <w:rPr>
          <w:rFonts w:ascii="Arial" w:cs="Arial" w:eastAsia="Arial" w:hAnsi="Arial"/>
          <w:sz w:val="14"/>
          <w:szCs w:val="14"/>
          <w:color w:val="auto"/>
        </w:rPr>
        <w:t>Corporate Headquarters</w:t>
      </w:r>
    </w:p>
    <w:p>
      <w:pPr>
        <w:ind w:left="72"/>
        <w:spacing w:after="0" w:line="221" w:lineRule="auto"/>
        <w:rPr>
          <w:sz w:val="20"/>
          <w:szCs w:val="20"/>
          <w:color w:val="auto"/>
        </w:rPr>
      </w:pPr>
      <w:r>
        <w:rPr>
          <w:rFonts w:ascii="Arial" w:cs="Arial" w:eastAsia="Arial" w:hAnsi="Arial"/>
          <w:sz w:val="14"/>
          <w:szCs w:val="14"/>
          <w:color w:val="auto"/>
        </w:rPr>
        <w:t>770 Township Line Road</w:t>
      </w:r>
    </w:p>
    <w:p>
      <w:pPr>
        <w:ind w:left="72"/>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2" w:right="360" w:hanging="332"/>
        <w:spacing w:after="0" w:line="266" w:lineRule="auto"/>
        <w:tabs>
          <w:tab w:leader="none" w:pos="3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and first six months of 2022, the Company recorded its proportional share of intangible amortization and inventory step-up charges recorded by its equity method affiliate, Eviosys. These charges were recorded net of tax by the Company in the line Equity earnings.</w:t>
      </w:r>
    </w:p>
    <w:p>
      <w:pPr>
        <w:spacing w:after="0" w:line="189"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2021, the Company recorded noncontrolling interest charges of $10 million related to the items described above.</w:t>
      </w:r>
    </w:p>
    <w:p>
      <w:pPr>
        <w:spacing w:after="0" w:line="238" w:lineRule="exact"/>
        <w:rPr>
          <w:rFonts w:ascii="Times New Roman" w:cs="Times New Roman" w:eastAsia="Times New Roman" w:hAnsi="Times New Roman"/>
          <w:sz w:val="18"/>
          <w:szCs w:val="18"/>
          <w:color w:val="auto"/>
        </w:rPr>
      </w:pPr>
    </w:p>
    <w:p>
      <w:pPr>
        <w:ind w:left="332" w:hanging="332"/>
        <w:spacing w:after="0" w:line="266" w:lineRule="auto"/>
        <w:tabs>
          <w:tab w:leader="none" w:pos="3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and adjusted effective tax rates include income from discontinued operations, which is reported net of tax in the statement of operations. Income tax effects on adjusted net income were calculated using the applicable tax rates of the underlying jurisdiction.</w:t>
      </w:r>
    </w:p>
    <w:p>
      <w:pPr>
        <w:sectPr>
          <w:pgSz w:w="11900" w:h="16838" w:orient="portrait"/>
          <w:cols w:equalWidth="0" w:num="1">
            <w:col w:w="11092"/>
          </w:cols>
          <w:pgMar w:left="328" w:top="601" w:right="47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7"/>
          <w:szCs w:val="17"/>
          <w:color w:val="auto"/>
        </w:rPr>
        <w:t>Page 8 of 13</w:t>
      </w:r>
    </w:p>
    <w:p>
      <w:pPr>
        <w:sectPr>
          <w:pgSz w:w="11900" w:h="16838" w:orient="portrait"/>
          <w:cols w:equalWidth="0" w:num="1">
            <w:col w:w="11092"/>
          </w:cols>
          <w:pgMar w:left="328" w:top="601" w:right="479" w:bottom="202" w:gutter="0" w:footer="0" w:header="0"/>
          <w:type w:val="continuous"/>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Impact of Foreign Currency Translation by Segment – Favorable/(Unfavorable)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23"/>
                <w:szCs w:val="23"/>
                <w:color w:val="auto"/>
              </w:rPr>
            </w:pPr>
          </w:p>
        </w:tc>
        <w:tc>
          <w:tcPr>
            <w:tcW w:w="2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Segment</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5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Segment</w:t>
            </w: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Pr>
          <w:p>
            <w:pPr>
              <w:spacing w:after="0"/>
              <w:rPr>
                <w:sz w:val="20"/>
                <w:szCs w:val="20"/>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3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3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3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and Diluted Earnings Per Share Attributable to Crown Holdings at Constant Currency</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presents net income attributable to Crown Holdings and diluted earnings per share using constant foreign currency exchange rates for translation. We present constant currency information to provide a framework for assessing how our business performed excluding the effect of foreign currency rate fluctuations.</w:t>
      </w:r>
    </w:p>
    <w:tbl>
      <w:tblPr>
        <w:tblLayout w:type="fixed"/>
        <w:tblInd w:w="20" w:type="dxa"/>
        <w:tblCellMar>
          <w:top w:w="0" w:type="dxa"/>
          <w:left w:w="0" w:type="dxa"/>
          <w:bottom w:w="0" w:type="dxa"/>
          <w:right w:w="0" w:type="dxa"/>
        </w:tblCellMar>
      </w:tblPr>
      <w:tr>
        <w:trPr>
          <w:trHeight w:val="195"/>
        </w:trPr>
        <w:tc>
          <w:tcPr>
            <w:tcW w:w="3720" w:type="dxa"/>
            <w:vAlign w:val="bottom"/>
          </w:tcPr>
          <w:p>
            <w:pPr>
              <w:spacing w:after="0"/>
              <w:rPr>
                <w:sz w:val="16"/>
                <w:szCs w:val="16"/>
                <w:color w:val="auto"/>
              </w:rPr>
            </w:pPr>
          </w:p>
        </w:tc>
        <w:tc>
          <w:tcPr>
            <w:tcW w:w="354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20" w:type="dxa"/>
            <w:vAlign w:val="bottom"/>
          </w:tcPr>
          <w:p>
            <w:pPr>
              <w:spacing w:after="0"/>
              <w:rPr>
                <w:sz w:val="16"/>
                <w:szCs w:val="16"/>
                <w:color w:val="auto"/>
              </w:rPr>
            </w:pPr>
          </w:p>
        </w:tc>
        <w:tc>
          <w:tcPr>
            <w:tcW w:w="1480" w:type="dxa"/>
            <w:vAlign w:val="bottom"/>
            <w:gridSpan w:val="4"/>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3540" w:type="dxa"/>
            <w:vAlign w:val="bottom"/>
            <w:gridSpan w:val="6"/>
            <w:vMerge w:val="continue"/>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140"/>
              <w:spacing w:after="0" w:line="186"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280" w:type="dxa"/>
            <w:vAlign w:val="bottom"/>
            <w:tcBorders>
              <w:top w:val="single" w:sz="8" w:color="auto"/>
            </w:tcBorders>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b w:val="1"/>
                <w:bCs w:val="1"/>
                <w:color w:val="auto"/>
                <w:w w:val="99"/>
              </w:rPr>
              <w:t>2022 at 2021</w:t>
            </w:r>
          </w:p>
        </w:tc>
        <w:tc>
          <w:tcPr>
            <w:tcW w:w="98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40" w:type="dxa"/>
            <w:vAlign w:val="bottom"/>
          </w:tcPr>
          <w:p>
            <w:pPr>
              <w:spacing w:after="0"/>
              <w:rPr>
                <w:sz w:val="16"/>
                <w:szCs w:val="16"/>
                <w:color w:val="auto"/>
              </w:rPr>
            </w:pPr>
          </w:p>
        </w:tc>
        <w:tc>
          <w:tcPr>
            <w:tcW w:w="9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140"/>
              <w:spacing w:after="0" w:line="186" w:lineRule="exact"/>
              <w:rPr>
                <w:sz w:val="20"/>
                <w:szCs w:val="20"/>
                <w:color w:val="auto"/>
              </w:rPr>
            </w:pPr>
            <w:r>
              <w:rPr>
                <w:rFonts w:ascii="Times New Roman" w:cs="Times New Roman" w:eastAsia="Times New Roman" w:hAnsi="Times New Roman"/>
                <w:sz w:val="18"/>
                <w:szCs w:val="18"/>
                <w:b w:val="1"/>
                <w:bCs w:val="1"/>
                <w:color w:val="auto"/>
                <w:w w:val="99"/>
              </w:rPr>
              <w:t>2022 at 2021</w:t>
            </w:r>
          </w:p>
        </w:tc>
        <w:tc>
          <w:tcPr>
            <w:tcW w:w="100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0" w:type="dxa"/>
            <w:vAlign w:val="bottom"/>
          </w:tcPr>
          <w:p>
            <w:pPr>
              <w:spacing w:after="0"/>
              <w:rPr>
                <w:sz w:val="1"/>
                <w:szCs w:val="1"/>
                <w:color w:val="auto"/>
              </w:rPr>
            </w:pPr>
          </w:p>
        </w:tc>
      </w:tr>
      <w:tr>
        <w:trPr>
          <w:trHeight w:val="204"/>
        </w:trPr>
        <w:tc>
          <w:tcPr>
            <w:tcW w:w="3720" w:type="dxa"/>
            <w:vAlign w:val="bottom"/>
          </w:tcPr>
          <w:p>
            <w:pPr>
              <w:spacing w:after="0"/>
              <w:rPr>
                <w:sz w:val="17"/>
                <w:szCs w:val="17"/>
                <w:color w:val="auto"/>
              </w:rPr>
            </w:pPr>
          </w:p>
        </w:tc>
        <w:tc>
          <w:tcPr>
            <w:tcW w:w="1140" w:type="dxa"/>
            <w:vAlign w:val="bottom"/>
            <w:gridSpan w:val="2"/>
          </w:tcPr>
          <w:p>
            <w:pPr>
              <w:jc w:val="center"/>
              <w:ind w:right="140"/>
              <w:spacing w:after="0" w:line="204"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280" w:type="dxa"/>
            <w:vAlign w:val="bottom"/>
            <w:gridSpan w:val="2"/>
          </w:tcPr>
          <w:p>
            <w:pPr>
              <w:jc w:val="center"/>
              <w:ind w:right="140"/>
              <w:spacing w:after="0" w:line="203" w:lineRule="exact"/>
              <w:rPr>
                <w:sz w:val="20"/>
                <w:szCs w:val="20"/>
                <w:color w:val="auto"/>
              </w:rPr>
            </w:pPr>
            <w:r>
              <w:rPr>
                <w:rFonts w:ascii="Times New Roman" w:cs="Times New Roman" w:eastAsia="Times New Roman" w:hAnsi="Times New Roman"/>
                <w:sz w:val="18"/>
                <w:szCs w:val="18"/>
                <w:b w:val="1"/>
                <w:bCs w:val="1"/>
                <w:color w:val="auto"/>
                <w:w w:val="94"/>
              </w:rPr>
              <w:t xml:space="preserve">Rates </w:t>
            </w:r>
            <w:r>
              <w:rPr>
                <w:rFonts w:ascii="Times New Roman" w:cs="Times New Roman" w:eastAsia="Times New Roman" w:hAnsi="Times New Roman"/>
                <w:sz w:val="23"/>
                <w:szCs w:val="23"/>
                <w:b w:val="1"/>
                <w:bCs w:val="1"/>
                <w:color w:val="auto"/>
                <w:w w:val="94"/>
                <w:vertAlign w:val="superscript"/>
              </w:rPr>
              <w:t>(1)</w:t>
            </w:r>
          </w:p>
        </w:tc>
        <w:tc>
          <w:tcPr>
            <w:tcW w:w="1120" w:type="dxa"/>
            <w:vAlign w:val="bottom"/>
            <w:gridSpan w:val="2"/>
          </w:tcPr>
          <w:p>
            <w:pPr>
              <w:jc w:val="center"/>
              <w:ind w:right="140"/>
              <w:spacing w:after="0" w:line="204" w:lineRule="exact"/>
              <w:rPr>
                <w:sz w:val="20"/>
                <w:szCs w:val="20"/>
                <w:color w:val="auto"/>
              </w:rPr>
            </w:pPr>
            <w:r>
              <w:rPr>
                <w:rFonts w:ascii="Times New Roman" w:cs="Times New Roman" w:eastAsia="Times New Roman" w:hAnsi="Times New Roman"/>
                <w:sz w:val="18"/>
                <w:szCs w:val="18"/>
                <w:b w:val="1"/>
                <w:bCs w:val="1"/>
                <w:color w:val="auto"/>
                <w:w w:val="97"/>
              </w:rPr>
              <w:t>Reported</w:t>
            </w:r>
          </w:p>
        </w:tc>
        <w:tc>
          <w:tcPr>
            <w:tcW w:w="9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120"/>
              <w:spacing w:after="0" w:line="203" w:lineRule="exact"/>
              <w:rPr>
                <w:sz w:val="20"/>
                <w:szCs w:val="20"/>
                <w:color w:val="auto"/>
              </w:rPr>
            </w:pPr>
            <w:r>
              <w:rPr>
                <w:rFonts w:ascii="Times New Roman" w:cs="Times New Roman" w:eastAsia="Times New Roman" w:hAnsi="Times New Roman"/>
                <w:sz w:val="18"/>
                <w:szCs w:val="18"/>
                <w:b w:val="1"/>
                <w:bCs w:val="1"/>
                <w:color w:val="auto"/>
                <w:w w:val="94"/>
              </w:rPr>
              <w:t xml:space="preserve">Rates </w:t>
            </w:r>
            <w:r>
              <w:rPr>
                <w:rFonts w:ascii="Times New Roman" w:cs="Times New Roman" w:eastAsia="Times New Roman" w:hAnsi="Times New Roman"/>
                <w:sz w:val="23"/>
                <w:szCs w:val="23"/>
                <w:b w:val="1"/>
                <w:bCs w:val="1"/>
                <w:color w:val="auto"/>
                <w:w w:val="94"/>
                <w:vertAlign w:val="superscript"/>
              </w:rPr>
              <w:t>(1)</w:t>
            </w:r>
          </w:p>
        </w:tc>
        <w:tc>
          <w:tcPr>
            <w:tcW w:w="100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$295</w:t>
            </w:r>
          </w:p>
        </w:tc>
        <w:tc>
          <w:tcPr>
            <w:tcW w:w="1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$307</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$511</w:t>
            </w:r>
          </w:p>
        </w:tc>
        <w:tc>
          <w:tcPr>
            <w:tcW w:w="13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$528</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$339</w:t>
            </w:r>
          </w:p>
        </w:tc>
        <w:tc>
          <w:tcPr>
            <w:tcW w:w="0" w:type="dxa"/>
            <w:vAlign w:val="bottom"/>
          </w:tcPr>
          <w:p>
            <w:pPr>
              <w:spacing w:after="0"/>
              <w:rPr>
                <w:sz w:val="1"/>
                <w:szCs w:val="1"/>
                <w:color w:val="auto"/>
              </w:rPr>
            </w:pPr>
          </w:p>
        </w:tc>
      </w:tr>
      <w:tr>
        <w:trPr>
          <w:trHeight w:val="3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$255</w:t>
            </w:r>
          </w:p>
        </w:tc>
        <w:tc>
          <w:tcPr>
            <w:tcW w:w="1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$287</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$505</w:t>
            </w:r>
          </w:p>
        </w:tc>
        <w:tc>
          <w:tcPr>
            <w:tcW w:w="13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$518</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$533</w:t>
            </w:r>
          </w:p>
        </w:tc>
        <w:tc>
          <w:tcPr>
            <w:tcW w:w="0" w:type="dxa"/>
            <w:vAlign w:val="bottom"/>
          </w:tcPr>
          <w:p>
            <w:pPr>
              <w:spacing w:after="0"/>
              <w:rPr>
                <w:sz w:val="1"/>
                <w:szCs w:val="1"/>
                <w:color w:val="auto"/>
              </w:rPr>
            </w:pPr>
          </w:p>
        </w:tc>
      </w:tr>
      <w:tr>
        <w:trPr>
          <w:trHeight w:val="45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1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3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$4.29</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$2.52</w:t>
            </w:r>
          </w:p>
        </w:tc>
        <w:tc>
          <w:tcPr>
            <w:tcW w:w="0" w:type="dxa"/>
            <w:vAlign w:val="bottom"/>
          </w:tcPr>
          <w:p>
            <w:pPr>
              <w:spacing w:after="0"/>
              <w:rPr>
                <w:sz w:val="1"/>
                <w:szCs w:val="1"/>
                <w:color w:val="auto"/>
              </w:rPr>
            </w:pPr>
          </w:p>
        </w:tc>
      </w:tr>
      <w:tr>
        <w:trPr>
          <w:trHeight w:val="3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diluted earnings per share </w:t>
            </w:r>
            <w:r>
              <w:rPr>
                <w:rFonts w:ascii="Times New Roman" w:cs="Times New Roman" w:eastAsia="Times New Roman" w:hAnsi="Times New Roman"/>
                <w:sz w:val="23"/>
                <w:szCs w:val="23"/>
                <w:color w:val="auto"/>
                <w:vertAlign w:val="superscript"/>
              </w:rPr>
              <w:t>(3)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$4.11</w:t>
            </w:r>
          </w:p>
        </w:tc>
        <w:tc>
          <w:tcPr>
            <w:tcW w:w="13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$4.21</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660" w:right="60" w:hanging="328"/>
        <w:spacing w:after="0" w:line="229"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 exchange rates and then multiplying or dividing, as appropriate, those amounts by the applicable prior year average foreign exchange rates.</w:t>
      </w:r>
    </w:p>
    <w:p>
      <w:pPr>
        <w:spacing w:after="0" w:line="213" w:lineRule="exact"/>
        <w:rPr>
          <w:rFonts w:ascii="Times New Roman" w:cs="Times New Roman" w:eastAsia="Times New Roman" w:hAnsi="Times New Roman"/>
          <w:sz w:val="23"/>
          <w:szCs w:val="23"/>
          <w:color w:val="auto"/>
          <w:vertAlign w:val="superscript"/>
        </w:rPr>
      </w:pPr>
    </w:p>
    <w:p>
      <w:pPr>
        <w:ind w:left="660" w:right="420" w:hanging="328"/>
        <w:spacing w:after="0" w:line="222"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2021 includes $71 and $121 of Adjusted Net Income for the European Tinplate business that was sold in August of 2021 for the three and six months ended, respectively.</w:t>
      </w:r>
    </w:p>
    <w:p>
      <w:pPr>
        <w:spacing w:after="0" w:line="211" w:lineRule="exact"/>
        <w:rPr>
          <w:rFonts w:ascii="Times New Roman" w:cs="Times New Roman" w:eastAsia="Times New Roman" w:hAnsi="Times New Roman"/>
          <w:sz w:val="23"/>
          <w:szCs w:val="23"/>
          <w:color w:val="auto"/>
          <w:vertAlign w:val="superscript"/>
        </w:rPr>
      </w:pPr>
    </w:p>
    <w:p>
      <w:pPr>
        <w:ind w:left="660" w:right="140" w:hanging="328"/>
        <w:spacing w:after="0" w:line="222"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2021 includes $0.53 and $0.90 of Diluted earnings per share for the European Tinplate business that was sold in August of 2021 for the three and six months ended, respectively.</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9 of 13</w:t>
      </w:r>
    </w:p>
    <w:p>
      <w:pPr>
        <w:sectPr>
          <w:pgSz w:w="11900" w:h="16838" w:orient="portrait"/>
          <w:cols w:equalWidth="0" w:num="1">
            <w:col w:w="11240"/>
          </w:cols>
          <w:pgMar w:left="320" w:top="601" w:right="339" w:bottom="1440"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 &amp;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19685</wp:posOffset>
            </wp:positionV>
            <wp:extent cx="5246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7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1,766</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2,986</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5,124</w:t>
            </w:r>
          </w:p>
        </w:tc>
        <w:tc>
          <w:tcPr>
            <w:tcW w:w="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7,105</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3,783</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7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14,422</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16,695</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5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7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5,379</w:t>
            </w:r>
          </w:p>
        </w:tc>
        <w:tc>
          <w:tcPr>
            <w:tcW w:w="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4,514</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7,879</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1,578</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500" w:type="dxa"/>
            <w:vAlign w:val="bottom"/>
          </w:tcPr>
          <w:p>
            <w:pPr>
              <w:spacing w:after="0"/>
              <w:rPr>
                <w:sz w:val="24"/>
                <w:szCs w:val="24"/>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7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2,724</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14,422</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16,695</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5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13</w:t>
      </w:r>
    </w:p>
    <w:p>
      <w:pPr>
        <w:sectPr>
          <w:pgSz w:w="11900" w:h="16838" w:orient="portrait"/>
          <w:cols w:equalWidth="0" w:num="1">
            <w:col w:w="11240"/>
          </w:cols>
          <w:pgMar w:left="320" w:top="601" w:right="339" w:bottom="1440" w:gutter="0" w:footer="0" w:header="0"/>
        </w:sectPr>
      </w:pPr>
    </w:p>
    <w:bookmarkStart w:id="14" w:name="page15"/>
    <w:bookmarkEnd w:id="1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(Condensed &amp;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920" w:type="dxa"/>
            <w:vAlign w:val="bottom"/>
          </w:tcPr>
          <w:p>
            <w:pPr>
              <w:spacing w:after="0"/>
              <w:rPr>
                <w:sz w:val="20"/>
                <w:szCs w:val="20"/>
                <w:color w:val="auto"/>
              </w:rPr>
            </w:pPr>
          </w:p>
        </w:tc>
      </w:tr>
      <w:tr>
        <w:trPr>
          <w:trHeight w:val="313"/>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920" w:type="dxa"/>
            <w:vAlign w:val="bottom"/>
          </w:tcPr>
          <w:p>
            <w:pPr>
              <w:spacing w:after="0"/>
              <w:rPr>
                <w:sz w:val="20"/>
                <w:szCs w:val="20"/>
                <w:color w:val="auto"/>
              </w:rPr>
            </w:pPr>
          </w:p>
        </w:tc>
      </w:tr>
      <w:tr>
        <w:trPr>
          <w:trHeight w:val="252"/>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Loss from disposal of discontinued operations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920" w:type="dxa"/>
            <w:vAlign w:val="bottom"/>
          </w:tcPr>
          <w:p>
            <w:pPr>
              <w:spacing w:after="0"/>
              <w:rPr>
                <w:sz w:val="21"/>
                <w:szCs w:val="21"/>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Pension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92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920" w:type="dxa"/>
            <w:vAlign w:val="bottom"/>
          </w:tcPr>
          <w:p>
            <w:pPr>
              <w:spacing w:after="0"/>
              <w:rPr>
                <w:sz w:val="20"/>
                <w:szCs w:val="20"/>
                <w:color w:val="auto"/>
              </w:rPr>
            </w:pPr>
          </w:p>
        </w:tc>
      </w:tr>
      <w:tr>
        <w:trPr>
          <w:trHeight w:val="237"/>
        </w:trPr>
        <w:tc>
          <w:tcPr>
            <w:tcW w:w="6560" w:type="dxa"/>
            <w:vAlign w:val="bottom"/>
          </w:tcPr>
          <w:p>
            <w:pPr>
              <w:ind w:left="240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920" w:type="dxa"/>
            <w:vAlign w:val="bottom"/>
          </w:tcPr>
          <w:p>
            <w:pPr>
              <w:spacing w:after="0"/>
              <w:rPr>
                <w:sz w:val="20"/>
                <w:szCs w:val="20"/>
                <w:color w:val="auto"/>
              </w:rPr>
            </w:pPr>
          </w:p>
        </w:tc>
      </w:tr>
      <w:tr>
        <w:trPr>
          <w:trHeight w:val="205"/>
        </w:trPr>
        <w:tc>
          <w:tcPr>
            <w:tcW w:w="656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92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920" w:type="dxa"/>
            <w:vAlign w:val="bottom"/>
          </w:tcPr>
          <w:p>
            <w:pPr>
              <w:spacing w:after="0"/>
              <w:rPr>
                <w:sz w:val="20"/>
                <w:szCs w:val="20"/>
                <w:color w:val="auto"/>
              </w:rPr>
            </w:pPr>
          </w:p>
        </w:tc>
      </w:tr>
      <w:tr>
        <w:trPr>
          <w:trHeight w:val="237"/>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920" w:type="dxa"/>
            <w:vAlign w:val="bottom"/>
          </w:tcPr>
          <w:p>
            <w:pPr>
              <w:spacing w:after="0"/>
              <w:rPr>
                <w:sz w:val="20"/>
                <w:szCs w:val="20"/>
                <w:color w:val="auto"/>
              </w:rPr>
            </w:pPr>
          </w:p>
        </w:tc>
      </w:tr>
      <w:tr>
        <w:trPr>
          <w:trHeight w:val="232"/>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Net change in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Debt issue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920" w:type="dxa"/>
            <w:vAlign w:val="bottom"/>
          </w:tcPr>
          <w:p>
            <w:pPr>
              <w:spacing w:after="0"/>
              <w:rPr>
                <w:sz w:val="20"/>
                <w:szCs w:val="20"/>
                <w:color w:val="auto"/>
              </w:rPr>
            </w:pPr>
          </w:p>
        </w:tc>
      </w:tr>
      <w:tr>
        <w:trPr>
          <w:trHeight w:val="237"/>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used for financing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920" w:type="dxa"/>
            <w:vAlign w:val="bottom"/>
          </w:tcPr>
          <w:p>
            <w:pPr>
              <w:spacing w:after="0"/>
              <w:rPr>
                <w:sz w:val="20"/>
                <w:szCs w:val="20"/>
                <w:color w:val="auto"/>
              </w:rPr>
            </w:pPr>
          </w:p>
        </w:tc>
      </w:tr>
      <w:tr>
        <w:trPr>
          <w:trHeight w:val="345"/>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920" w:type="dxa"/>
            <w:vAlign w:val="bottom"/>
          </w:tcPr>
          <w:p>
            <w:pPr>
              <w:spacing w:after="0"/>
              <w:rPr>
                <w:sz w:val="24"/>
                <w:szCs w:val="24"/>
                <w:color w:val="auto"/>
              </w:rPr>
            </w:pPr>
          </w:p>
        </w:tc>
      </w:tr>
      <w:tr>
        <w:trPr>
          <w:trHeight w:val="345"/>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920" w:type="dxa"/>
            <w:vAlign w:val="bottom"/>
          </w:tcPr>
          <w:p>
            <w:pPr>
              <w:spacing w:after="0"/>
              <w:rPr>
                <w:sz w:val="24"/>
                <w:szCs w:val="24"/>
                <w:color w:val="auto"/>
              </w:rPr>
            </w:pPr>
          </w:p>
        </w:tc>
      </w:tr>
      <w:tr>
        <w:trPr>
          <w:trHeight w:val="256"/>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920" w:type="dxa"/>
            <w:vAlign w:val="bottom"/>
          </w:tcPr>
          <w:p>
            <w:pPr>
              <w:spacing w:after="0"/>
              <w:rPr>
                <w:sz w:val="22"/>
                <w:szCs w:val="22"/>
                <w:color w:val="auto"/>
              </w:rPr>
            </w:pPr>
          </w:p>
        </w:tc>
      </w:tr>
      <w:tr>
        <w:trPr>
          <w:trHeight w:val="318"/>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at June 30 </w:t>
            </w:r>
            <w:r>
              <w:rPr>
                <w:rFonts w:ascii="Times New Roman" w:cs="Times New Roman" w:eastAsia="Times New Roman" w:hAnsi="Times New Roman"/>
                <w:sz w:val="23"/>
                <w:szCs w:val="23"/>
                <w:b w:val="1"/>
                <w:bCs w:val="1"/>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4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1920" w:type="dxa"/>
            <w:vAlign w:val="bottom"/>
          </w:tcPr>
          <w:p>
            <w:pPr>
              <w:spacing w:after="0"/>
              <w:rPr>
                <w:sz w:val="24"/>
                <w:szCs w:val="24"/>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0"/>
        </w:trPr>
        <w:tc>
          <w:tcPr>
            <w:tcW w:w="6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bl>
    <w:p>
      <w:pPr>
        <w:spacing w:after="0" w:line="103" w:lineRule="exact"/>
        <w:rPr>
          <w:sz w:val="20"/>
          <w:szCs w:val="20"/>
          <w:color w:val="auto"/>
        </w:rPr>
      </w:pPr>
    </w:p>
    <w:p>
      <w:pPr>
        <w:ind w:left="420" w:right="380" w:hanging="331"/>
        <w:spacing w:after="0" w:line="233" w:lineRule="auto"/>
        <w:tabs>
          <w:tab w:leader="none" w:pos="40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Adjusted free cash flow is defined by the Company as net cash from operating activities less capital expenditures and certain other items. A reconciliation of net cash from operating activities to adjusted free cash flow for the three and six months ended June 30, 2022 and 2021 follows.</w:t>
      </w:r>
    </w:p>
    <w:p>
      <w:pPr>
        <w:spacing w:after="0" w:line="182" w:lineRule="exact"/>
        <w:rPr>
          <w:rFonts w:ascii="Times New Roman" w:cs="Times New Roman" w:eastAsia="Times New Roman" w:hAnsi="Times New Roman"/>
          <w:sz w:val="22"/>
          <w:szCs w:val="22"/>
          <w:color w:val="auto"/>
          <w:vertAlign w:val="superscript"/>
        </w:rPr>
      </w:pPr>
    </w:p>
    <w:p>
      <w:pPr>
        <w:ind w:left="400" w:hanging="311"/>
        <w:spacing w:after="0"/>
        <w:tabs>
          <w:tab w:leader="none" w:pos="4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include $88 and $98 of restricted cash at June 30, 2022 and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9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Six Months Ended June</w:t>
            </w:r>
          </w:p>
        </w:tc>
        <w:tc>
          <w:tcPr>
            <w:tcW w:w="1800" w:type="dxa"/>
            <w:vAlign w:val="bottom"/>
          </w:tcPr>
          <w:p>
            <w:pPr>
              <w:spacing w:after="0"/>
              <w:rPr>
                <w:sz w:val="18"/>
                <w:szCs w:val="18"/>
                <w:color w:val="auto"/>
              </w:rPr>
            </w:pPr>
          </w:p>
        </w:tc>
      </w:tr>
      <w:tr>
        <w:trPr>
          <w:trHeight w:val="241"/>
        </w:trPr>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0" w:type="dxa"/>
            <w:vAlign w:val="bottom"/>
          </w:tcPr>
          <w:p>
            <w:pPr>
              <w:spacing w:after="0"/>
              <w:rPr>
                <w:sz w:val="20"/>
                <w:szCs w:val="20"/>
                <w:color w:val="auto"/>
              </w:rPr>
            </w:pPr>
          </w:p>
        </w:tc>
      </w:tr>
      <w:tr>
        <w:trPr>
          <w:trHeight w:val="252"/>
        </w:trPr>
        <w:tc>
          <w:tcPr>
            <w:tcW w:w="4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0" w:type="dxa"/>
            <w:vAlign w:val="bottom"/>
          </w:tcPr>
          <w:p>
            <w:pPr>
              <w:spacing w:after="0"/>
              <w:rPr>
                <w:sz w:val="21"/>
                <w:szCs w:val="21"/>
                <w:color w:val="auto"/>
              </w:rPr>
            </w:pPr>
          </w:p>
        </w:tc>
      </w:tr>
      <w:tr>
        <w:trPr>
          <w:trHeight w:val="250"/>
        </w:trPr>
        <w:tc>
          <w:tcPr>
            <w:tcW w:w="44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497</w:t>
            </w:r>
          </w:p>
        </w:tc>
        <w:tc>
          <w:tcPr>
            <w:tcW w:w="3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6"/>
              </w:rPr>
              <w:t>554</w:t>
            </w:r>
          </w:p>
        </w:tc>
        <w:tc>
          <w:tcPr>
            <w:tcW w:w="3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800" w:type="dxa"/>
            <w:vAlign w:val="bottom"/>
          </w:tcPr>
          <w:p>
            <w:pPr>
              <w:spacing w:after="0"/>
              <w:rPr>
                <w:sz w:val="21"/>
                <w:szCs w:val="21"/>
                <w:color w:val="auto"/>
              </w:rPr>
            </w:pPr>
          </w:p>
        </w:tc>
      </w:tr>
      <w:tr>
        <w:trPr>
          <w:trHeight w:val="289"/>
        </w:trPr>
        <w:tc>
          <w:tcPr>
            <w:tcW w:w="4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U.K. pension settlement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3"/>
        </w:trPr>
        <w:tc>
          <w:tcPr>
            <w:tcW w:w="4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Interest included in investing activities </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0" w:type="dxa"/>
            <w:vAlign w:val="bottom"/>
          </w:tcPr>
          <w:p>
            <w:pPr>
              <w:spacing w:after="0"/>
              <w:rPr>
                <w:sz w:val="23"/>
                <w:szCs w:val="23"/>
                <w:color w:val="auto"/>
              </w:rPr>
            </w:pPr>
          </w:p>
        </w:tc>
      </w:tr>
      <w:tr>
        <w:trPr>
          <w:trHeight w:val="234"/>
        </w:trPr>
        <w:tc>
          <w:tcPr>
            <w:tcW w:w="4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(190)</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00" w:type="dxa"/>
            <w:vAlign w:val="bottom"/>
          </w:tcPr>
          <w:p>
            <w:pPr>
              <w:spacing w:after="0"/>
              <w:rPr>
                <w:sz w:val="20"/>
                <w:szCs w:val="20"/>
                <w:color w:val="auto"/>
              </w:rPr>
            </w:pPr>
          </w:p>
        </w:tc>
      </w:tr>
      <w:tr>
        <w:trPr>
          <w:trHeight w:val="223"/>
        </w:trPr>
        <w:tc>
          <w:tcPr>
            <w:tcW w:w="44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287</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6"/>
              </w:rPr>
              <w:t>364</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800" w:type="dxa"/>
            <w:vAlign w:val="bottom"/>
          </w:tcPr>
          <w:p>
            <w:pPr>
              <w:spacing w:after="0"/>
              <w:rPr>
                <w:sz w:val="19"/>
                <w:szCs w:val="19"/>
                <w:color w:val="auto"/>
              </w:rPr>
            </w:pPr>
          </w:p>
        </w:tc>
      </w:tr>
      <w:tr>
        <w:trPr>
          <w:trHeight w:val="21"/>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32"/>
        </w:trPr>
        <w:tc>
          <w:tcPr>
            <w:tcW w:w="4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11 of 13</w:t>
      </w:r>
    </w:p>
    <w:p>
      <w:pPr>
        <w:sectPr>
          <w:pgSz w:w="11900" w:h="16838" w:orient="portrait"/>
          <w:cols w:equalWidth="0" w:num="1">
            <w:col w:w="11240"/>
          </w:cols>
          <w:pgMar w:left="320" w:top="60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40" w:hanging="331"/>
        <w:spacing w:after="0" w:line="226"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September 2021, the Company made a contribution of $271 million to its U.K. defined pension plan in advance of a full settlement of the plan’s obligations in November 2021. The Company expects $175 million of the contribution to be repaid as the plan sells its remaining illiquid assets. The Company was reimbursed $55 million in the fourth quarter of 2021 and $41 million during the first six months of 2022.</w:t>
      </w:r>
    </w:p>
    <w:p>
      <w:pPr>
        <w:spacing w:after="0" w:line="181" w:lineRule="exact"/>
        <w:rPr>
          <w:rFonts w:ascii="Times New Roman" w:cs="Times New Roman" w:eastAsia="Times New Roman" w:hAnsi="Times New Roman"/>
          <w:sz w:val="23"/>
          <w:szCs w:val="23"/>
          <w:color w:val="auto"/>
          <w:vertAlign w:val="superscript"/>
        </w:rPr>
      </w:pPr>
    </w:p>
    <w:p>
      <w:pPr>
        <w:ind w:left="320" w:hanging="311"/>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benefit of cross currency swaps included in investing activities.</w:t>
      </w:r>
    </w:p>
    <w:p>
      <w:pPr>
        <w:sectPr>
          <w:pgSz w:w="11900" w:h="16838" w:orient="portrait"/>
          <w:cols w:equalWidth="0" w:num="1">
            <w:col w:w="11160"/>
          </w:cols>
          <w:pgMar w:left="400" w:top="60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Page 12 of 13</w:t>
      </w:r>
    </w:p>
    <w:p>
      <w:pPr>
        <w:sectPr>
          <w:pgSz w:w="11900" w:h="16838" w:orient="portrait"/>
          <w:cols w:equalWidth="0" w:num="1">
            <w:col w:w="11160"/>
          </w:cols>
          <w:pgMar w:left="400" w:top="601" w:right="339" w:bottom="0" w:gutter="0" w:footer="0" w:header="0"/>
          <w:type w:val="continuous"/>
        </w:sectPr>
      </w:pPr>
    </w:p>
    <w:bookmarkStart w:id="16" w:name="page17"/>
    <w:bookmarkEnd w:id="1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and Net Leverage Ratio</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35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Twelve Months</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14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YTD 2022</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YTD 2021</w:t>
            </w:r>
          </w:p>
        </w:tc>
        <w:tc>
          <w:tcPr>
            <w:tcW w:w="1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Full Year 2021</w:t>
            </w:r>
          </w:p>
        </w:tc>
        <w:tc>
          <w:tcPr>
            <w:tcW w:w="18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480" w:type="dxa"/>
            <w:vAlign w:val="bottom"/>
            <w:gridSpan w:val="4"/>
            <w:vMerge w:val="continue"/>
          </w:tcPr>
          <w:p>
            <w:pPr>
              <w:spacing w:after="0"/>
              <w:rPr>
                <w:sz w:val="21"/>
                <w:szCs w:val="21"/>
                <w:color w:val="auto"/>
              </w:rPr>
            </w:pPr>
          </w:p>
        </w:tc>
        <w:tc>
          <w:tcPr>
            <w:tcW w:w="1480" w:type="dxa"/>
            <w:vAlign w:val="bottom"/>
            <w:gridSpan w:val="3"/>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0" w:type="dxa"/>
            <w:vAlign w:val="bottom"/>
          </w:tcPr>
          <w:p>
            <w:pPr>
              <w:spacing w:after="0"/>
              <w:rPr>
                <w:sz w:val="1"/>
                <w:szCs w:val="1"/>
                <w:color w:val="auto"/>
              </w:rPr>
            </w:pP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810</w:t>
            </w:r>
          </w:p>
        </w:tc>
        <w:tc>
          <w:tcPr>
            <w:tcW w:w="200" w:type="dxa"/>
            <w:vAlign w:val="bottom"/>
          </w:tcPr>
          <w:p>
            <w:pPr>
              <w:spacing w:after="0"/>
              <w:rPr>
                <w:sz w:val="18"/>
                <w:szCs w:val="18"/>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amortization</w:t>
            </w:r>
          </w:p>
        </w:tc>
        <w:tc>
          <w:tcPr>
            <w:tcW w:w="5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9"/>
              </w:rPr>
              <w:t>(28)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5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967</w:t>
            </w:r>
          </w:p>
        </w:tc>
        <w:tc>
          <w:tcPr>
            <w:tcW w:w="20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1,845</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6,192</w:t>
            </w:r>
          </w:p>
        </w:tc>
        <w:tc>
          <w:tcPr>
            <w:tcW w:w="0" w:type="dxa"/>
            <w:vAlign w:val="bottom"/>
          </w:tcPr>
          <w:p>
            <w:pPr>
              <w:spacing w:after="0"/>
              <w:rPr>
                <w:sz w:val="1"/>
                <w:szCs w:val="1"/>
                <w:color w:val="auto"/>
              </w:rPr>
            </w:pPr>
          </w:p>
        </w:tc>
      </w:tr>
      <w:tr>
        <w:trPr>
          <w:trHeight w:val="42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leverage ratio</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3.2x</w:t>
            </w:r>
          </w:p>
        </w:tc>
        <w:tc>
          <w:tcPr>
            <w:tcW w:w="220" w:type="dxa"/>
            <w:vAlign w:val="bottom"/>
          </w:tcPr>
          <w:p>
            <w:pPr>
              <w:spacing w:after="0"/>
              <w:rPr>
                <w:sz w:val="24"/>
                <w:szCs w:val="24"/>
                <w:color w:val="auto"/>
              </w:rPr>
            </w:pPr>
          </w:p>
        </w:tc>
        <w:tc>
          <w:tcPr>
            <w:tcW w:w="162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3.4x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Page 13 of 13</w:t>
      </w:r>
    </w:p>
    <w:sectPr>
      <w:pgSz w:w="11900" w:h="16838" w:orient="portrait"/>
      <w:cols w:equalWidth="0" w:num="1">
        <w:col w:w="10139"/>
      </w:cols>
      <w:pgMar w:left="320" w:top="6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9"/>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2022-07-20T16:08:00Z</dcterms:created>
  <dcterms:modified xsi:type="dcterms:W3CDTF">2022-07-20T16:08:00Z</dcterms:modified>
</cp:coreProperties>
</file>