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jc w:val="center"/>
        <w:ind w:left="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UNITED STATES SECURITIES AND EXCHANGE COMMISSION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lef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Washington, D.C. 20549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STATEMENT OF CHANGES IN BENEFICIAL OWNERSHIP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jc w:val="center"/>
        <w:ind w:lef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Filed pursuant to Section 16(a) of the Securities Exchange Act of 1934</w:t>
      </w:r>
    </w:p>
    <w:p>
      <w:pPr>
        <w:jc w:val="center"/>
        <w:ind w:lef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-1544320</wp:posOffset>
            </wp:positionH>
            <wp:positionV relativeFrom="paragraph">
              <wp:posOffset>32385</wp:posOffset>
            </wp:positionV>
            <wp:extent cx="6964045" cy="16668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jc w:val="center"/>
        <w:ind w:right="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OMB APPROVAL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-167640</wp:posOffset>
            </wp:positionV>
            <wp:extent cx="131127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27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4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200" w:space="240"/>
            <w:col w:w="6240" w:space="180"/>
            <w:col w:w="22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1. Name and Address of Reporting Person 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1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Muller Josef M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2522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252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1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04/29/2020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596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23,031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60.886</w:t>
            </w: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Rosemary M. Haselroth, by</w:t>
            </w: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04/29/2020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-2368550</wp:posOffset>
            </wp:positionV>
            <wp:extent cx="7031355" cy="1793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1" Type="http://schemas.openxmlformats.org/officeDocument/2006/relationships/hyperlink" Target="http://www.sec.gov/cgi-bin/browse-edgar?action=getcompany&amp;amp;CIK=0001513920" TargetMode="External"/><Relationship Id="rId12" Type="http://schemas.openxmlformats.org/officeDocument/2006/relationships/hyperlink" Target="http://www.sec.gov/cgi-bin/browse-edgar?action=getcompany&amp;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2020-04-29T13:16:27Z</dcterms:created>
  <dcterms:modified xsi:type="dcterms:W3CDTF">2020-04-29T13:16:27Z</dcterms:modified>
</cp:coreProperties>
</file>