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280"/>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559"/>
          </w:cols>
          <w:pgMar w:left="900" w:top="1440" w:right="1440" w:bottom="1440" w:gutter="0" w:footer="0" w:header="0"/>
        </w:sectPr>
      </w:pPr>
    </w:p>
    <w:p>
      <w:pPr>
        <w:spacing w:after="0" w:line="38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 X ]</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3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920" w:space="720"/>
            <w:col w:w="7919"/>
          </w:cols>
          <w:pgMar w:left="900" w:top="1440" w:right="1440" w:bottom="1440" w:gutter="0" w:footer="0" w:header="0"/>
          <w:type w:val="continuous"/>
        </w:sectPr>
      </w:pPr>
    </w:p>
    <w:p>
      <w:pPr>
        <w:spacing w:after="0" w:line="347" w:lineRule="exact"/>
        <w:rPr>
          <w:sz w:val="24"/>
          <w:szCs w:val="24"/>
          <w:color w:val="auto"/>
        </w:rPr>
      </w:pPr>
    </w:p>
    <w:p>
      <w:pPr>
        <w:ind w:left="1640"/>
        <w:spacing w:after="0"/>
        <w:rPr>
          <w:sz w:val="20"/>
          <w:szCs w:val="20"/>
          <w:color w:val="auto"/>
        </w:rPr>
      </w:pPr>
      <w:r>
        <w:rPr>
          <w:rFonts w:ascii="Arial" w:cs="Arial" w:eastAsia="Arial" w:hAnsi="Arial"/>
          <w:sz w:val="19"/>
          <w:szCs w:val="19"/>
          <w:b w:val="1"/>
          <w:bCs w:val="1"/>
          <w:color w:val="auto"/>
        </w:rPr>
        <w:t>For the fiscal year ended December 31, 2020</w:t>
      </w:r>
    </w:p>
    <w:p>
      <w:pPr>
        <w:spacing w:after="0" w:line="322" w:lineRule="exact"/>
        <w:rPr>
          <w:sz w:val="24"/>
          <w:szCs w:val="24"/>
          <w:color w:val="auto"/>
        </w:rPr>
      </w:pPr>
    </w:p>
    <w:p>
      <w:pPr>
        <w:ind w:left="1640"/>
        <w:spacing w:after="0"/>
        <w:rPr>
          <w:sz w:val="20"/>
          <w:szCs w:val="20"/>
          <w:color w:val="auto"/>
        </w:rPr>
      </w:pPr>
      <w:r>
        <w:rPr>
          <w:rFonts w:ascii="Arial" w:cs="Arial" w:eastAsia="Arial" w:hAnsi="Arial"/>
          <w:sz w:val="22"/>
          <w:szCs w:val="22"/>
          <w:b w:val="1"/>
          <w:bCs w:val="1"/>
          <w:color w:val="auto"/>
        </w:rPr>
        <w:t>Commission File Number 0-50189</w:t>
      </w:r>
    </w:p>
    <w:p>
      <w:pPr>
        <w:sectPr>
          <w:pgSz w:w="11900" w:h="16838" w:orient="portrait"/>
          <w:cols w:equalWidth="0" w:num="1">
            <w:col w:w="9559"/>
          </w:cols>
          <w:pgMar w:left="900" w:top="1440" w:right="1440"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left="2200" w:hanging="469"/>
        <w:spacing w:after="0"/>
        <w:tabs>
          <w:tab w:leader="none" w:pos="22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287" w:lineRule="exact"/>
        <w:rPr>
          <w:rFonts w:ascii="Arial" w:cs="Arial" w:eastAsia="Arial" w:hAnsi="Arial"/>
          <w:sz w:val="22"/>
          <w:szCs w:val="22"/>
          <w:b w:val="1"/>
          <w:bCs w:val="1"/>
          <w:color w:val="auto"/>
        </w:rPr>
      </w:pPr>
    </w:p>
    <w:p>
      <w:pPr>
        <w:ind w:left="2200" w:right="4119"/>
        <w:spacing w:after="0" w:line="364" w:lineRule="auto"/>
        <w:rPr>
          <w:rFonts w:ascii="Arial" w:cs="Arial" w:eastAsia="Arial" w:hAnsi="Arial"/>
          <w:sz w:val="22"/>
          <w:szCs w:val="22"/>
          <w:b w:val="1"/>
          <w:bCs w:val="1"/>
          <w:color w:val="auto"/>
        </w:rPr>
      </w:pPr>
      <w:r>
        <w:rPr>
          <w:rFonts w:ascii="Arial" w:cs="Arial" w:eastAsia="Arial" w:hAnsi="Arial"/>
          <w:sz w:val="19"/>
          <w:szCs w:val="19"/>
          <w:b w:val="1"/>
          <w:bCs w:val="1"/>
          <w:color w:val="auto"/>
        </w:rPr>
        <w:t>Crown Cork &amp; Seal Company, Inc. 401(k) Retirement Savings Plan</w:t>
      </w:r>
    </w:p>
    <w:p>
      <w:pPr>
        <w:spacing w:after="0" w:line="147" w:lineRule="exact"/>
        <w:rPr>
          <w:rFonts w:ascii="Arial" w:cs="Arial" w:eastAsia="Arial" w:hAnsi="Arial"/>
          <w:sz w:val="22"/>
          <w:szCs w:val="22"/>
          <w:b w:val="1"/>
          <w:bCs w:val="1"/>
          <w:color w:val="auto"/>
        </w:rPr>
      </w:pPr>
    </w:p>
    <w:p>
      <w:pPr>
        <w:ind w:left="2200" w:right="2079" w:hanging="457"/>
        <w:spacing w:after="0" w:line="364" w:lineRule="auto"/>
        <w:tabs>
          <w:tab w:leader="none" w:pos="220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CROWN HOLDINGS,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770 TOWNSHIP LINE ROAD</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YARDLEY, PA 19067-4232</w:t>
      </w:r>
    </w:p>
    <w:p>
      <w:pPr>
        <w:sectPr>
          <w:pgSz w:w="11900" w:h="16838" w:orient="portrait"/>
          <w:cols w:equalWidth="0" w:num="1">
            <w:col w:w="9559"/>
          </w:cols>
          <w:pgMar w:left="900" w:top="144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401(k) Retirement Savings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8420" w:type="dxa"/>
            <w:vAlign w:val="bottom"/>
          </w:tcPr>
          <w:p>
            <w:pPr>
              <w:spacing w:after="0"/>
              <w:rPr>
                <w:sz w:val="21"/>
                <w:szCs w:val="21"/>
                <w:color w:val="auto"/>
              </w:rPr>
            </w:pPr>
          </w:p>
        </w:tc>
        <w:tc>
          <w:tcPr>
            <w:tcW w:w="2340" w:type="dxa"/>
            <w:vAlign w:val="bottom"/>
            <w:gridSpan w:val="6"/>
          </w:tcPr>
          <w:p>
            <w:pPr>
              <w:ind w:left="1740"/>
              <w:spacing w:after="0"/>
              <w:rPr>
                <w:sz w:val="20"/>
                <w:szCs w:val="20"/>
                <w:color w:val="auto"/>
              </w:rPr>
            </w:pPr>
            <w:r>
              <w:rPr>
                <w:rFonts w:ascii="Arial" w:cs="Arial" w:eastAsia="Arial" w:hAnsi="Arial"/>
                <w:sz w:val="20"/>
                <w:szCs w:val="20"/>
                <w:color w:val="auto"/>
                <w:w w:val="82"/>
              </w:rPr>
              <w:t>Page(s)</w:t>
            </w:r>
          </w:p>
        </w:tc>
        <w:tc>
          <w:tcPr>
            <w:tcW w:w="0" w:type="dxa"/>
            <w:vAlign w:val="bottom"/>
          </w:tcPr>
          <w:p>
            <w:pPr>
              <w:spacing w:after="0"/>
              <w:rPr>
                <w:sz w:val="1"/>
                <w:szCs w:val="1"/>
                <w:color w:val="auto"/>
              </w:rPr>
            </w:pPr>
          </w:p>
        </w:tc>
      </w:tr>
      <w:tr>
        <w:trPr>
          <w:trHeight w:val="468"/>
        </w:trPr>
        <w:tc>
          <w:tcPr>
            <w:tcW w:w="842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2100" w:type="dxa"/>
            <w:vAlign w:val="bottom"/>
            <w:gridSpan w:val="4"/>
          </w:tcPr>
          <w:p>
            <w:pPr>
              <w:jc w:val="center"/>
              <w:ind w:left="1901"/>
              <w:spacing w:after="0"/>
              <w:rPr>
                <w:rFonts w:ascii="Arial" w:cs="Arial" w:eastAsia="Arial" w:hAnsi="Arial"/>
                <w:sz w:val="20"/>
                <w:szCs w:val="20"/>
                <w:color w:val="0000FF"/>
                <w:w w:val="89"/>
              </w:rPr>
            </w:pPr>
            <w:hyperlink w:anchor="page2">
              <w:r>
                <w:rPr>
                  <w:rFonts w:ascii="Arial" w:cs="Arial" w:eastAsia="Arial" w:hAnsi="Arial"/>
                  <w:sz w:val="20"/>
                  <w:szCs w:val="20"/>
                  <w:color w:val="0000FF"/>
                  <w:w w:val="89"/>
                </w:rPr>
                <w:t>1</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8420" w:type="dxa"/>
            <w:vAlign w:val="bottom"/>
          </w:tcPr>
          <w:p>
            <w:pPr>
              <w:spacing w:after="0"/>
              <w:rPr>
                <w:sz w:val="20"/>
                <w:szCs w:val="20"/>
                <w:color w:val="auto"/>
              </w:rPr>
            </w:pPr>
            <w:r>
              <w:rPr>
                <w:rFonts w:ascii="Arial" w:cs="Arial" w:eastAsia="Arial" w:hAnsi="Arial"/>
                <w:sz w:val="20"/>
                <w:szCs w:val="20"/>
                <w:color w:val="auto"/>
              </w:rPr>
              <w:t>Financial Statements</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420" w:type="dxa"/>
            <w:vAlign w:val="bottom"/>
          </w:tcPr>
          <w:p>
            <w:pPr>
              <w:ind w:left="140"/>
              <w:spacing w:after="0"/>
              <w:rPr>
                <w:sz w:val="20"/>
                <w:szCs w:val="20"/>
                <w:color w:val="auto"/>
              </w:rPr>
            </w:pPr>
            <w:r>
              <w:rPr>
                <w:rFonts w:ascii="Arial" w:cs="Arial" w:eastAsia="Arial" w:hAnsi="Arial"/>
                <w:sz w:val="20"/>
                <w:szCs w:val="20"/>
                <w:color w:val="auto"/>
              </w:rPr>
              <w:t>Statement of Net Assets Available for Benefits as of December 31, 2020 and 2019</w:t>
            </w:r>
          </w:p>
        </w:tc>
        <w:tc>
          <w:tcPr>
            <w:tcW w:w="2100" w:type="dxa"/>
            <w:vAlign w:val="bottom"/>
            <w:gridSpan w:val="4"/>
          </w:tcPr>
          <w:p>
            <w:pPr>
              <w:jc w:val="center"/>
              <w:ind w:left="1901"/>
              <w:spacing w:after="0"/>
              <w:rPr>
                <w:rFonts w:ascii="Arial" w:cs="Arial" w:eastAsia="Arial" w:hAnsi="Arial"/>
                <w:sz w:val="20"/>
                <w:szCs w:val="20"/>
                <w:color w:val="0000FF"/>
                <w:w w:val="89"/>
              </w:rPr>
            </w:pPr>
            <w:hyperlink w:anchor="page3">
              <w:r>
                <w:rPr>
                  <w:rFonts w:ascii="Arial" w:cs="Arial" w:eastAsia="Arial" w:hAnsi="Arial"/>
                  <w:sz w:val="20"/>
                  <w:szCs w:val="20"/>
                  <w:color w:val="0000FF"/>
                  <w:w w:val="89"/>
                </w:rPr>
                <w:t>2</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ind w:left="140"/>
              <w:spacing w:after="0"/>
              <w:rPr>
                <w:sz w:val="20"/>
                <w:szCs w:val="20"/>
                <w:color w:val="auto"/>
              </w:rPr>
            </w:pPr>
            <w:r>
              <w:rPr>
                <w:rFonts w:ascii="Arial" w:cs="Arial" w:eastAsia="Arial" w:hAnsi="Arial"/>
                <w:sz w:val="20"/>
                <w:szCs w:val="20"/>
                <w:color w:val="auto"/>
              </w:rPr>
              <w:t>Statement of Changes in Net Assets Available for Benefits for the years ended</w:t>
            </w: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420" w:type="dxa"/>
            <w:vAlign w:val="bottom"/>
            <w:vMerge w:val="continue"/>
          </w:tcPr>
          <w:p>
            <w:pPr>
              <w:spacing w:after="0"/>
              <w:rPr>
                <w:sz w:val="24"/>
                <w:szCs w:val="24"/>
                <w:color w:val="auto"/>
              </w:rPr>
            </w:pPr>
          </w:p>
        </w:tc>
        <w:tc>
          <w:tcPr>
            <w:tcW w:w="2100" w:type="dxa"/>
            <w:vAlign w:val="bottom"/>
            <w:gridSpan w:val="4"/>
            <w:vMerge w:val="restart"/>
          </w:tcPr>
          <w:p>
            <w:pPr>
              <w:jc w:val="center"/>
              <w:ind w:left="1901"/>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3</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line="203" w:lineRule="exact"/>
              <w:rPr>
                <w:sz w:val="20"/>
                <w:szCs w:val="20"/>
                <w:color w:val="auto"/>
              </w:rPr>
            </w:pPr>
            <w:r>
              <w:rPr>
                <w:rFonts w:ascii="Arial" w:cs="Arial" w:eastAsia="Arial" w:hAnsi="Arial"/>
                <w:sz w:val="20"/>
                <w:szCs w:val="20"/>
                <w:color w:val="auto"/>
              </w:rPr>
              <w:t>December 31, 2020 and 2019</w:t>
            </w:r>
          </w:p>
        </w:tc>
        <w:tc>
          <w:tcPr>
            <w:tcW w:w="21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420" w:type="dxa"/>
            <w:vAlign w:val="bottom"/>
          </w:tcPr>
          <w:p>
            <w:pPr>
              <w:ind w:left="140"/>
              <w:spacing w:after="0"/>
              <w:rPr>
                <w:sz w:val="20"/>
                <w:szCs w:val="20"/>
                <w:color w:val="auto"/>
              </w:rPr>
            </w:pPr>
            <w:r>
              <w:rPr>
                <w:rFonts w:ascii="Arial" w:cs="Arial" w:eastAsia="Arial" w:hAnsi="Arial"/>
                <w:sz w:val="20"/>
                <w:szCs w:val="20"/>
                <w:color w:val="auto"/>
              </w:rPr>
              <w:t>Notes to Financial Statements</w:t>
            </w:r>
          </w:p>
        </w:tc>
        <w:tc>
          <w:tcPr>
            <w:tcW w:w="2340" w:type="dxa"/>
            <w:vAlign w:val="bottom"/>
            <w:gridSpan w:val="6"/>
          </w:tcPr>
          <w:p>
            <w:pPr>
              <w:jc w:val="center"/>
              <w:ind w:left="1641"/>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4 - 9</w:t>
              </w:r>
            </w:hyperlink>
          </w:p>
        </w:tc>
        <w:tc>
          <w:tcPr>
            <w:tcW w:w="0" w:type="dxa"/>
            <w:vAlign w:val="bottom"/>
          </w:tcPr>
          <w:p>
            <w:pPr>
              <w:spacing w:after="0"/>
              <w:rPr>
                <w:sz w:val="1"/>
                <w:szCs w:val="1"/>
                <w:color w:val="auto"/>
              </w:rPr>
            </w:pPr>
          </w:p>
        </w:tc>
      </w:tr>
      <w:tr>
        <w:trPr>
          <w:trHeight w:val="538"/>
        </w:trPr>
        <w:tc>
          <w:tcPr>
            <w:tcW w:w="842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420" w:type="dxa"/>
            <w:vAlign w:val="bottom"/>
          </w:tcPr>
          <w:p>
            <w:pPr>
              <w:spacing w:after="0"/>
              <w:rPr>
                <w:sz w:val="20"/>
                <w:szCs w:val="20"/>
                <w:color w:val="auto"/>
              </w:rPr>
            </w:pPr>
            <w:r>
              <w:rPr>
                <w:rFonts w:ascii="Arial" w:cs="Arial" w:eastAsia="Arial" w:hAnsi="Arial"/>
                <w:sz w:val="20"/>
                <w:szCs w:val="20"/>
                <w:color w:val="auto"/>
              </w:rPr>
              <w:t>Schedule H, Line 4i - Schedule of Assets (Held at End of Year)</w:t>
            </w:r>
          </w:p>
        </w:tc>
        <w:tc>
          <w:tcPr>
            <w:tcW w:w="1940" w:type="dxa"/>
            <w:vAlign w:val="bottom"/>
            <w:gridSpan w:val="2"/>
          </w:tcPr>
          <w:p>
            <w:pPr>
              <w:spacing w:after="0"/>
              <w:rPr>
                <w:sz w:val="24"/>
                <w:szCs w:val="24"/>
                <w:color w:val="auto"/>
              </w:rPr>
            </w:pPr>
          </w:p>
        </w:tc>
        <w:tc>
          <w:tcPr>
            <w:tcW w:w="280" w:type="dxa"/>
            <w:vAlign w:val="bottom"/>
            <w:gridSpan w:val="3"/>
          </w:tcPr>
          <w:p>
            <w:pPr>
              <w:jc w:val="center"/>
              <w:ind w:right="80"/>
              <w:spacing w:after="0"/>
              <w:rPr>
                <w:rFonts w:ascii="Arial" w:cs="Arial" w:eastAsia="Arial" w:hAnsi="Arial"/>
                <w:sz w:val="20"/>
                <w:szCs w:val="20"/>
                <w:color w:val="0000FF"/>
                <w:w w:val="89"/>
              </w:rPr>
            </w:pPr>
            <w:hyperlink w:anchor="page12">
              <w:r>
                <w:rPr>
                  <w:rFonts w:ascii="Arial" w:cs="Arial" w:eastAsia="Arial" w:hAnsi="Arial"/>
                  <w:sz w:val="20"/>
                  <w:szCs w:val="20"/>
                  <w:color w:val="0000FF"/>
                  <w:w w:val="89"/>
                </w:rPr>
                <w:t>10</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420" w:type="dxa"/>
            <w:vAlign w:val="bottom"/>
          </w:tcPr>
          <w:p>
            <w:pPr>
              <w:spacing w:after="0"/>
              <w:rPr>
                <w:sz w:val="20"/>
                <w:szCs w:val="20"/>
                <w:color w:val="auto"/>
              </w:rPr>
            </w:pPr>
            <w:r>
              <w:rPr>
                <w:rFonts w:ascii="Arial" w:cs="Arial" w:eastAsia="Arial" w:hAnsi="Arial"/>
                <w:sz w:val="20"/>
                <w:szCs w:val="20"/>
                <w:color w:val="auto"/>
              </w:rPr>
              <w:t>Exhibit Index</w:t>
            </w:r>
          </w:p>
        </w:tc>
        <w:tc>
          <w:tcPr>
            <w:tcW w:w="1940" w:type="dxa"/>
            <w:vAlign w:val="bottom"/>
            <w:gridSpan w:val="2"/>
          </w:tcPr>
          <w:p>
            <w:pPr>
              <w:spacing w:after="0"/>
              <w:rPr>
                <w:sz w:val="24"/>
                <w:szCs w:val="24"/>
                <w:color w:val="auto"/>
              </w:rPr>
            </w:pPr>
          </w:p>
        </w:tc>
        <w:tc>
          <w:tcPr>
            <w:tcW w:w="160" w:type="dxa"/>
            <w:vAlign w:val="bottom"/>
            <w:tcBorders>
              <w:top w:val="single" w:sz="8" w:color="0000FF"/>
            </w:tcBorders>
            <w:gridSpan w:val="2"/>
          </w:tcPr>
          <w:p>
            <w:pPr>
              <w:jc w:val="center"/>
              <w:spacing w:after="0"/>
              <w:rPr>
                <w:rFonts w:ascii="Arial" w:cs="Arial" w:eastAsia="Arial" w:hAnsi="Arial"/>
                <w:sz w:val="20"/>
                <w:szCs w:val="20"/>
                <w:color w:val="0000FF"/>
                <w:w w:val="89"/>
              </w:rPr>
            </w:pPr>
            <w:hyperlink w:anchor="page13">
              <w:r>
                <w:rPr>
                  <w:rFonts w:ascii="Arial" w:cs="Arial" w:eastAsia="Arial" w:hAnsi="Arial"/>
                  <w:sz w:val="20"/>
                  <w:szCs w:val="20"/>
                  <w:color w:val="0000FF"/>
                  <w:w w:val="89"/>
                </w:rPr>
                <w:t>11</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00" w:type="dxa"/>
            <w:vAlign w:val="bottom"/>
            <w:tcBorders>
              <w:right w:val="single" w:sz="8" w:color="0000FF"/>
            </w:tcBorders>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420" w:type="dxa"/>
            <w:vAlign w:val="bottom"/>
          </w:tcPr>
          <w:p>
            <w:pPr>
              <w:spacing w:after="0"/>
              <w:rPr>
                <w:sz w:val="20"/>
                <w:szCs w:val="20"/>
                <w:color w:val="auto"/>
              </w:rPr>
            </w:pPr>
            <w:r>
              <w:rPr>
                <w:rFonts w:ascii="Arial" w:cs="Arial" w:eastAsia="Arial" w:hAnsi="Arial"/>
                <w:sz w:val="20"/>
                <w:szCs w:val="20"/>
                <w:color w:val="auto"/>
              </w:rPr>
              <w:t>Signature</w:t>
            </w:r>
          </w:p>
        </w:tc>
        <w:tc>
          <w:tcPr>
            <w:tcW w:w="2100" w:type="dxa"/>
            <w:vAlign w:val="bottom"/>
            <w:gridSpan w:val="4"/>
          </w:tcPr>
          <w:p>
            <w:pPr>
              <w:jc w:val="center"/>
              <w:ind w:left="1801"/>
              <w:spacing w:after="0"/>
              <w:rPr>
                <w:rFonts w:ascii="Arial" w:cs="Arial" w:eastAsia="Arial" w:hAnsi="Arial"/>
                <w:sz w:val="20"/>
                <w:szCs w:val="20"/>
                <w:color w:val="0000FF"/>
                <w:w w:val="89"/>
              </w:rPr>
            </w:pPr>
            <w:hyperlink w:anchor="page13">
              <w:r>
                <w:rPr>
                  <w:rFonts w:ascii="Arial" w:cs="Arial" w:eastAsia="Arial" w:hAnsi="Arial"/>
                  <w:sz w:val="20"/>
                  <w:szCs w:val="20"/>
                  <w:color w:val="0000FF"/>
                  <w:w w:val="89"/>
                </w:rPr>
                <w:t>11</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hanging="172"/>
        <w:spacing w:after="0" w:line="277" w:lineRule="auto"/>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4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Crown Cork &amp; Seal Company, Inc. 401(k) Retirement Savings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audited the accompanying statement of net assets available for benefits of the Crown Cork &amp; Seal Company, Inc. 401(k) Retirement Savings Plan (the "Plan") as of December 31, 2020 and 2019,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2020 and 2019, and the changes in net assets available for benefits for the years then ended,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22"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56" w:lineRule="exact"/>
        <w:rPr>
          <w:sz w:val="20"/>
          <w:szCs w:val="20"/>
          <w:color w:val="auto"/>
        </w:rPr>
      </w:pPr>
    </w:p>
    <w:p>
      <w:pPr>
        <w:ind w:right="120"/>
        <w:spacing w:after="0" w:line="221"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2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supplemental Schedule H, Line 4i – Schedule of Assets (Held at End of Year) as of December 31, 2020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forms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/s/ Baker Tilly Virchow Krause,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Plan's auditor since 2005.</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June 16, 2021</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86" w:right="339" w:bottom="1440" w:gutter="0" w:footer="0" w:header="0"/>
        </w:sectPr>
      </w:pPr>
    </w:p>
    <w:bookmarkStart w:id="3" w:name="page4"/>
    <w:bookmarkEnd w:id="3"/>
    <w:p>
      <w:pPr>
        <w:ind w:left="440"/>
        <w:spacing w:after="0"/>
        <w:rPr>
          <w:sz w:val="20"/>
          <w:szCs w:val="20"/>
          <w:color w:val="auto"/>
        </w:rPr>
      </w:pPr>
      <w:r>
        <w:rPr>
          <w:rFonts w:ascii="Arial" w:cs="Arial" w:eastAsia="Arial" w:hAnsi="Arial"/>
          <w:sz w:val="22"/>
          <w:szCs w:val="22"/>
          <w:b w:val="1"/>
          <w:bCs w:val="1"/>
          <w:color w:val="auto"/>
        </w:rPr>
        <w:t>CROWN CORK &amp; SEAL COMPANY, INC.</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401(k) RETIREMENT SAVINGS PLAN</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17" w:lineRule="exact"/>
        <w:rPr>
          <w:sz w:val="20"/>
          <w:szCs w:val="20"/>
          <w:color w:val="auto"/>
        </w:rPr>
      </w:pPr>
    </w:p>
    <w:tbl>
      <w:tblPr>
        <w:tblLayout w:type="fixed"/>
        <w:tblInd w:w="420" w:type="dxa"/>
        <w:tblCellMar>
          <w:top w:w="0" w:type="dxa"/>
          <w:left w:w="0" w:type="dxa"/>
          <w:bottom w:w="0" w:type="dxa"/>
          <w:right w:w="0" w:type="dxa"/>
        </w:tblCellMar>
      </w:tblPr>
      <w:tr>
        <w:trPr>
          <w:trHeight w:val="260"/>
        </w:trPr>
        <w:tc>
          <w:tcPr>
            <w:tcW w:w="60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Borders>
              <w:top w:val="single" w:sz="8" w:color="auto"/>
              <w:bottom w:val="single" w:sz="8" w:color="auto"/>
            </w:tcBorders>
          </w:tcPr>
          <w:p>
            <w:pPr>
              <w:spacing w:after="0"/>
              <w:rPr>
                <w:sz w:val="22"/>
                <w:szCs w:val="22"/>
                <w:color w:val="auto"/>
              </w:rPr>
            </w:pPr>
          </w:p>
        </w:tc>
      </w:tr>
      <w:tr>
        <w:trPr>
          <w:trHeight w:val="250"/>
        </w:trPr>
        <w:tc>
          <w:tcPr>
            <w:tcW w:w="60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2020</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2019</w:t>
            </w: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Baird Core Plus Bond Fund</w:t>
            </w:r>
          </w:p>
        </w:tc>
        <w:tc>
          <w:tcPr>
            <w:tcW w:w="300" w:type="dxa"/>
            <w:vAlign w:val="bottom"/>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14,109,759</w:t>
            </w:r>
          </w:p>
        </w:tc>
        <w:tc>
          <w:tcPr>
            <w:tcW w:w="1300" w:type="dxa"/>
            <w:vAlign w:val="bottom"/>
          </w:tcPr>
          <w:p>
            <w:pPr>
              <w:spacing w:after="0"/>
              <w:rPr>
                <w:sz w:val="21"/>
                <w:szCs w:val="21"/>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10,855,414</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DFA Emerging Markets Core Equity Portfolio</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581,467</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353,344</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DFA US Targeted Value Portfolio</w:t>
            </w: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413,121</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456,500</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HSBC Opportunity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13,779,853</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12,223,739</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JPMorgan Intrepid Value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4,604,234</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5,012,688</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 Rowe Price International Discovery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607,616</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306,848</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Developed Markets Index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3,177,359</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2,135,039</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International Growth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16,213,850</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11,960,066</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Cash Reserve Federal Money Market Fund</w:t>
            </w: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130,351</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Prime Money Market Fund</w:t>
            </w:r>
          </w:p>
        </w:tc>
        <w:tc>
          <w:tcPr>
            <w:tcW w:w="30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right"/>
              <w:ind w:right="138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128,667</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2015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3,845,776</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3,738,366</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2020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5,244,490</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7,190,537</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2025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12,039,250</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10,559,009</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2030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8,910,751</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7,306,743</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2035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9,174,318</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7,076,974</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2040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5,803,625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4,454,330</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2045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7,418,332</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5,303,471</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2050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4,608,115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2,938,565</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2055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3,296,220</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2,149,065</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2060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703,615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309,470</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Target Retirement 2065 Fund</w:t>
            </w: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20"/>
                <w:szCs w:val="20"/>
                <w:color w:val="auto"/>
              </w:rPr>
              <w:t>919,094</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42,067</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Target Retirement Income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1,979,447</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1,267,999</w:t>
            </w:r>
          </w:p>
        </w:tc>
      </w:tr>
      <w:tr>
        <w:trPr>
          <w:trHeight w:val="243"/>
        </w:trPr>
        <w:tc>
          <w:tcPr>
            <w:tcW w:w="6000" w:type="dxa"/>
            <w:vAlign w:val="bottom"/>
          </w:tcPr>
          <w:p>
            <w:pPr>
              <w:ind w:left="140"/>
              <w:spacing w:after="0"/>
              <w:rPr>
                <w:sz w:val="20"/>
                <w:szCs w:val="20"/>
                <w:color w:val="auto"/>
              </w:rPr>
            </w:pPr>
            <w:r>
              <w:rPr>
                <w:rFonts w:ascii="Arial" w:cs="Arial" w:eastAsia="Arial" w:hAnsi="Arial"/>
                <w:sz w:val="20"/>
                <w:szCs w:val="20"/>
                <w:color w:val="auto"/>
              </w:rPr>
              <w:t>Vanguard Total Stock Market Index Fund</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57,880,953</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51,631,043</w:t>
            </w:r>
          </w:p>
        </w:tc>
      </w:tr>
      <w:tr>
        <w:trPr>
          <w:trHeight w:val="243"/>
        </w:trPr>
        <w:tc>
          <w:tcPr>
            <w:tcW w:w="60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Vanguard U.S. Growth Fund</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7,430,235</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5,620,930</w:t>
            </w:r>
          </w:p>
        </w:tc>
      </w:tr>
      <w:tr>
        <w:trPr>
          <w:trHeight w:val="243"/>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Vanguard Wellington Fund</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18,210,792</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17,019,099</w:t>
            </w:r>
          </w:p>
        </w:tc>
      </w:tr>
      <w:tr>
        <w:trPr>
          <w:trHeight w:val="236"/>
        </w:trPr>
        <w:tc>
          <w:tcPr>
            <w:tcW w:w="6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201,082,623</w:t>
            </w:r>
          </w:p>
        </w:tc>
        <w:tc>
          <w:tcPr>
            <w:tcW w:w="1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170,039,973</w:t>
            </w: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43,848,352</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41,391,667</w:t>
            </w: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Crown Holdings, Inc. Stock Fund</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22,070,892</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18,848,572</w:t>
            </w:r>
          </w:p>
        </w:tc>
      </w:tr>
      <w:tr>
        <w:trPr>
          <w:trHeight w:val="236"/>
        </w:trPr>
        <w:tc>
          <w:tcPr>
            <w:tcW w:w="6000" w:type="dxa"/>
            <w:vAlign w:val="bottom"/>
            <w:shd w:val="clear" w:color="auto" w:fill="CCEEFF"/>
          </w:tcPr>
          <w:p>
            <w:pPr>
              <w:ind w:left="820"/>
              <w:spacing w:after="0"/>
              <w:rPr>
                <w:sz w:val="20"/>
                <w:szCs w:val="20"/>
                <w:color w:val="auto"/>
              </w:rPr>
            </w:pPr>
            <w:r>
              <w:rPr>
                <w:rFonts w:ascii="Arial" w:cs="Arial" w:eastAsia="Arial" w:hAnsi="Arial"/>
                <w:sz w:val="20"/>
                <w:szCs w:val="20"/>
                <w:b w:val="1"/>
                <w:bCs w:val="1"/>
                <w:color w:val="auto"/>
              </w:rPr>
              <w:t>Total investments, at fair value</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267,001,867</w:t>
            </w:r>
          </w:p>
        </w:tc>
        <w:tc>
          <w:tcPr>
            <w:tcW w:w="13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230,280,212</w:t>
            </w:r>
          </w:p>
        </w:tc>
      </w:tr>
      <w:tr>
        <w:trPr>
          <w:trHeight w:val="196"/>
        </w:trPr>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Receivables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4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Notes receivable from participants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3,327,100</w:t>
            </w:r>
          </w:p>
        </w:tc>
        <w:tc>
          <w:tcPr>
            <w:tcW w:w="13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3,320,619</w:t>
            </w:r>
          </w:p>
        </w:tc>
      </w:tr>
      <w:tr>
        <w:trPr>
          <w:trHeight w:val="237"/>
        </w:trPr>
        <w:tc>
          <w:tcPr>
            <w:tcW w:w="6000" w:type="dxa"/>
            <w:vAlign w:val="bottom"/>
            <w:shd w:val="clear" w:color="auto" w:fill="CCEEFF"/>
          </w:tcPr>
          <w:p>
            <w:pPr>
              <w:ind w:left="860"/>
              <w:spacing w:after="0"/>
              <w:rPr>
                <w:sz w:val="20"/>
                <w:szCs w:val="20"/>
                <w:color w:val="auto"/>
              </w:rPr>
            </w:pPr>
            <w:r>
              <w:rPr>
                <w:rFonts w:ascii="Arial" w:cs="Arial" w:eastAsia="Arial" w:hAnsi="Arial"/>
                <w:sz w:val="20"/>
                <w:szCs w:val="20"/>
                <w:b w:val="1"/>
                <w:bCs w:val="1"/>
                <w:color w:val="auto"/>
              </w:rPr>
              <w:t>Total receivables</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3,327,100</w:t>
            </w:r>
          </w:p>
        </w:tc>
        <w:tc>
          <w:tcPr>
            <w:tcW w:w="13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3,320,619</w:t>
            </w:r>
          </w:p>
        </w:tc>
      </w:tr>
      <w:tr>
        <w:trPr>
          <w:trHeight w:val="196"/>
        </w:trPr>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6000" w:type="dxa"/>
            <w:vAlign w:val="bottom"/>
            <w:shd w:val="clear" w:color="auto" w:fill="CCEEFF"/>
          </w:tcPr>
          <w:p>
            <w:pPr>
              <w:ind w:left="820"/>
              <w:spacing w:after="0"/>
              <w:rPr>
                <w:sz w:val="20"/>
                <w:szCs w:val="20"/>
                <w:color w:val="auto"/>
              </w:rPr>
            </w:pPr>
            <w:r>
              <w:rPr>
                <w:rFonts w:ascii="Arial" w:cs="Arial" w:eastAsia="Arial" w:hAnsi="Arial"/>
                <w:sz w:val="20"/>
                <w:szCs w:val="20"/>
                <w:b w:val="1"/>
                <w:bCs w:val="1"/>
                <w:color w:val="auto"/>
              </w:rPr>
              <w:t>Total assets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270,328,967</w:t>
            </w: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233,600,831</w:t>
            </w:r>
          </w:p>
        </w:tc>
      </w:tr>
      <w:tr>
        <w:trPr>
          <w:trHeight w:val="216"/>
        </w:trPr>
        <w:tc>
          <w:tcPr>
            <w:tcW w:w="6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LIABILITIES</w:t>
            </w:r>
          </w:p>
        </w:tc>
        <w:tc>
          <w:tcPr>
            <w:tcW w:w="30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center"/>
              <w:ind w:right="1620"/>
              <w:spacing w:after="0"/>
              <w:rPr>
                <w:sz w:val="20"/>
                <w:szCs w:val="20"/>
                <w:color w:val="auto"/>
              </w:rPr>
            </w:pPr>
            <w:r>
              <w:rPr>
                <w:rFonts w:ascii="Arial" w:cs="Arial" w:eastAsia="Arial" w:hAnsi="Arial"/>
                <w:sz w:val="20"/>
                <w:szCs w:val="20"/>
                <w:color w:val="auto"/>
                <w:w w:val="89"/>
              </w:rPr>
              <w: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ind w:right="221"/>
              <w:spacing w:after="0"/>
              <w:rPr>
                <w:sz w:val="20"/>
                <w:szCs w:val="20"/>
                <w:color w:val="auto"/>
              </w:rPr>
            </w:pPr>
            <w:r>
              <w:rPr>
                <w:rFonts w:ascii="Arial" w:cs="Arial" w:eastAsia="Arial" w:hAnsi="Arial"/>
                <w:sz w:val="20"/>
                <w:szCs w:val="20"/>
                <w:color w:val="auto"/>
                <w:w w:val="99"/>
              </w:rPr>
              <w:t>—</w:t>
            </w:r>
          </w:p>
        </w:tc>
      </w:tr>
      <w:tr>
        <w:trPr>
          <w:trHeight w:val="216"/>
        </w:trPr>
        <w:tc>
          <w:tcPr>
            <w:tcW w:w="6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6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270,328,967</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233,600,831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840"/>
          </w:cols>
          <w:pgMar w:left="320" w:top="1260" w:right="739" w:bottom="1440" w:gutter="0" w:footer="0" w:header="0"/>
        </w:sectPr>
      </w:pP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840"/>
          </w:cols>
          <w:pgMar w:left="320" w:top="1260" w:right="739" w:bottom="1440" w:gutter="0" w:footer="0" w:header="0"/>
          <w:type w:val="continuous"/>
        </w:sectPr>
      </w:pPr>
    </w:p>
    <w:bookmarkStart w:id="4" w:name="page5"/>
    <w:bookmarkEnd w:id="4"/>
    <w:p>
      <w:pPr>
        <w:ind w:left="320"/>
        <w:spacing w:after="0"/>
        <w:rPr>
          <w:sz w:val="20"/>
          <w:szCs w:val="20"/>
          <w:color w:val="auto"/>
        </w:rPr>
      </w:pPr>
      <w:r>
        <w:rPr>
          <w:rFonts w:ascii="Arial" w:cs="Arial" w:eastAsia="Arial" w:hAnsi="Arial"/>
          <w:sz w:val="22"/>
          <w:szCs w:val="22"/>
          <w:b w:val="1"/>
          <w:bCs w:val="1"/>
          <w:color w:val="auto"/>
        </w:rPr>
        <w:t>CROWN CORK &amp; SEAL COMPANY, INC.</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401(k) RETIREMENT SAVINGS PLAN</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17" w:lineRule="exact"/>
        <w:rPr>
          <w:sz w:val="20"/>
          <w:szCs w:val="20"/>
          <w:color w:val="auto"/>
        </w:rPr>
      </w:pPr>
    </w:p>
    <w:tbl>
      <w:tblPr>
        <w:tblLayout w:type="fixed"/>
        <w:tblInd w:w="300" w:type="dxa"/>
        <w:tblCellMar>
          <w:top w:w="0" w:type="dxa"/>
          <w:left w:w="0" w:type="dxa"/>
          <w:bottom w:w="0" w:type="dxa"/>
          <w:right w:w="0" w:type="dxa"/>
        </w:tblCellMar>
      </w:tblPr>
      <w:tr>
        <w:trPr>
          <w:trHeight w:val="261"/>
        </w:trPr>
        <w:tc>
          <w:tcPr>
            <w:tcW w:w="60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4280" w:type="dxa"/>
            <w:vAlign w:val="bottom"/>
            <w:tcBorders>
              <w:top w:val="single" w:sz="8" w:color="auto"/>
              <w:bottom w:val="single" w:sz="8" w:color="auto"/>
            </w:tcBorders>
            <w:gridSpan w:val="4"/>
          </w:tcPr>
          <w:p>
            <w:pPr>
              <w:jc w:val="right"/>
              <w:ind w:right="801"/>
              <w:spacing w:after="0"/>
              <w:rPr>
                <w:sz w:val="20"/>
                <w:szCs w:val="20"/>
                <w:color w:val="auto"/>
              </w:rPr>
            </w:pPr>
            <w:r>
              <w:rPr>
                <w:rFonts w:ascii="Arial" w:cs="Arial" w:eastAsia="Arial" w:hAnsi="Arial"/>
                <w:sz w:val="20"/>
                <w:szCs w:val="20"/>
                <w:b w:val="1"/>
                <w:bCs w:val="1"/>
                <w:color w:val="auto"/>
              </w:rPr>
              <w:t>For the Year Ended December 31,</w:t>
            </w:r>
          </w:p>
        </w:tc>
      </w:tr>
      <w:tr>
        <w:trPr>
          <w:trHeight w:val="250"/>
        </w:trPr>
        <w:tc>
          <w:tcPr>
            <w:tcW w:w="60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2020</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2019</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Additions: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20"/>
                <w:szCs w:val="20"/>
                <w:color w:val="auto"/>
              </w:rPr>
              <w:t>Investment income:</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0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Interest and dividend income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7,032,409</w:t>
            </w: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6,421,612</w:t>
            </w:r>
          </w:p>
        </w:tc>
      </w:tr>
      <w:tr>
        <w:trPr>
          <w:trHeight w:val="243"/>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Net appreciation in fair value of investments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33,972,595</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38,733,888</w:t>
            </w:r>
          </w:p>
        </w:tc>
      </w:tr>
      <w:tr>
        <w:trPr>
          <w:trHeight w:val="237"/>
        </w:trPr>
        <w:tc>
          <w:tcPr>
            <w:tcW w:w="6020" w:type="dxa"/>
            <w:vAlign w:val="bottom"/>
            <w:shd w:val="clear" w:color="auto" w:fill="CCEEFF"/>
          </w:tcPr>
          <w:p>
            <w:pPr>
              <w:ind w:left="1000"/>
              <w:spacing w:after="0"/>
              <w:rPr>
                <w:sz w:val="20"/>
                <w:szCs w:val="20"/>
                <w:color w:val="auto"/>
              </w:rPr>
            </w:pPr>
            <w:r>
              <w:rPr>
                <w:rFonts w:ascii="Arial" w:cs="Arial" w:eastAsia="Arial" w:hAnsi="Arial"/>
                <w:sz w:val="20"/>
                <w:szCs w:val="20"/>
                <w:b w:val="1"/>
                <w:bCs w:val="1"/>
                <w:color w:val="auto"/>
              </w:rPr>
              <w:t>Total investment income</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41,005,004</w:t>
            </w:r>
          </w:p>
        </w:tc>
        <w:tc>
          <w:tcPr>
            <w:tcW w:w="13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45,155,500</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185,558</w:t>
            </w:r>
          </w:p>
        </w:tc>
        <w:tc>
          <w:tcPr>
            <w:tcW w:w="13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166,639</w:t>
            </w:r>
          </w:p>
        </w:tc>
      </w:tr>
      <w:tr>
        <w:trPr>
          <w:trHeight w:val="237"/>
        </w:trPr>
        <w:tc>
          <w:tcPr>
            <w:tcW w:w="6020" w:type="dxa"/>
            <w:vAlign w:val="bottom"/>
            <w:tcBorders>
              <w:bottom w:val="single" w:sz="8" w:color="CCEEFF"/>
            </w:tcBorders>
          </w:tcPr>
          <w:p>
            <w:pPr>
              <w:ind w:left="1000"/>
              <w:spacing w:after="0"/>
              <w:rPr>
                <w:sz w:val="20"/>
                <w:szCs w:val="20"/>
                <w:color w:val="auto"/>
              </w:rPr>
            </w:pPr>
            <w:r>
              <w:rPr>
                <w:rFonts w:ascii="Arial" w:cs="Arial" w:eastAsia="Arial" w:hAnsi="Arial"/>
                <w:sz w:val="20"/>
                <w:szCs w:val="20"/>
                <w:b w:val="1"/>
                <w:bCs w:val="1"/>
                <w:color w:val="auto"/>
              </w:rPr>
              <w:t>Total interest income, notes receivable</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185,558</w:t>
            </w:r>
          </w:p>
        </w:tc>
        <w:tc>
          <w:tcPr>
            <w:tcW w:w="1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166,639</w:t>
            </w:r>
          </w:p>
        </w:tc>
      </w:tr>
      <w:tr>
        <w:trPr>
          <w:trHeight w:val="250"/>
        </w:trPr>
        <w:tc>
          <w:tcPr>
            <w:tcW w:w="6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20"/>
                <w:szCs w:val="20"/>
                <w:color w:val="auto"/>
              </w:rPr>
              <w:t>Contributions:</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020" w:type="dxa"/>
            <w:vAlign w:val="bottom"/>
            <w:shd w:val="clear" w:color="auto" w:fill="CCEEFF"/>
          </w:tcPr>
          <w:p>
            <w:pPr>
              <w:ind w:left="300"/>
              <w:spacing w:after="0"/>
              <w:rPr>
                <w:sz w:val="20"/>
                <w:szCs w:val="20"/>
                <w:color w:val="auto"/>
              </w:rPr>
            </w:pPr>
            <w:r>
              <w:rPr>
                <w:rFonts w:ascii="Arial" w:cs="Arial" w:eastAsia="Arial" w:hAnsi="Arial"/>
                <w:sz w:val="20"/>
                <w:szCs w:val="20"/>
                <w:color w:val="auto"/>
              </w:rPr>
              <w:t>Employer</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2,356,334</w:t>
            </w: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1,765,655</w:t>
            </w:r>
          </w:p>
        </w:tc>
      </w:tr>
      <w:tr>
        <w:trPr>
          <w:trHeight w:val="243"/>
        </w:trPr>
        <w:tc>
          <w:tcPr>
            <w:tcW w:w="6020" w:type="dxa"/>
            <w:vAlign w:val="bottom"/>
            <w:tcBorders>
              <w:bottom w:val="single" w:sz="8" w:color="CCEEFF"/>
            </w:tcBorders>
          </w:tcPr>
          <w:p>
            <w:pPr>
              <w:ind w:left="300"/>
              <w:spacing w:after="0"/>
              <w:rPr>
                <w:sz w:val="20"/>
                <w:szCs w:val="20"/>
                <w:color w:val="auto"/>
              </w:rPr>
            </w:pPr>
            <w:r>
              <w:rPr>
                <w:rFonts w:ascii="Arial" w:cs="Arial" w:eastAsia="Arial" w:hAnsi="Arial"/>
                <w:sz w:val="20"/>
                <w:szCs w:val="20"/>
                <w:color w:val="auto"/>
              </w:rPr>
              <w:t>Participant</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12,019,885</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10,455,329</w:t>
            </w:r>
          </w:p>
        </w:tc>
      </w:tr>
      <w:tr>
        <w:trPr>
          <w:trHeight w:val="237"/>
        </w:trPr>
        <w:tc>
          <w:tcPr>
            <w:tcW w:w="6020" w:type="dxa"/>
            <w:vAlign w:val="bottom"/>
            <w:shd w:val="clear" w:color="auto" w:fill="CCEEFF"/>
          </w:tcPr>
          <w:p>
            <w:pPr>
              <w:ind w:left="1000"/>
              <w:spacing w:after="0"/>
              <w:rPr>
                <w:sz w:val="20"/>
                <w:szCs w:val="20"/>
                <w:color w:val="auto"/>
              </w:rPr>
            </w:pPr>
            <w:r>
              <w:rPr>
                <w:rFonts w:ascii="Arial" w:cs="Arial" w:eastAsia="Arial" w:hAnsi="Arial"/>
                <w:sz w:val="20"/>
                <w:szCs w:val="20"/>
                <w:b w:val="1"/>
                <w:bCs w:val="1"/>
                <w:color w:val="auto"/>
              </w:rPr>
              <w:t>Total contributions</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14,376,219</w:t>
            </w:r>
          </w:p>
        </w:tc>
        <w:tc>
          <w:tcPr>
            <w:tcW w:w="13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12,220,984</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additions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8,618</w:t>
            </w:r>
          </w:p>
        </w:tc>
        <w:tc>
          <w:tcPr>
            <w:tcW w:w="13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14,477</w:t>
            </w:r>
          </w:p>
        </w:tc>
      </w:tr>
      <w:tr>
        <w:trPr>
          <w:trHeight w:val="237"/>
        </w:trPr>
        <w:tc>
          <w:tcPr>
            <w:tcW w:w="6020" w:type="dxa"/>
            <w:vAlign w:val="bottom"/>
            <w:tcBorders>
              <w:bottom w:val="single" w:sz="8" w:color="CCEEFF"/>
            </w:tcBorders>
          </w:tcPr>
          <w:p>
            <w:pPr>
              <w:ind w:left="1000"/>
              <w:spacing w:after="0"/>
              <w:rPr>
                <w:sz w:val="20"/>
                <w:szCs w:val="20"/>
                <w:color w:val="auto"/>
              </w:rPr>
            </w:pPr>
            <w:r>
              <w:rPr>
                <w:rFonts w:ascii="Arial" w:cs="Arial" w:eastAsia="Arial" w:hAnsi="Arial"/>
                <w:sz w:val="20"/>
                <w:szCs w:val="20"/>
                <w:b w:val="1"/>
                <w:bCs w:val="1"/>
                <w:color w:val="auto"/>
              </w:rPr>
              <w:t>Total additions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55,575,399</w:t>
            </w:r>
          </w:p>
        </w:tc>
        <w:tc>
          <w:tcPr>
            <w:tcW w:w="1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57,557,600</w:t>
            </w:r>
          </w:p>
        </w:tc>
      </w:tr>
      <w:tr>
        <w:trPr>
          <w:trHeight w:val="250"/>
        </w:trPr>
        <w:tc>
          <w:tcPr>
            <w:tcW w:w="6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Benefits paid to participants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18,655,956</w:t>
            </w: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17,102,724</w:t>
            </w:r>
          </w:p>
        </w:tc>
      </w:tr>
      <w:tr>
        <w:trPr>
          <w:trHeight w:val="24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Administrative expenses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191,307</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172,062</w:t>
            </w:r>
          </w:p>
        </w:tc>
      </w:tr>
      <w:tr>
        <w:trPr>
          <w:trHeight w:val="237"/>
        </w:trPr>
        <w:tc>
          <w:tcPr>
            <w:tcW w:w="6020" w:type="dxa"/>
            <w:vAlign w:val="bottom"/>
            <w:shd w:val="clear" w:color="auto" w:fill="CCEEFF"/>
          </w:tcPr>
          <w:p>
            <w:pPr>
              <w:ind w:left="1000"/>
              <w:spacing w:after="0"/>
              <w:rPr>
                <w:sz w:val="20"/>
                <w:szCs w:val="20"/>
                <w:color w:val="auto"/>
              </w:rPr>
            </w:pPr>
            <w:r>
              <w:rPr>
                <w:rFonts w:ascii="Arial" w:cs="Arial" w:eastAsia="Arial" w:hAnsi="Arial"/>
                <w:sz w:val="20"/>
                <w:szCs w:val="20"/>
                <w:b w:val="1"/>
                <w:bCs w:val="1"/>
                <w:color w:val="auto"/>
              </w:rPr>
              <w:t>Total deductions</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18,847,263</w:t>
            </w:r>
          </w:p>
        </w:tc>
        <w:tc>
          <w:tcPr>
            <w:tcW w:w="13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17,274,786</w:t>
            </w:r>
          </w:p>
        </w:tc>
      </w:tr>
      <w:tr>
        <w:trPr>
          <w:trHeight w:val="250"/>
        </w:trPr>
        <w:tc>
          <w:tcPr>
            <w:tcW w:w="6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36,728,136</w:t>
            </w: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40,282,814</w:t>
            </w:r>
          </w:p>
        </w:tc>
      </w:tr>
      <w:tr>
        <w:trPr>
          <w:trHeight w:val="270"/>
        </w:trPr>
        <w:tc>
          <w:tcPr>
            <w:tcW w:w="6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3"/>
        </w:trPr>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20"/>
                <w:szCs w:val="20"/>
                <w:color w:val="auto"/>
              </w:rPr>
              <w:t>Beginning of year</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233,600,831</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193,318,017</w:t>
            </w:r>
          </w:p>
        </w:tc>
      </w:tr>
      <w:tr>
        <w:trPr>
          <w:trHeight w:val="262"/>
        </w:trPr>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End of year</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270,328,967</w:t>
            </w:r>
          </w:p>
        </w:tc>
        <w:tc>
          <w:tcPr>
            <w:tcW w:w="1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233,600,831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960"/>
          </w:cols>
          <w:pgMar w:left="320" w:top="101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960"/>
          </w:cols>
          <w:pgMar w:left="320" w:top="1017" w:right="6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The Plan is subject to the provisions of the Employee Retirement Income Security Act of 1974 (“ERISA”).</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Plan has two contribution components: a participant salary deferral 401(k) component and a Company matching contribution component. The Plan allows before-tax participant contributions of 2% to 75% of eligible compensation. The Plan also allows after-tax participant contributions of 1% to 10% of eligible compensation. Contributions may be matched by the Company at various rates as determined by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Each participant's account is credited with the participant's contributions and allocation of (a) the Company's contribution and (b) Plan earnings, and charged with an allocation of any administrative fees. Allocations are based on participant earnings or account balances, as defined. The benefit to which a participant is entitled is the benefit that can be provided from the participant's vested account.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Participants are immediately vested in their contributions plus actual earnings thereon. Vesting in the Company's contribution plus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2020 and 2019 range from 4.25% to 6.50%. Principal and interest are paid ratably through monthly payroll deductions. A participant may not have more than two outstanding notes receivable at any one time.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When certain terminations of participation in the Plan occur, the non-vested portion of the participant's account, as defined, represents a forfeiture. Total unallocated forfeitures, which will be used to reduce future Company contributions, were $0 and $7,641 at December 31, 2020 and 2019, respectively. Forfeitures used to offset Company contributions in 2020 and 2019 totaled $60,201 and $79,382,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2"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pacing w:after="0" w:line="174"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2020 and 2019.</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Recordkeeping expenses and fees related to the administration of notes receivable from participants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Standards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Fair Value Measurement</w:t>
      </w:r>
      <w:r>
        <w:rPr>
          <w:rFonts w:ascii="Arial" w:cs="Arial" w:eastAsia="Arial" w:hAnsi="Arial"/>
          <w:sz w:val="18"/>
          <w:szCs w:val="18"/>
          <w:color w:val="auto"/>
        </w:rPr>
        <w:t>. ASU No. 2018-13 modified the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fair value measurements in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The amendments are based on the concepts in the FASB Concepts Statement, </w:t>
      </w:r>
      <w:r>
        <w:rPr>
          <w:rFonts w:ascii="Arial" w:cs="Arial" w:eastAsia="Arial" w:hAnsi="Arial"/>
          <w:sz w:val="18"/>
          <w:szCs w:val="18"/>
          <w:i w:val="1"/>
          <w:iCs w:val="1"/>
          <w:color w:val="auto"/>
        </w:rPr>
        <w:t>Conceptual Framework for Financial Reporting-Chapter 8: Notes to Financial Statements</w:t>
      </w:r>
      <w:r>
        <w:rPr>
          <w:rFonts w:ascii="Arial" w:cs="Arial" w:eastAsia="Arial" w:hAnsi="Arial"/>
          <w:sz w:val="18"/>
          <w:szCs w:val="18"/>
          <w:color w:val="auto"/>
        </w:rPr>
        <w:t>, which the FASB finalized on August 28, 2018. The Plan adopted this ASU on January 1, 2020. The guidance did not have a material impact on the Plan’s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21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204" w:lineRule="exact"/>
        <w:rPr>
          <w:sz w:val="20"/>
          <w:szCs w:val="20"/>
          <w:color w:val="auto"/>
        </w:rPr>
      </w:pPr>
    </w:p>
    <w:p>
      <w:pPr>
        <w:ind w:left="660" w:hanging="419"/>
        <w:spacing w:after="0" w:line="26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204"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identical or similar assets or liabilities in inactive markets;</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13"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86"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372"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4"/>
          </w:tcPr>
          <w:p>
            <w:pPr>
              <w:ind w:left="240"/>
              <w:spacing w:after="0"/>
              <w:rPr>
                <w:sz w:val="20"/>
                <w:szCs w:val="20"/>
                <w:color w:val="auto"/>
              </w:rPr>
            </w:pPr>
            <w:r>
              <w:rPr>
                <w:rFonts w:ascii="Arial" w:cs="Arial" w:eastAsia="Arial" w:hAnsi="Arial"/>
                <w:sz w:val="20"/>
                <w:szCs w:val="20"/>
                <w:b w:val="1"/>
                <w:bCs w:val="1"/>
                <w:color w:val="auto"/>
              </w:rPr>
              <w:t>Assets at Fair Value as of December 31, 2020</w:t>
            </w:r>
          </w:p>
        </w:tc>
      </w:tr>
      <w:tr>
        <w:trPr>
          <w:trHeight w:val="236"/>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2"/>
          </w:tcPr>
          <w:p>
            <w:pPr>
              <w:ind w:left="26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0"/>
                <w:szCs w:val="20"/>
                <w:color w:val="auto"/>
              </w:rPr>
            </w:pPr>
          </w:p>
        </w:tc>
        <w:tc>
          <w:tcPr>
            <w:tcW w:w="1400" w:type="dxa"/>
            <w:vAlign w:val="bottom"/>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7"/>
        </w:trPr>
        <w:tc>
          <w:tcPr>
            <w:tcW w:w="49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0"/>
                <w:szCs w:val="20"/>
                <w:color w:val="auto"/>
              </w:rPr>
              <w:t>Registered investment companies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201,082,623</w:t>
            </w:r>
          </w:p>
        </w:tc>
        <w:tc>
          <w:tcPr>
            <w:tcW w:w="1320" w:type="dxa"/>
            <w:vAlign w:val="bottom"/>
          </w:tcPr>
          <w:p>
            <w:pPr>
              <w:spacing w:after="0"/>
              <w:rPr>
                <w:sz w:val="21"/>
                <w:szCs w:val="21"/>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201,082,623</w:t>
            </w: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20"/>
                <w:szCs w:val="20"/>
                <w:color w:val="auto"/>
              </w:rPr>
              <w:t>Company common stock fund</w:t>
            </w: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22,070,892</w:t>
            </w:r>
          </w:p>
        </w:tc>
        <w:tc>
          <w:tcPr>
            <w:tcW w:w="13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22,070,892</w:t>
            </w:r>
          </w:p>
        </w:tc>
      </w:t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8"/>
        </w:trPr>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 in fair value hierarchy</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223,153,515</w:t>
            </w:r>
          </w:p>
        </w:tc>
        <w:tc>
          <w:tcPr>
            <w:tcW w:w="1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223,153,515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20"/>
                <w:szCs w:val="20"/>
                <w:color w:val="auto"/>
              </w:rPr>
              <w:t>Investments measured at net asset value (a)</w:t>
            </w: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43,848,352</w:t>
            </w:r>
          </w:p>
        </w:tc>
      </w:t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8"/>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Investments at fair value</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267,001,867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700" w:type="dxa"/>
        <w:tblCellMar>
          <w:top w:w="0" w:type="dxa"/>
          <w:left w:w="0" w:type="dxa"/>
          <w:bottom w:w="0" w:type="dxa"/>
          <w:right w:w="0" w:type="dxa"/>
        </w:tblCellMar>
      </w:tblPr>
      <w:tr>
        <w:trPr>
          <w:trHeight w:val="252"/>
        </w:trPr>
        <w:tc>
          <w:tcPr>
            <w:tcW w:w="49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gridSpan w:val="4"/>
          </w:tcPr>
          <w:p>
            <w:pPr>
              <w:ind w:left="240"/>
              <w:spacing w:after="0"/>
              <w:rPr>
                <w:sz w:val="20"/>
                <w:szCs w:val="20"/>
                <w:color w:val="auto"/>
              </w:rPr>
            </w:pPr>
            <w:r>
              <w:rPr>
                <w:rFonts w:ascii="Arial" w:cs="Arial" w:eastAsia="Arial" w:hAnsi="Arial"/>
                <w:sz w:val="20"/>
                <w:szCs w:val="20"/>
                <w:b w:val="1"/>
                <w:bCs w:val="1"/>
                <w:color w:val="auto"/>
              </w:rPr>
              <w:t>Assets at Fair Value as of December 31, 2019</w:t>
            </w:r>
          </w:p>
        </w:tc>
      </w:tr>
      <w:tr>
        <w:trPr>
          <w:trHeight w:val="236"/>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2"/>
          </w:tcPr>
          <w:p>
            <w:pPr>
              <w:ind w:left="26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0"/>
                <w:szCs w:val="20"/>
                <w:color w:val="auto"/>
              </w:rPr>
            </w:pPr>
          </w:p>
        </w:tc>
        <w:tc>
          <w:tcPr>
            <w:tcW w:w="1400" w:type="dxa"/>
            <w:vAlign w:val="bottom"/>
          </w:tcPr>
          <w:p>
            <w:pPr>
              <w:jc w:val="right"/>
              <w:ind w:right="581"/>
              <w:spacing w:after="0"/>
              <w:rPr>
                <w:sz w:val="20"/>
                <w:szCs w:val="20"/>
                <w:color w:val="auto"/>
              </w:rPr>
            </w:pPr>
            <w:r>
              <w:rPr>
                <w:rFonts w:ascii="Arial" w:cs="Arial" w:eastAsia="Arial" w:hAnsi="Arial"/>
                <w:sz w:val="20"/>
                <w:szCs w:val="20"/>
                <w:b w:val="1"/>
                <w:bCs w:val="1"/>
                <w:color w:val="auto"/>
              </w:rPr>
              <w:t>Total</w:t>
            </w:r>
          </w:p>
        </w:tc>
      </w:tr>
      <w:tr>
        <w:trPr>
          <w:trHeight w:val="237"/>
        </w:trPr>
        <w:tc>
          <w:tcPr>
            <w:tcW w:w="49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20"/>
                <w:szCs w:val="20"/>
                <w:color w:val="auto"/>
              </w:rPr>
              <w:t>Registered investment companies</w:t>
            </w: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170,039,973</w:t>
            </w:r>
          </w:p>
        </w:tc>
        <w:tc>
          <w:tcPr>
            <w:tcW w:w="1320" w:type="dxa"/>
            <w:vAlign w:val="bottom"/>
          </w:tcPr>
          <w:p>
            <w:pPr>
              <w:spacing w:after="0"/>
              <w:rPr>
                <w:sz w:val="21"/>
                <w:szCs w:val="21"/>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170,039,973</w:t>
            </w: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20"/>
                <w:szCs w:val="20"/>
                <w:color w:val="auto"/>
              </w:rPr>
              <w:t>Company common stock fund</w:t>
            </w: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18,848,572</w:t>
            </w:r>
          </w:p>
        </w:tc>
        <w:tc>
          <w:tcPr>
            <w:tcW w:w="13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18,848,572</w:t>
            </w:r>
          </w:p>
        </w:tc>
      </w:t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8"/>
        </w:trPr>
        <w:tc>
          <w:tcPr>
            <w:tcW w:w="4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Total assets in fair value hierarchy</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188,888,545</w:t>
            </w:r>
          </w:p>
        </w:tc>
        <w:tc>
          <w:tcPr>
            <w:tcW w:w="1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188,888,545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20"/>
                <w:szCs w:val="20"/>
                <w:color w:val="auto"/>
              </w:rPr>
              <w:t>Investments measured at net asset value (a)</w:t>
            </w: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41,391,667</w:t>
            </w:r>
          </w:p>
        </w:tc>
      </w:t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8"/>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Investments at fair value</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230,280,212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left="980" w:hanging="324"/>
        <w:spacing w:after="0" w:line="269" w:lineRule="auto"/>
        <w:tabs>
          <w:tab w:leader="none" w:pos="977" w:val="left"/>
        </w:tabs>
        <w:numPr>
          <w:ilvl w:val="0"/>
          <w:numId w:val="4"/>
        </w:numPr>
        <w:rPr>
          <w:rFonts w:ascii="Arial" w:cs="Arial" w:eastAsia="Arial" w:hAnsi="Arial"/>
          <w:sz w:val="17"/>
          <w:szCs w:val="17"/>
          <w:color w:val="auto"/>
        </w:rPr>
      </w:pPr>
      <w:r>
        <w:rPr>
          <w:rFonts w:ascii="Arial" w:cs="Arial" w:eastAsia="Arial" w:hAnsi="Arial"/>
          <w:sz w:val="19"/>
          <w:szCs w:val="19"/>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19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2020 and 2019.</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Registered investment companies are valued at the daily closing price as reported by the fund, which represent the NAV of shares held by the Plan at year end. Mutual funds held by the Plan are open-end mutual funds that are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registered with the U.S. Securities and Exchange Commission. These funds are required to publish their daily NAV and to transact at that price. The mutual funds held by the Plan are deemed to be actively traded.</w:t>
      </w:r>
    </w:p>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fair value of the Company common stock fund is measured at the closing price reported on the active market on which the security held by the fund is traded.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2020 and 2019, respectively. There are no participant redemption restrictions for these investments; the redemption notice period is applicable only to the Plan.</w:t>
      </w:r>
    </w:p>
    <w:p>
      <w:pPr>
        <w:spacing w:after="0" w:line="342" w:lineRule="exact"/>
        <w:rPr>
          <w:sz w:val="20"/>
          <w:szCs w:val="20"/>
          <w:color w:val="auto"/>
        </w:rPr>
      </w:pPr>
    </w:p>
    <w:tbl>
      <w:tblPr>
        <w:tblLayout w:type="fixed"/>
        <w:tblInd w:w="280" w:type="dxa"/>
        <w:tblCellMar>
          <w:top w:w="0" w:type="dxa"/>
          <w:left w:w="0" w:type="dxa"/>
          <w:bottom w:w="0" w:type="dxa"/>
          <w:right w:w="0" w:type="dxa"/>
        </w:tblCellMar>
      </w:tblPr>
      <w:tr>
        <w:trPr>
          <w:trHeight w:val="252"/>
        </w:trPr>
        <w:tc>
          <w:tcPr>
            <w:tcW w:w="4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ind w:left="760"/>
              <w:spacing w:after="0"/>
              <w:rPr>
                <w:sz w:val="20"/>
                <w:szCs w:val="20"/>
                <w:color w:val="auto"/>
              </w:rPr>
            </w:pPr>
            <w:r>
              <w:rPr>
                <w:rFonts w:ascii="Arial" w:cs="Arial" w:eastAsia="Arial" w:hAnsi="Arial"/>
                <w:sz w:val="20"/>
                <w:szCs w:val="20"/>
                <w:b w:val="1"/>
                <w:bCs w:val="1"/>
                <w:color w:val="auto"/>
              </w:rPr>
              <w:t>December 31, 2020</w:t>
            </w:r>
          </w:p>
        </w:tc>
        <w:tc>
          <w:tcPr>
            <w:tcW w:w="1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rPr>
              <w:t>Fair Value</w:t>
            </w:r>
          </w:p>
        </w:tc>
        <w:tc>
          <w:tcPr>
            <w:tcW w:w="1720" w:type="dxa"/>
            <w:vAlign w:val="bottom"/>
            <w:gridSpan w:val="2"/>
          </w:tcPr>
          <w:p>
            <w:pPr>
              <w:jc w:val="center"/>
              <w:ind w:right="140"/>
              <w:spacing w:after="0" w:line="183" w:lineRule="exact"/>
              <w:rPr>
                <w:sz w:val="20"/>
                <w:szCs w:val="20"/>
                <w:color w:val="auto"/>
              </w:rPr>
            </w:pPr>
            <w:r>
              <w:rPr>
                <w:rFonts w:ascii="Arial" w:cs="Arial" w:eastAsia="Arial" w:hAnsi="Arial"/>
                <w:sz w:val="20"/>
                <w:szCs w:val="20"/>
                <w:b w:val="1"/>
                <w:bCs w:val="1"/>
                <w:color w:val="auto"/>
                <w:w w:val="92"/>
              </w:rPr>
              <w:t>Unfunded</w:t>
            </w:r>
          </w:p>
        </w:tc>
        <w:tc>
          <w:tcPr>
            <w:tcW w:w="1620" w:type="dxa"/>
            <w:vAlign w:val="bottom"/>
            <w:gridSpan w:val="2"/>
          </w:tcPr>
          <w:p>
            <w:pPr>
              <w:jc w:val="center"/>
              <w:ind w:right="140"/>
              <w:spacing w:after="0" w:line="183" w:lineRule="exact"/>
              <w:rPr>
                <w:sz w:val="20"/>
                <w:szCs w:val="20"/>
                <w:color w:val="auto"/>
              </w:rPr>
            </w:pPr>
            <w:r>
              <w:rPr>
                <w:rFonts w:ascii="Arial" w:cs="Arial" w:eastAsia="Arial" w:hAnsi="Arial"/>
                <w:sz w:val="20"/>
                <w:szCs w:val="20"/>
                <w:b w:val="1"/>
                <w:bCs w:val="1"/>
                <w:color w:val="auto"/>
                <w:w w:val="89"/>
              </w:rPr>
              <w:t>Redemption</w:t>
            </w:r>
          </w:p>
        </w:tc>
        <w:tc>
          <w:tcPr>
            <w:tcW w:w="1460" w:type="dxa"/>
            <w:vAlign w:val="bottom"/>
          </w:tcPr>
          <w:p>
            <w:pPr>
              <w:jc w:val="center"/>
              <w:spacing w:after="0" w:line="183" w:lineRule="exact"/>
              <w:rPr>
                <w:sz w:val="20"/>
                <w:szCs w:val="20"/>
                <w:color w:val="auto"/>
              </w:rPr>
            </w:pPr>
            <w:r>
              <w:rPr>
                <w:rFonts w:ascii="Arial" w:cs="Arial" w:eastAsia="Arial" w:hAnsi="Arial"/>
                <w:sz w:val="20"/>
                <w:szCs w:val="20"/>
                <w:b w:val="1"/>
                <w:bCs w:val="1"/>
                <w:color w:val="auto"/>
                <w:w w:val="88"/>
              </w:rPr>
              <w:t>Redemption</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89"/>
              </w:rPr>
              <w:t>Commitments</w:t>
            </w:r>
          </w:p>
        </w:tc>
        <w:tc>
          <w:tcPr>
            <w:tcW w:w="162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8"/>
              </w:rPr>
              <w:t>Frequency</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8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43,848,352</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rPr>
              <w:t>N/A</w:t>
            </w:r>
          </w:p>
        </w:tc>
        <w:tc>
          <w:tcPr>
            <w:tcW w:w="1620" w:type="dxa"/>
            <w:vAlign w:val="bottom"/>
            <w:gridSpan w:val="2"/>
            <w:shd w:val="clear" w:color="auto" w:fill="CCEEFF"/>
          </w:tcPr>
          <w:p>
            <w:pPr>
              <w:jc w:val="center"/>
              <w:ind w:right="140"/>
              <w:spacing w:after="0"/>
              <w:rPr>
                <w:sz w:val="20"/>
                <w:szCs w:val="20"/>
                <w:color w:val="auto"/>
              </w:rPr>
            </w:pPr>
            <w:r>
              <w:rPr>
                <w:rFonts w:ascii="Arial" w:cs="Arial" w:eastAsia="Arial" w:hAnsi="Arial"/>
                <w:sz w:val="20"/>
                <w:szCs w:val="20"/>
                <w:color w:val="auto"/>
                <w:w w:val="98"/>
              </w:rPr>
              <w:t>Daily</w:t>
            </w:r>
          </w:p>
        </w:tc>
        <w:tc>
          <w:tcPr>
            <w:tcW w:w="14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513"/>
        </w:trPr>
        <w:tc>
          <w:tcPr>
            <w:tcW w:w="4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ind w:left="760"/>
              <w:spacing w:after="0"/>
              <w:rPr>
                <w:sz w:val="20"/>
                <w:szCs w:val="20"/>
                <w:color w:val="auto"/>
              </w:rPr>
            </w:pPr>
            <w:r>
              <w:rPr>
                <w:rFonts w:ascii="Arial" w:cs="Arial" w:eastAsia="Arial" w:hAnsi="Arial"/>
                <w:sz w:val="20"/>
                <w:szCs w:val="20"/>
                <w:b w:val="1"/>
                <w:bCs w:val="1"/>
                <w:color w:val="auto"/>
              </w:rPr>
              <w:t>December 31, 2019</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rPr>
              <w:t>Fair Value</w:t>
            </w:r>
          </w:p>
        </w:tc>
        <w:tc>
          <w:tcPr>
            <w:tcW w:w="1720" w:type="dxa"/>
            <w:vAlign w:val="bottom"/>
            <w:gridSpan w:val="2"/>
          </w:tcPr>
          <w:p>
            <w:pPr>
              <w:jc w:val="center"/>
              <w:ind w:right="140"/>
              <w:spacing w:after="0" w:line="183" w:lineRule="exact"/>
              <w:rPr>
                <w:sz w:val="20"/>
                <w:szCs w:val="20"/>
                <w:color w:val="auto"/>
              </w:rPr>
            </w:pPr>
            <w:r>
              <w:rPr>
                <w:rFonts w:ascii="Arial" w:cs="Arial" w:eastAsia="Arial" w:hAnsi="Arial"/>
                <w:sz w:val="20"/>
                <w:szCs w:val="20"/>
                <w:b w:val="1"/>
                <w:bCs w:val="1"/>
                <w:color w:val="auto"/>
                <w:w w:val="92"/>
              </w:rPr>
              <w:t>Unfunded</w:t>
            </w:r>
          </w:p>
        </w:tc>
        <w:tc>
          <w:tcPr>
            <w:tcW w:w="1620" w:type="dxa"/>
            <w:vAlign w:val="bottom"/>
            <w:gridSpan w:val="2"/>
          </w:tcPr>
          <w:p>
            <w:pPr>
              <w:jc w:val="center"/>
              <w:ind w:right="140"/>
              <w:spacing w:after="0" w:line="183" w:lineRule="exact"/>
              <w:rPr>
                <w:sz w:val="20"/>
                <w:szCs w:val="20"/>
                <w:color w:val="auto"/>
              </w:rPr>
            </w:pPr>
            <w:r>
              <w:rPr>
                <w:rFonts w:ascii="Arial" w:cs="Arial" w:eastAsia="Arial" w:hAnsi="Arial"/>
                <w:sz w:val="20"/>
                <w:szCs w:val="20"/>
                <w:b w:val="1"/>
                <w:bCs w:val="1"/>
                <w:color w:val="auto"/>
                <w:w w:val="89"/>
              </w:rPr>
              <w:t>Redemption</w:t>
            </w:r>
          </w:p>
        </w:tc>
        <w:tc>
          <w:tcPr>
            <w:tcW w:w="1460" w:type="dxa"/>
            <w:vAlign w:val="bottom"/>
          </w:tcPr>
          <w:p>
            <w:pPr>
              <w:jc w:val="center"/>
              <w:spacing w:after="0" w:line="183" w:lineRule="exact"/>
              <w:rPr>
                <w:sz w:val="20"/>
                <w:szCs w:val="20"/>
                <w:color w:val="auto"/>
              </w:rPr>
            </w:pPr>
            <w:r>
              <w:rPr>
                <w:rFonts w:ascii="Arial" w:cs="Arial" w:eastAsia="Arial" w:hAnsi="Arial"/>
                <w:sz w:val="20"/>
                <w:szCs w:val="20"/>
                <w:b w:val="1"/>
                <w:bCs w:val="1"/>
                <w:color w:val="auto"/>
                <w:w w:val="88"/>
              </w:rPr>
              <w:t>Redemption</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20"/>
                <w:szCs w:val="20"/>
                <w:b w:val="1"/>
                <w:bCs w:val="1"/>
                <w:color w:val="auto"/>
                <w:w w:val="89"/>
              </w:rPr>
              <w:t>Commitments</w:t>
            </w:r>
          </w:p>
        </w:tc>
        <w:tc>
          <w:tcPr>
            <w:tcW w:w="162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8"/>
              </w:rPr>
              <w:t>Frequency</w:t>
            </w:r>
          </w:p>
        </w:tc>
        <w:tc>
          <w:tcPr>
            <w:tcW w:w="146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c>
          <w:tcPr>
            <w:tcW w:w="0" w:type="dxa"/>
            <w:vAlign w:val="bottom"/>
          </w:tcPr>
          <w:p>
            <w:pPr>
              <w:spacing w:after="0"/>
              <w:rPr>
                <w:sz w:val="1"/>
                <w:szCs w:val="1"/>
                <w:color w:val="auto"/>
              </w:rPr>
            </w:pPr>
          </w:p>
        </w:tc>
      </w:tr>
      <w:tr>
        <w:trPr>
          <w:trHeight w:val="236"/>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41,391,667</w:t>
            </w: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Daily</w:t>
            </w:r>
          </w:p>
        </w:tc>
        <w:tc>
          <w:tcPr>
            <w:tcW w:w="1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4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220,300 and 259,800 shares of Crown Holdings, Inc. common stock representing 8.2% and 8.1% of Plan assets as of December 31, 2020 and 2019, respectively. For the years 2020 and 2019, the Company common stock fund had purchases of $2,557,900 and $551,738, respectively, and sales of $6,025,800 and $5,547,748, respectively. There were no dividends on the Company's common stock in 2020 or 2019.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IRS determined and informed the Company by letter dated August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is subject to routine audits by taxing jurisdictions; however, there are currently no audits for any tax periods in progress. The Plan administrator</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believes it is no longer subject to income tax examination for years prior to 2017.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18"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As of December 31, 2020 and 2019, the Plan had investments of $101,729,305 and $93,022,710, respectively that were concentrated in two funds.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886"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Supplemental Information</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CROWN CORK &amp; SEAL COMPANY, INC. 401(k) RETIREMENT SAVINGS PLAN</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875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Crown Cork &amp; Seal Company, Inc. 401(k) Retirement Savings Plan</w:t>
      </w:r>
    </w:p>
    <w:p>
      <w:pPr>
        <w:spacing w:after="0"/>
        <w:rPr>
          <w:sz w:val="20"/>
          <w:szCs w:val="20"/>
          <w:color w:val="auto"/>
        </w:rPr>
      </w:pPr>
      <w:r>
        <w:rPr>
          <w:rFonts w:ascii="Arial" w:cs="Arial" w:eastAsia="Arial" w:hAnsi="Arial"/>
          <w:sz w:val="18"/>
          <w:szCs w:val="18"/>
          <w:color w:val="auto"/>
        </w:rPr>
        <w:t>EIN 23-1526444 Plan No. 100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auto"/>
              </w:rPr>
              <w:t>Identity of Participant-Directed Issues</w:t>
            </w:r>
          </w:p>
        </w:tc>
        <w:tc>
          <w:tcPr>
            <w:tcW w:w="4780" w:type="dxa"/>
            <w:vAlign w:val="bottom"/>
            <w:tcBorders>
              <w:bottom w:val="single" w:sz="8" w:color="auto"/>
            </w:tcBorders>
          </w:tcPr>
          <w:p>
            <w:pPr>
              <w:ind w:left="1620"/>
              <w:spacing w:after="0"/>
              <w:rPr>
                <w:sz w:val="20"/>
                <w:szCs w:val="20"/>
                <w:color w:val="auto"/>
              </w:rPr>
            </w:pPr>
            <w:r>
              <w:rPr>
                <w:rFonts w:ascii="Arial" w:cs="Arial" w:eastAsia="Arial" w:hAnsi="Arial"/>
                <w:sz w:val="20"/>
                <w:szCs w:val="20"/>
                <w:b w:val="1"/>
                <w:bCs w:val="1"/>
                <w:color w:val="auto"/>
              </w:rPr>
              <w:t>Investment Type</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7"/>
              </w:rPr>
              <w:t>Current Value</w:t>
            </w:r>
          </w:p>
        </w:tc>
      </w:tr>
      <w:tr>
        <w:trPr>
          <w:trHeight w:val="243"/>
        </w:trPr>
        <w:tc>
          <w:tcPr>
            <w:tcW w:w="47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Baird Core Plus Bond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14,109,759</w:t>
            </w:r>
          </w:p>
        </w:tc>
      </w:tr>
      <w:tr>
        <w:trPr>
          <w:trHeight w:val="243"/>
        </w:trPr>
        <w:tc>
          <w:tcPr>
            <w:tcW w:w="4720" w:type="dxa"/>
            <w:vAlign w:val="bottom"/>
          </w:tcPr>
          <w:p>
            <w:pPr>
              <w:ind w:left="180"/>
              <w:spacing w:after="0"/>
              <w:rPr>
                <w:sz w:val="20"/>
                <w:szCs w:val="20"/>
                <w:color w:val="auto"/>
              </w:rPr>
            </w:pPr>
            <w:r>
              <w:rPr>
                <w:rFonts w:ascii="Arial" w:cs="Arial" w:eastAsia="Arial" w:hAnsi="Arial"/>
                <w:sz w:val="20"/>
                <w:szCs w:val="20"/>
                <w:color w:val="auto"/>
              </w:rPr>
              <w:t>DFA Emerging Markets Core Equity Portfolio</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581,467</w:t>
            </w:r>
          </w:p>
        </w:tc>
      </w:tr>
      <w:tr>
        <w:trPr>
          <w:trHeight w:val="243"/>
        </w:trPr>
        <w:tc>
          <w:tcPr>
            <w:tcW w:w="47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DFA US Targeted Value Portfolio</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413,121</w:t>
            </w:r>
          </w:p>
        </w:tc>
      </w:tr>
      <w:tr>
        <w:trPr>
          <w:trHeight w:val="243"/>
        </w:trPr>
        <w:tc>
          <w:tcPr>
            <w:tcW w:w="4720" w:type="dxa"/>
            <w:vAlign w:val="bottom"/>
          </w:tcPr>
          <w:p>
            <w:pPr>
              <w:ind w:left="180"/>
              <w:spacing w:after="0"/>
              <w:rPr>
                <w:sz w:val="20"/>
                <w:szCs w:val="20"/>
                <w:color w:val="auto"/>
              </w:rPr>
            </w:pPr>
            <w:r>
              <w:rPr>
                <w:rFonts w:ascii="Arial" w:cs="Arial" w:eastAsia="Arial" w:hAnsi="Arial"/>
                <w:sz w:val="20"/>
                <w:szCs w:val="20"/>
                <w:color w:val="auto"/>
              </w:rPr>
              <w:t>HSBC Opportunity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13,779,853</w:t>
            </w:r>
          </w:p>
        </w:tc>
      </w:tr>
      <w:tr>
        <w:trPr>
          <w:trHeight w:val="243"/>
        </w:trPr>
        <w:tc>
          <w:tcPr>
            <w:tcW w:w="47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JPMorgan Intrepid Value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4,604,234</w:t>
            </w:r>
          </w:p>
        </w:tc>
      </w:tr>
      <w:tr>
        <w:trPr>
          <w:trHeight w:val="243"/>
        </w:trPr>
        <w:tc>
          <w:tcPr>
            <w:tcW w:w="4720" w:type="dxa"/>
            <w:vAlign w:val="bottom"/>
          </w:tcPr>
          <w:p>
            <w:pPr>
              <w:ind w:left="180"/>
              <w:spacing w:after="0"/>
              <w:rPr>
                <w:sz w:val="20"/>
                <w:szCs w:val="20"/>
                <w:color w:val="auto"/>
              </w:rPr>
            </w:pPr>
            <w:r>
              <w:rPr>
                <w:rFonts w:ascii="Arial" w:cs="Arial" w:eastAsia="Arial" w:hAnsi="Arial"/>
                <w:sz w:val="20"/>
                <w:szCs w:val="20"/>
                <w:color w:val="auto"/>
              </w:rPr>
              <w:t>T. Rowe Price International Discovery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607,616</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Developed Markets Growth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3,177,359</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International Growth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16,213,850</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Cash Reserve Federal Market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130,351</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2015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3,845,776</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2020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5,244,490</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2025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12,039,250</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2030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8,910,751</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2035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9,174,318</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2040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5,803,625</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2045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7,418,332</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2050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4,608,115</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2055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3,296,220</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2060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703,615</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2065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919,094</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Income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1,979,447</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Total Stock Market Index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57,880,953</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U.S. Growth Fund</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7,430,235</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Wellington Fund</w:t>
            </w:r>
          </w:p>
        </w:tc>
        <w:tc>
          <w:tcPr>
            <w:tcW w:w="4780" w:type="dxa"/>
            <w:vAlign w:val="bottom"/>
          </w:tcPr>
          <w:p>
            <w:pPr>
              <w:ind w:left="90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18,210,792</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Retirement Savings Trust</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Collective Trust Fund</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43,848,352</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Crown Holdings, Inc. Stock Fund</w:t>
            </w:r>
          </w:p>
        </w:tc>
        <w:tc>
          <w:tcPr>
            <w:tcW w:w="4780" w:type="dxa"/>
            <w:vAlign w:val="bottom"/>
          </w:tcPr>
          <w:p>
            <w:pPr>
              <w:ind w:left="900"/>
              <w:spacing w:after="0"/>
              <w:rPr>
                <w:sz w:val="20"/>
                <w:szCs w:val="20"/>
                <w:color w:val="auto"/>
              </w:rPr>
            </w:pPr>
            <w:r>
              <w:rPr>
                <w:rFonts w:ascii="Arial" w:cs="Arial" w:eastAsia="Arial" w:hAnsi="Arial"/>
                <w:sz w:val="20"/>
                <w:szCs w:val="20"/>
                <w:color w:val="auto"/>
              </w:rPr>
              <w:t>Common Stock Fund</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22,070,892</w:t>
            </w: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Notes receivable from participants</w:t>
            </w:r>
          </w:p>
        </w:tc>
        <w:tc>
          <w:tcPr>
            <w:tcW w:w="4780" w:type="dxa"/>
            <w:vAlign w:val="bottom"/>
            <w:shd w:val="clear" w:color="auto" w:fill="CCEEFF"/>
          </w:tcPr>
          <w:p>
            <w:pPr>
              <w:ind w:left="900"/>
              <w:spacing w:after="0"/>
              <w:rPr>
                <w:sz w:val="20"/>
                <w:szCs w:val="20"/>
                <w:color w:val="auto"/>
              </w:rPr>
            </w:pPr>
            <w:r>
              <w:rPr>
                <w:rFonts w:ascii="Arial" w:cs="Arial" w:eastAsia="Arial" w:hAnsi="Arial"/>
                <w:sz w:val="20"/>
                <w:szCs w:val="20"/>
                <w:color w:val="auto"/>
              </w:rPr>
              <w:t>Interest rates: 4.25% - 6.50%</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3,327,100</w:t>
            </w:r>
          </w:p>
        </w:tc>
      </w:tr>
      <w:tr>
        <w:trPr>
          <w:trHeight w:val="237"/>
        </w:trPr>
        <w:tc>
          <w:tcPr>
            <w:tcW w:w="4720" w:type="dxa"/>
            <w:vAlign w:val="bottom"/>
          </w:tcPr>
          <w:p>
            <w:pPr>
              <w:ind w:left="180"/>
              <w:spacing w:after="0"/>
              <w:rPr>
                <w:sz w:val="20"/>
                <w:szCs w:val="20"/>
                <w:color w:val="auto"/>
              </w:rPr>
            </w:pPr>
            <w:r>
              <w:rPr>
                <w:rFonts w:ascii="Arial" w:cs="Arial" w:eastAsia="Arial" w:hAnsi="Arial"/>
                <w:sz w:val="20"/>
                <w:szCs w:val="20"/>
                <w:b w:val="1"/>
                <w:bCs w:val="1"/>
                <w:color w:val="auto"/>
              </w:rPr>
              <w:t>Total Assets (Held at End of Year)</w:t>
            </w:r>
          </w:p>
        </w:tc>
        <w:tc>
          <w:tcPr>
            <w:tcW w:w="47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3"/>
              </w:rPr>
              <w:t>270,328,967</w:t>
            </w:r>
          </w:p>
        </w:tc>
      </w:tr>
      <w:tr>
        <w:trPr>
          <w:trHeight w:val="20"/>
        </w:trPr>
        <w:tc>
          <w:tcPr>
            <w:tcW w:w="47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Party-in-Interest as defined by ERISA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540" w:top="571" w:right="5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80"/>
        </w:trPr>
        <w:tc>
          <w:tcPr>
            <w:tcW w:w="2220" w:type="dxa"/>
            <w:vAlign w:val="bottom"/>
            <w:gridSpan w:val="3"/>
          </w:tcPr>
          <w:p>
            <w:pPr>
              <w:spacing w:after="0"/>
              <w:rPr>
                <w:sz w:val="20"/>
                <w:szCs w:val="20"/>
                <w:color w:val="auto"/>
              </w:rPr>
            </w:pPr>
            <w:r>
              <w:rPr>
                <w:rFonts w:ascii="Arial" w:cs="Arial" w:eastAsia="Arial" w:hAnsi="Arial"/>
                <w:sz w:val="22"/>
                <w:szCs w:val="22"/>
                <w:b w:val="1"/>
                <w:bCs w:val="1"/>
                <w:color w:val="auto"/>
              </w:rPr>
              <w:t>EXHIBITS</w:t>
            </w:r>
          </w:p>
        </w:tc>
        <w:tc>
          <w:tcPr>
            <w:tcW w:w="19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70"/>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526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line="250" w:lineRule="exact"/>
              <w:rPr>
                <w:sz w:val="20"/>
                <w:szCs w:val="20"/>
                <w:color w:val="auto"/>
              </w:rPr>
            </w:pPr>
            <w:r>
              <w:rPr>
                <w:rFonts w:ascii="Arial" w:cs="Arial" w:eastAsia="Arial" w:hAnsi="Arial"/>
                <w:sz w:val="22"/>
                <w:szCs w:val="22"/>
                <w:color w:val="auto"/>
              </w:rPr>
              <w:t>23</w:t>
            </w:r>
          </w:p>
        </w:tc>
        <w:tc>
          <w:tcPr>
            <w:tcW w:w="780" w:type="dxa"/>
            <w:vAlign w:val="bottom"/>
          </w:tcPr>
          <w:p>
            <w:pPr>
              <w:spacing w:after="0"/>
              <w:rPr>
                <w:sz w:val="21"/>
                <w:szCs w:val="21"/>
                <w:color w:val="auto"/>
              </w:rPr>
            </w:pPr>
          </w:p>
        </w:tc>
        <w:tc>
          <w:tcPr>
            <w:tcW w:w="5260" w:type="dxa"/>
            <w:vAlign w:val="bottom"/>
            <w:tcBorders>
              <w:bottom w:val="single" w:sz="8" w:color="0000FF"/>
            </w:tcBorders>
            <w:gridSpan w:val="2"/>
          </w:tcPr>
          <w:p>
            <w:pPr>
              <w:spacing w:after="0" w:line="250" w:lineRule="exact"/>
              <w:rPr>
                <w:rFonts w:ascii="Arial" w:cs="Arial" w:eastAsia="Arial" w:hAnsi="Arial"/>
                <w:sz w:val="22"/>
                <w:szCs w:val="22"/>
                <w:color w:val="0000FF"/>
                <w:w w:val="88"/>
              </w:rPr>
            </w:pPr>
            <w:hyperlink w:anchor="page15">
              <w:r>
                <w:rPr>
                  <w:rFonts w:ascii="Arial" w:cs="Arial" w:eastAsia="Arial" w:hAnsi="Arial"/>
                  <w:sz w:val="22"/>
                  <w:szCs w:val="22"/>
                  <w:color w:val="0000FF"/>
                  <w:w w:val="88"/>
                </w:rPr>
                <w:t>Consent of Independent Registered Public Accounting Firms</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Crown Cork &amp; Seal Company, Inc.</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401(k) Retirement Savings Plan</w:t>
      </w:r>
    </w:p>
    <w:p>
      <w:pPr>
        <w:spacing w:after="0" w:line="200" w:lineRule="exact"/>
        <w:rPr>
          <w:sz w:val="20"/>
          <w:szCs w:val="20"/>
          <w:color w:val="auto"/>
        </w:rPr>
      </w:pPr>
    </w:p>
    <w:p>
      <w:pPr>
        <w:spacing w:after="0" w:line="35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A. Beaver</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David A. Beaver</w:t>
      </w:r>
    </w:p>
    <w:p>
      <w:pPr>
        <w:spacing w:after="0" w:line="17"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16, 2021</w:t>
      </w:r>
    </w:p>
    <w:p>
      <w:pPr>
        <w:sectPr>
          <w:pgSz w:w="11900" w:h="16838" w:orient="portrait"/>
          <w:cols w:equalWidth="0" w:num="1">
            <w:col w:w="10960"/>
          </w:cols>
          <w:pgMar w:left="320" w:top="895"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60"/>
          </w:cols>
          <w:pgMar w:left="320" w:top="895" w:right="6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9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consent to the incorporation by reference in the Registration Statement (No. 333-140991) on Form S-8 of our report dated June 16, 2021, which appears in this annual report on Form 11-K of the Crown Cork &amp; Seal Company, Inc. 401(k) Retirement Savings Plan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/s/ Baker Tilly Virchow Krause, LLP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June 16, 2021</w:t>
      </w:r>
    </w:p>
    <w:sectPr>
      <w:pgSz w:w="11900" w:h="16838" w:orient="portrait"/>
      <w:cols w:equalWidth="0" w:num="1">
        <w:col w:w="11240"/>
      </w:cols>
      <w:pgMar w:left="320" w:top="11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2021-06-16T11:02:18Z</dcterms:created>
  <dcterms:modified xsi:type="dcterms:W3CDTF">2021-06-16T11:02:18Z</dcterms:modified>
</cp:coreProperties>
</file>