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3" w:lineRule="exact"/>
        <w:rPr>
          <w:sz w:val="24"/>
          <w:szCs w:val="24"/>
          <w:color w:val="auto"/>
        </w:rPr>
      </w:pPr>
    </w:p>
    <w:p>
      <w:pPr>
        <w:ind w:left="480" w:right="280" w:hanging="454"/>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2020</w:t>
      </w:r>
    </w:p>
    <w:p>
      <w:pPr>
        <w:spacing w:after="0" w:line="233" w:lineRule="exact"/>
        <w:rPr>
          <w:sz w:val="24"/>
          <w:szCs w:val="24"/>
          <w:color w:val="auto"/>
        </w:rPr>
      </w:pPr>
    </w:p>
    <w:p>
      <w:pPr>
        <w:ind w:left="480" w:right="260" w:hanging="454"/>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80"/>
        </w:trPr>
        <w:tc>
          <w:tcPr>
            <w:tcW w:w="3060" w:type="dxa"/>
            <w:vAlign w:val="bottom"/>
          </w:tcPr>
          <w:p>
            <w:pPr>
              <w:jc w:val="center"/>
              <w:ind w:left="1140"/>
              <w:spacing w:after="0"/>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7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Identification No.)</w:t>
            </w:r>
          </w:p>
        </w:tc>
      </w:tr>
      <w:tr>
        <w:trPr>
          <w:trHeight w:val="525"/>
        </w:trPr>
        <w:tc>
          <w:tcPr>
            <w:tcW w:w="4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770 Township Line Road</w:t>
            </w:r>
          </w:p>
        </w:tc>
        <w:tc>
          <w:tcPr>
            <w:tcW w:w="760" w:type="dxa"/>
            <w:vAlign w:val="bottom"/>
          </w:tcPr>
          <w:p>
            <w:pPr>
              <w:ind w:left="120"/>
              <w:spacing w:after="0"/>
              <w:rPr>
                <w:sz w:val="20"/>
                <w:szCs w:val="20"/>
                <w:color w:val="auto"/>
              </w:rPr>
            </w:pPr>
            <w:r>
              <w:rPr>
                <w:rFonts w:ascii="Arial" w:cs="Arial" w:eastAsia="Arial" w:hAnsi="Arial"/>
                <w:sz w:val="18"/>
                <w:szCs w:val="18"/>
                <w:b w:val="1"/>
                <w:bCs w:val="1"/>
                <w:color w:val="auto"/>
                <w:w w:val="95"/>
              </w:rPr>
              <w:t>Yardley</w:t>
            </w:r>
          </w:p>
        </w:tc>
        <w:tc>
          <w:tcPr>
            <w:tcW w:w="2700" w:type="dxa"/>
            <w:vAlign w:val="bottom"/>
          </w:tcPr>
          <w:p>
            <w:pPr>
              <w:ind w:left="640"/>
              <w:spacing w:after="0"/>
              <w:rPr>
                <w:sz w:val="20"/>
                <w:szCs w:val="20"/>
                <w:color w:val="auto"/>
              </w:rPr>
            </w:pPr>
            <w:r>
              <w:rPr>
                <w:rFonts w:ascii="Arial" w:cs="Arial" w:eastAsia="Arial" w:hAnsi="Arial"/>
                <w:sz w:val="18"/>
                <w:szCs w:val="18"/>
                <w:b w:val="1"/>
                <w:bCs w:val="1"/>
                <w:color w:val="auto"/>
              </w:rPr>
              <w:t>PA</w:t>
            </w:r>
          </w:p>
        </w:tc>
        <w:tc>
          <w:tcPr>
            <w:tcW w:w="1980" w:type="dxa"/>
            <w:vAlign w:val="bottom"/>
          </w:tcPr>
          <w:p>
            <w:pPr>
              <w:jc w:val="right"/>
              <w:ind w:right="741"/>
              <w:spacing w:after="0"/>
              <w:rPr>
                <w:sz w:val="20"/>
                <w:szCs w:val="20"/>
                <w:color w:val="auto"/>
              </w:rPr>
            </w:pPr>
            <w:r>
              <w:rPr>
                <w:rFonts w:ascii="Arial" w:cs="Arial" w:eastAsia="Arial" w:hAnsi="Arial"/>
                <w:sz w:val="18"/>
                <w:szCs w:val="18"/>
                <w:b w:val="1"/>
                <w:bCs w:val="1"/>
                <w:color w:val="auto"/>
              </w:rPr>
              <w:t>19067</w:t>
            </w:r>
          </w:p>
        </w:tc>
      </w:tr>
      <w:tr>
        <w:trPr>
          <w:trHeight w:val="218"/>
        </w:trPr>
        <w:tc>
          <w:tcPr>
            <w:tcW w:w="4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3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00" w:type="dxa"/>
            <w:vAlign w:val="bottom"/>
          </w:tcPr>
          <w:p>
            <w:pPr>
              <w:jc w:val="right"/>
              <w:ind w:right="1550"/>
              <w:spacing w:after="0"/>
              <w:rPr>
                <w:sz w:val="20"/>
                <w:szCs w:val="20"/>
                <w:color w:val="auto"/>
              </w:rPr>
            </w:pPr>
            <w:r>
              <w:rPr>
                <w:rFonts w:ascii="Arial" w:cs="Arial" w:eastAsia="Arial" w:hAnsi="Arial"/>
                <w:sz w:val="18"/>
                <w:szCs w:val="18"/>
                <w:b w:val="1"/>
                <w:bCs w:val="1"/>
                <w:color w:val="auto"/>
                <w:w w:val="92"/>
              </w:rPr>
              <w:t>215-698-5100</w:t>
            </w:r>
          </w:p>
        </w:tc>
        <w:tc>
          <w:tcPr>
            <w:tcW w:w="1980" w:type="dxa"/>
            <w:vAlign w:val="bottom"/>
          </w:tcPr>
          <w:p>
            <w:pPr>
              <w:spacing w:after="0"/>
              <w:rPr>
                <w:sz w:val="24"/>
                <w:szCs w:val="24"/>
                <w:color w:val="auto"/>
              </w:rPr>
            </w:pPr>
          </w:p>
        </w:tc>
      </w:tr>
      <w:tr>
        <w:trPr>
          <w:trHeight w:val="166"/>
        </w:trPr>
        <w:tc>
          <w:tcPr>
            <w:tcW w:w="3060" w:type="dxa"/>
            <w:vAlign w:val="bottom"/>
          </w:tcPr>
          <w:p>
            <w:pPr>
              <w:spacing w:after="0"/>
              <w:rPr>
                <w:sz w:val="14"/>
                <w:szCs w:val="14"/>
                <w:color w:val="auto"/>
              </w:rPr>
            </w:pPr>
          </w:p>
        </w:tc>
        <w:tc>
          <w:tcPr>
            <w:tcW w:w="4720" w:type="dxa"/>
            <w:vAlign w:val="bottom"/>
            <w:gridSpan w:val="3"/>
          </w:tcPr>
          <w:p>
            <w:pPr>
              <w:ind w:left="9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60" w:type="dxa"/>
            <w:vAlign w:val="bottom"/>
            <w:gridSpan w:val="2"/>
          </w:tcPr>
          <w:p>
            <w:pPr>
              <w:jc w:val="right"/>
              <w:ind w:right="135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276"/>
        </w:trPr>
        <w:tc>
          <w:tcPr>
            <w:tcW w:w="77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38"/>
        </w:trPr>
        <w:tc>
          <w:tcPr>
            <w:tcW w:w="3060" w:type="dxa"/>
            <w:vAlign w:val="bottom"/>
          </w:tcPr>
          <w:p>
            <w:pPr>
              <w:ind w:left="20"/>
              <w:spacing w:after="0"/>
              <w:rPr>
                <w:sz w:val="20"/>
                <w:szCs w:val="20"/>
                <w:color w:val="auto"/>
              </w:rPr>
            </w:pPr>
            <w:r>
              <w:rPr>
                <w:rFonts w:ascii="Arial" w:cs="Arial" w:eastAsia="Arial" w:hAnsi="Arial"/>
                <w:sz w:val="16"/>
                <w:szCs w:val="16"/>
                <w:color w:val="auto"/>
              </w:rPr>
              <w:t>Title of each class</w:t>
            </w:r>
          </w:p>
        </w:tc>
        <w:tc>
          <w:tcPr>
            <w:tcW w:w="1260" w:type="dxa"/>
            <w:vAlign w:val="bottom"/>
          </w:tcPr>
          <w:p>
            <w:pPr>
              <w:spacing w:after="0"/>
              <w:rPr>
                <w:sz w:val="20"/>
                <w:szCs w:val="20"/>
                <w:color w:val="auto"/>
              </w:rPr>
            </w:pPr>
            <w:r>
              <w:rPr>
                <w:rFonts w:ascii="Arial" w:cs="Arial" w:eastAsia="Arial" w:hAnsi="Arial"/>
                <w:sz w:val="16"/>
                <w:szCs w:val="16"/>
                <w:color w:val="auto"/>
              </w:rPr>
              <w:t>Trading Symbols</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Pr>
          <w:p>
            <w:pPr>
              <w:spacing w:after="0"/>
              <w:rPr>
                <w:sz w:val="24"/>
                <w:szCs w:val="24"/>
                <w:color w:val="auto"/>
              </w:rPr>
            </w:pPr>
          </w:p>
        </w:tc>
      </w:tr>
      <w:tr>
        <w:trPr>
          <w:trHeight w:val="33"/>
        </w:trPr>
        <w:tc>
          <w:tcPr>
            <w:tcW w:w="3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2"/>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06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60" w:type="dxa"/>
            <w:vAlign w:val="bottom"/>
          </w:tcPr>
          <w:p>
            <w:pPr>
              <w:spacing w:after="0"/>
              <w:rPr>
                <w:sz w:val="20"/>
                <w:szCs w:val="20"/>
                <w:color w:val="auto"/>
              </w:rPr>
            </w:pPr>
            <w:r>
              <w:rPr>
                <w:rFonts w:ascii="Arial" w:cs="Arial" w:eastAsia="Arial" w:hAnsi="Arial"/>
                <w:sz w:val="16"/>
                <w:szCs w:val="16"/>
                <w:color w:val="auto"/>
              </w:rPr>
              <w:t>CCK</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56"/>
        </w:trPr>
        <w:tc>
          <w:tcPr>
            <w:tcW w:w="306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60" w:type="dxa"/>
            <w:vAlign w:val="bottom"/>
          </w:tcPr>
          <w:p>
            <w:pPr>
              <w:spacing w:after="0"/>
              <w:rPr>
                <w:sz w:val="20"/>
                <w:szCs w:val="20"/>
                <w:color w:val="auto"/>
              </w:rPr>
            </w:pPr>
            <w:r>
              <w:rPr>
                <w:rFonts w:ascii="Arial" w:cs="Arial" w:eastAsia="Arial" w:hAnsi="Arial"/>
                <w:sz w:val="16"/>
                <w:szCs w:val="16"/>
                <w:color w:val="auto"/>
              </w:rPr>
              <w:t>CCK26</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22"/>
                <w:szCs w:val="22"/>
                <w:color w:val="auto"/>
              </w:rPr>
            </w:pPr>
          </w:p>
        </w:tc>
      </w:tr>
      <w:tr>
        <w:trPr>
          <w:trHeight w:val="257"/>
        </w:trPr>
        <w:tc>
          <w:tcPr>
            <w:tcW w:w="306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60" w:type="dxa"/>
            <w:vAlign w:val="bottom"/>
          </w:tcPr>
          <w:p>
            <w:pPr>
              <w:spacing w:after="0"/>
              <w:rPr>
                <w:sz w:val="20"/>
                <w:szCs w:val="20"/>
                <w:color w:val="auto"/>
              </w:rPr>
            </w:pPr>
            <w:r>
              <w:rPr>
                <w:rFonts w:ascii="Arial" w:cs="Arial" w:eastAsia="Arial" w:hAnsi="Arial"/>
                <w:sz w:val="16"/>
                <w:szCs w:val="16"/>
                <w:color w:val="auto"/>
              </w:rPr>
              <w:t>CCK96</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22"/>
                <w:szCs w:val="22"/>
                <w:color w:val="auto"/>
              </w:rPr>
            </w:pPr>
          </w:p>
        </w:tc>
      </w:tr>
    </w:tbl>
    <w:p>
      <w:pPr>
        <w:spacing w:after="0" w:line="13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sectPr>
      </w:pPr>
    </w:p>
    <w:p>
      <w:pPr>
        <w:spacing w:after="0" w:line="21"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560" w:space="640"/>
            <w:col w:w="4660" w:space="720"/>
            <w:col w:w="2480" w:space="720"/>
            <w:col w:w="460"/>
          </w:cols>
          <w:pgMar w:left="320" w:top="1003" w:right="339" w:bottom="1440" w:gutter="0" w:footer="0" w:header="0"/>
          <w:type w:val="continuous"/>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4">
            <w:col w:w="1480" w:space="720"/>
            <w:col w:w="4660" w:space="720"/>
            <w:col w:w="2480" w:space="720"/>
            <w:col w:w="46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134,765,587 shares of Common Stock outstanding as of July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tbl>
      <w:tblPr>
        <w:tblLayout w:type="fixed"/>
        <w:tblInd w:w="16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9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1"/>
              </w:rPr>
              <w:t>Crown Holdings, Inc.</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945"/>
        </w:trPr>
        <w:tc>
          <w:tcPr>
            <w:tcW w:w="3360" w:type="dxa"/>
            <w:vAlign w:val="bottom"/>
          </w:tcPr>
          <w:p>
            <w:pPr>
              <w:spacing w:after="0"/>
              <w:rPr>
                <w:sz w:val="24"/>
                <w:szCs w:val="24"/>
                <w:color w:val="auto"/>
              </w:rPr>
            </w:pPr>
          </w:p>
        </w:tc>
        <w:tc>
          <w:tcPr>
            <w:tcW w:w="394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0"/>
        </w:trPr>
        <w:tc>
          <w:tcPr>
            <w:tcW w:w="3360" w:type="dxa"/>
            <w:vAlign w:val="bottom"/>
          </w:tcPr>
          <w:p>
            <w:pPr>
              <w:spacing w:after="0"/>
              <w:rPr>
                <w:sz w:val="24"/>
                <w:szCs w:val="24"/>
                <w:color w:val="auto"/>
              </w:rPr>
            </w:pPr>
          </w:p>
        </w:tc>
        <w:tc>
          <w:tcPr>
            <w:tcW w:w="4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394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0"/>
              </w:rPr>
              <w:t>(In millions except per share data)</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29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1"/>
              </w:rPr>
              <w:t>(Unaudited)</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33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3"/>
                <w:szCs w:val="23"/>
                <w:color w:val="auto"/>
              </w:rPr>
            </w:pPr>
          </w:p>
        </w:tc>
        <w:tc>
          <w:tcPr>
            <w:tcW w:w="20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33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3"/>
                <w:szCs w:val="23"/>
                <w:color w:val="auto"/>
              </w:rPr>
            </w:pPr>
          </w:p>
        </w:tc>
      </w:tr>
      <w:tr>
        <w:trPr>
          <w:trHeight w:val="27"/>
        </w:trPr>
        <w:tc>
          <w:tcPr>
            <w:tcW w:w="3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2019</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33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2,689</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3,035</w:t>
            </w:r>
          </w:p>
        </w:tc>
        <w:tc>
          <w:tcPr>
            <w:tcW w:w="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5,446</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5,790</w:t>
            </w:r>
          </w:p>
        </w:tc>
      </w:tr>
      <w:tr>
        <w:trPr>
          <w:trHeight w:val="237"/>
        </w:trPr>
        <w:tc>
          <w:tcPr>
            <w:tcW w:w="6080" w:type="dxa"/>
            <w:vAlign w:val="bottom"/>
            <w:gridSpan w:val="2"/>
          </w:tcPr>
          <w:p>
            <w:pPr>
              <w:ind w:left="320"/>
              <w:spacing w:after="0"/>
              <w:rPr>
                <w:sz w:val="20"/>
                <w:szCs w:val="20"/>
                <w:color w:val="auto"/>
              </w:rPr>
            </w:pPr>
            <w:r>
              <w:rPr>
                <w:rFonts w:ascii="Arial" w:cs="Arial" w:eastAsia="Arial" w:hAnsi="Arial"/>
                <w:sz w:val="18"/>
                <w:szCs w:val="18"/>
                <w:color w:val="auto"/>
              </w:rPr>
              <w:t>Cost of products sold, excluding depreciation and amortization</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2,155</w:t>
            </w: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2,417</w:t>
            </w:r>
          </w:p>
        </w:tc>
        <w:tc>
          <w:tcPr>
            <w:tcW w:w="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4,375</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4,627</w:t>
            </w:r>
          </w:p>
        </w:tc>
      </w:tr>
      <w:tr>
        <w:trPr>
          <w:trHeight w:val="27"/>
        </w:trPr>
        <w:tc>
          <w:tcPr>
            <w:tcW w:w="3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w:t>
            </w:r>
          </w:p>
        </w:tc>
      </w:tr>
      <w:tr>
        <w:trPr>
          <w:trHeight w:val="243"/>
        </w:trPr>
        <w:tc>
          <w:tcPr>
            <w:tcW w:w="3360" w:type="dxa"/>
            <w:vAlign w:val="bottom"/>
          </w:tcPr>
          <w:p>
            <w:pPr>
              <w:ind w:left="320"/>
              <w:spacing w:after="0"/>
              <w:rPr>
                <w:sz w:val="20"/>
                <w:szCs w:val="20"/>
                <w:color w:val="auto"/>
              </w:rPr>
            </w:pPr>
            <w:r>
              <w:rPr>
                <w:rFonts w:ascii="Arial" w:cs="Arial" w:eastAsia="Arial" w:hAnsi="Arial"/>
                <w:sz w:val="18"/>
                <w:szCs w:val="18"/>
                <w:color w:val="auto"/>
              </w:rPr>
              <w:t>Selling and administrative expense</w:t>
            </w:r>
          </w:p>
        </w:tc>
        <w:tc>
          <w:tcPr>
            <w:tcW w:w="2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157</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314</w:t>
            </w:r>
          </w:p>
        </w:tc>
      </w:tr>
      <w:tr>
        <w:trPr>
          <w:trHeight w:val="27"/>
        </w:trPr>
        <w:tc>
          <w:tcPr>
            <w:tcW w:w="3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Restructuring and other</w:t>
            </w:r>
          </w:p>
        </w:tc>
        <w:tc>
          <w:tcPr>
            <w:tcW w:w="2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7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383</w:t>
            </w:r>
          </w:p>
        </w:tc>
        <w:tc>
          <w:tcPr>
            <w:tcW w:w="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645</w:t>
            </w:r>
          </w:p>
        </w:tc>
      </w:tr>
      <w:tr>
        <w:trPr>
          <w:trHeight w:val="27"/>
        </w:trPr>
        <w:tc>
          <w:tcPr>
            <w:tcW w:w="3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4"/>
              </w:rPr>
              <w:t>Loss from early extinguishments of debt</w:t>
            </w:r>
          </w:p>
        </w:tc>
        <w:tc>
          <w:tcPr>
            <w:tcW w:w="2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r>
      <w:tr>
        <w:trPr>
          <w:trHeight w:val="243"/>
        </w:trPr>
        <w:tc>
          <w:tcPr>
            <w:tcW w:w="3360" w:type="dxa"/>
            <w:vAlign w:val="bottom"/>
          </w:tcPr>
          <w:p>
            <w:pPr>
              <w:ind w:left="320"/>
              <w:spacing w:after="0"/>
              <w:rPr>
                <w:sz w:val="20"/>
                <w:szCs w:val="20"/>
                <w:color w:val="auto"/>
              </w:rPr>
            </w:pPr>
            <w:r>
              <w:rPr>
                <w:rFonts w:ascii="Arial" w:cs="Arial" w:eastAsia="Arial" w:hAnsi="Arial"/>
                <w:sz w:val="18"/>
                <w:szCs w:val="18"/>
                <w:color w:val="auto"/>
              </w:rPr>
              <w:t>Other pension and postretirement</w:t>
            </w:r>
          </w:p>
        </w:tc>
        <w:tc>
          <w:tcPr>
            <w:tcW w:w="2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3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2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r>
      <w:tr>
        <w:trPr>
          <w:trHeight w:val="243"/>
        </w:trPr>
        <w:tc>
          <w:tcPr>
            <w:tcW w:w="336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2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3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 exchange</w:t>
            </w:r>
          </w:p>
        </w:tc>
        <w:tc>
          <w:tcPr>
            <w:tcW w:w="2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7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260</w:t>
            </w:r>
          </w:p>
        </w:tc>
        <w:tc>
          <w:tcPr>
            <w:tcW w:w="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438</w:t>
            </w:r>
          </w:p>
        </w:tc>
      </w:tr>
      <w:tr>
        <w:trPr>
          <w:trHeight w:val="27"/>
        </w:trPr>
        <w:tc>
          <w:tcPr>
            <w:tcW w:w="3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Provision for income taxes</w:t>
            </w:r>
          </w:p>
        </w:tc>
        <w:tc>
          <w:tcPr>
            <w:tcW w:w="2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r>
      <w:tr>
        <w:trPr>
          <w:trHeight w:val="243"/>
        </w:trPr>
        <w:tc>
          <w:tcPr>
            <w:tcW w:w="3360" w:type="dxa"/>
            <w:vAlign w:val="bottom"/>
          </w:tcPr>
          <w:p>
            <w:pPr>
              <w:ind w:left="320"/>
              <w:spacing w:after="0"/>
              <w:rPr>
                <w:sz w:val="20"/>
                <w:szCs w:val="20"/>
                <w:color w:val="auto"/>
              </w:rPr>
            </w:pPr>
            <w:r>
              <w:rPr>
                <w:rFonts w:ascii="Arial" w:cs="Arial" w:eastAsia="Arial" w:hAnsi="Arial"/>
                <w:sz w:val="18"/>
                <w:szCs w:val="18"/>
                <w:color w:val="auto"/>
              </w:rPr>
              <w:t>Equity earnings in affiliates</w:t>
            </w:r>
          </w:p>
        </w:tc>
        <w:tc>
          <w:tcPr>
            <w:tcW w:w="2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7"/>
        </w:trPr>
        <w:tc>
          <w:tcPr>
            <w:tcW w:w="33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w:t>
            </w:r>
          </w:p>
        </w:tc>
      </w:tr>
      <w:tr>
        <w:trPr>
          <w:trHeight w:val="243"/>
        </w:trPr>
        <w:tc>
          <w:tcPr>
            <w:tcW w:w="6320" w:type="dxa"/>
            <w:vAlign w:val="bottom"/>
            <w:gridSpan w:val="3"/>
          </w:tcPr>
          <w:p>
            <w:pPr>
              <w:ind w:left="320"/>
              <w:spacing w:after="0"/>
              <w:rPr>
                <w:sz w:val="20"/>
                <w:szCs w:val="20"/>
                <w:color w:val="auto"/>
              </w:rPr>
            </w:pPr>
            <w:r>
              <w:rPr>
                <w:rFonts w:ascii="Arial" w:cs="Arial" w:eastAsia="Arial" w:hAnsi="Arial"/>
                <w:sz w:val="18"/>
                <w:szCs w:val="18"/>
                <w:color w:val="auto"/>
              </w:rPr>
              <w:t>Net income attributable to noncontrolling interests</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
        </w:trPr>
        <w:tc>
          <w:tcPr>
            <w:tcW w:w="33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0"/>
              </w:rPr>
              <w:t>Net income attributable to Crown Holdings</w:t>
            </w:r>
          </w:p>
        </w:tc>
        <w:tc>
          <w:tcPr>
            <w:tcW w:w="2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w:t>
            </w:r>
          </w:p>
        </w:tc>
        <w:tc>
          <w:tcPr>
            <w:tcW w:w="2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w:t>
            </w:r>
          </w:p>
        </w:tc>
      </w:tr>
      <w:tr>
        <w:trPr>
          <w:trHeight w:val="20"/>
        </w:trPr>
        <w:tc>
          <w:tcPr>
            <w:tcW w:w="60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50"/>
        </w:trPr>
        <w:tc>
          <w:tcPr>
            <w:tcW w:w="6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320"/>
              <w:spacing w:after="0"/>
              <w:rPr>
                <w:sz w:val="20"/>
                <w:szCs w:val="20"/>
                <w:color w:val="auto"/>
              </w:rPr>
            </w:pPr>
            <w:r>
              <w:rPr>
                <w:rFonts w:ascii="Arial" w:cs="Arial" w:eastAsia="Arial" w:hAnsi="Arial"/>
                <w:sz w:val="18"/>
                <w:szCs w:val="18"/>
                <w:color w:val="auto"/>
              </w:rPr>
              <w:t>Basic</w:t>
            </w:r>
          </w:p>
        </w:tc>
        <w:tc>
          <w:tcPr>
            <w:tcW w:w="2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0.95</w:t>
            </w:r>
          </w:p>
        </w:tc>
        <w:tc>
          <w:tcPr>
            <w:tcW w:w="2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1.79</w:t>
            </w:r>
          </w:p>
        </w:tc>
      </w:tr>
      <w:tr>
        <w:trPr>
          <w:trHeight w:val="27"/>
        </w:trPr>
        <w:tc>
          <w:tcPr>
            <w:tcW w:w="3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89"/>
        </w:trPr>
        <w:tc>
          <w:tcPr>
            <w:tcW w:w="3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0.94</w:t>
            </w:r>
          </w:p>
        </w:tc>
        <w:tc>
          <w:tcPr>
            <w:tcW w:w="2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4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0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3"/>
                <w:szCs w:val="23"/>
                <w:color w:val="auto"/>
              </w:rPr>
            </w:pPr>
          </w:p>
        </w:tc>
      </w:tr>
      <w:tr>
        <w:trPr>
          <w:trHeight w:val="27"/>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2019</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w:t>
            </w:r>
          </w:p>
        </w:tc>
        <w:tc>
          <w:tcPr>
            <w:tcW w:w="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255</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w:t>
            </w:r>
          </w:p>
        </w:tc>
      </w:tr>
      <w:tr>
        <w:trPr>
          <w:trHeight w:val="250"/>
        </w:trPr>
        <w:tc>
          <w:tcPr>
            <w:tcW w:w="60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50</w:t>
            </w:r>
          </w:p>
        </w:tc>
      </w:tr>
      <w:tr>
        <w:trPr>
          <w:trHeight w:val="27"/>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Pension and other postretirement benefits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r>
      <w:tr>
        <w:trPr>
          <w:trHeight w:val="243"/>
        </w:trPr>
        <w:tc>
          <w:tcPr>
            <w:tcW w:w="6080" w:type="dxa"/>
            <w:vAlign w:val="bottom"/>
          </w:tcPr>
          <w:p>
            <w:pPr>
              <w:ind w:left="200"/>
              <w:spacing w:after="0"/>
              <w:rPr>
                <w:sz w:val="20"/>
                <w:szCs w:val="20"/>
                <w:color w:val="auto"/>
              </w:rPr>
            </w:pPr>
            <w:r>
              <w:rPr>
                <w:rFonts w:ascii="Arial" w:cs="Arial" w:eastAsia="Arial" w:hAnsi="Arial"/>
                <w:sz w:val="18"/>
                <w:szCs w:val="18"/>
                <w:color w:val="auto"/>
              </w:rPr>
              <w:t>Derivatives qualifying as hedges</w:t>
            </w:r>
          </w:p>
        </w:tc>
        <w:tc>
          <w:tcPr>
            <w:tcW w:w="1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7"/>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3"/>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other comprehensive income / (loss)</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50"/>
        </w:trPr>
        <w:tc>
          <w:tcPr>
            <w:tcW w:w="60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w:t>
            </w:r>
          </w:p>
        </w:tc>
      </w:tr>
      <w:tr>
        <w:trPr>
          <w:trHeight w:val="243"/>
        </w:trPr>
        <w:tc>
          <w:tcPr>
            <w:tcW w:w="6080" w:type="dxa"/>
            <w:vAlign w:val="bottom"/>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attributable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20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1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w:t>
            </w:r>
          </w:p>
        </w:tc>
        <w:tc>
          <w:tcPr>
            <w:tcW w:w="4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607</w:t>
            </w: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1,604</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1,528</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1,747</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1,626</w:t>
            </w: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256</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241</w:t>
            </w:r>
          </w:p>
        </w:tc>
      </w:tr>
      <w:tr>
        <w:trPr>
          <w:trHeight w:val="27"/>
        </w:trPr>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7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3,973</w:t>
            </w:r>
          </w:p>
        </w:tc>
        <w:tc>
          <w:tcPr>
            <w:tcW w:w="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4,002</w:t>
            </w:r>
          </w:p>
        </w:tc>
      </w:tr>
      <w:tr>
        <w:trPr>
          <w:trHeight w:val="250"/>
        </w:trPr>
        <w:tc>
          <w:tcPr>
            <w:tcW w:w="71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4,302</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4,430</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1,872</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2,015</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3,817</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3,887</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204</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1,097</w:t>
            </w:r>
          </w:p>
        </w:tc>
        <w:tc>
          <w:tcPr>
            <w:tcW w:w="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967</w:t>
            </w:r>
          </w:p>
        </w:tc>
      </w:tr>
      <w:tr>
        <w:trPr>
          <w:trHeight w:val="237"/>
        </w:trPr>
        <w:tc>
          <w:tcPr>
            <w:tcW w:w="718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15,265</w:t>
            </w:r>
          </w:p>
        </w:tc>
        <w:tc>
          <w:tcPr>
            <w:tcW w:w="4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15,505</w:t>
            </w:r>
          </w:p>
        </w:tc>
      </w:tr>
      <w:tr>
        <w:trPr>
          <w:trHeight w:val="27"/>
        </w:trPr>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7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Short-term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75</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51</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2,183</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2,646</w:t>
            </w:r>
          </w:p>
        </w:tc>
      </w:tr>
      <w:tr>
        <w:trPr>
          <w:trHeight w:val="243"/>
        </w:trPr>
        <w:tc>
          <w:tcPr>
            <w:tcW w:w="71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1,007</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1,065</w:t>
            </w:r>
          </w:p>
        </w:tc>
      </w:tr>
      <w:tr>
        <w:trPr>
          <w:trHeight w:val="27"/>
        </w:trPr>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7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3,447</w:t>
            </w:r>
          </w:p>
        </w:tc>
        <w:tc>
          <w:tcPr>
            <w:tcW w:w="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3,899</w:t>
            </w:r>
          </w:p>
        </w:tc>
      </w:tr>
      <w:tr>
        <w:trPr>
          <w:trHeight w:val="250"/>
        </w:trPr>
        <w:tc>
          <w:tcPr>
            <w:tcW w:w="71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7,999</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7,818</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155</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156</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and pension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646</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683</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797</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857</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7180" w:type="dxa"/>
            <w:vAlign w:val="bottom"/>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w:t>
            </w:r>
            <w:hyperlink w:anchor="page12">
              <w:r>
                <w:rPr>
                  <w:rFonts w:ascii="Arial" w:cs="Arial" w:eastAsia="Arial" w:hAnsi="Arial"/>
                  <w:sz w:val="18"/>
                  <w:szCs w:val="18"/>
                  <w:i w:val="1"/>
                  <w:iCs w:val="1"/>
                  <w:u w:val="single" w:color="auto"/>
                  <w:color w:val="0000FF"/>
                </w:rPr>
                <w:t>Note I</w:t>
              </w:r>
            </w:hyperlink>
            <w:r>
              <w:rPr>
                <w:rFonts w:ascii="Arial" w:cs="Arial" w:eastAsia="Arial" w:hAnsi="Arial"/>
                <w:sz w:val="18"/>
                <w:szCs w:val="18"/>
                <w:i w:val="1"/>
                <w:iCs w:val="1"/>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406</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379</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Crown Holdings shareholders’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1,815</w:t>
            </w:r>
          </w:p>
        </w:tc>
        <w:tc>
          <w:tcPr>
            <w:tcW w:w="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1,713</w:t>
            </w:r>
          </w:p>
        </w:tc>
      </w:tr>
      <w:tr>
        <w:trPr>
          <w:trHeight w:val="237"/>
        </w:trPr>
        <w:tc>
          <w:tcPr>
            <w:tcW w:w="7180" w:type="dxa"/>
            <w:vAlign w:val="bottom"/>
          </w:tcPr>
          <w:p>
            <w:pPr>
              <w:ind w:left="660"/>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2,221</w:t>
            </w:r>
          </w:p>
        </w:tc>
        <w:tc>
          <w:tcPr>
            <w:tcW w:w="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2,092</w:t>
            </w:r>
          </w:p>
        </w:tc>
      </w:tr>
      <w:tr>
        <w:trPr>
          <w:trHeight w:val="27"/>
        </w:trPr>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7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15,265</w:t>
            </w:r>
          </w:p>
        </w:tc>
        <w:tc>
          <w:tcPr>
            <w:tcW w:w="4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15,505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8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85"/>
              </w:rPr>
              <w:t>June 30,</w:t>
            </w:r>
          </w:p>
        </w:tc>
        <w:tc>
          <w:tcPr>
            <w:tcW w:w="940" w:type="dxa"/>
            <w:vAlign w:val="bottom"/>
          </w:tcPr>
          <w:p>
            <w:pPr>
              <w:spacing w:after="0"/>
              <w:rPr>
                <w:sz w:val="23"/>
                <w:szCs w:val="23"/>
                <w:color w:val="auto"/>
              </w:rPr>
            </w:pPr>
          </w:p>
        </w:tc>
      </w:tr>
      <w:tr>
        <w:trPr>
          <w:trHeight w:val="27"/>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255</w:t>
            </w:r>
          </w:p>
        </w:tc>
        <w:tc>
          <w:tcPr>
            <w:tcW w:w="8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305</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245</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8220" w:type="dxa"/>
            <w:vAlign w:val="bottom"/>
          </w:tcPr>
          <w:p>
            <w:pPr>
              <w:ind w:left="660"/>
              <w:spacing w:after="0"/>
              <w:rPr>
                <w:sz w:val="20"/>
                <w:szCs w:val="20"/>
                <w:color w:val="auto"/>
              </w:rPr>
            </w:pPr>
            <w:r>
              <w:rPr>
                <w:rFonts w:ascii="Arial" w:cs="Arial" w:eastAsia="Arial" w:hAnsi="Arial"/>
                <w:sz w:val="18"/>
                <w:szCs w:val="18"/>
                <w:color w:val="auto"/>
              </w:rPr>
              <w:t>Pension expense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Pension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22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Working capital changes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r>
      <w:tr>
        <w:trPr>
          <w:trHeight w:val="237"/>
        </w:trPr>
        <w:tc>
          <w:tcPr>
            <w:tcW w:w="8220" w:type="dxa"/>
            <w:vAlign w:val="bottom"/>
          </w:tcPr>
          <w:p>
            <w:pPr>
              <w:ind w:left="1420"/>
              <w:spacing w:after="0"/>
              <w:rPr>
                <w:sz w:val="20"/>
                <w:szCs w:val="20"/>
                <w:color w:val="auto"/>
              </w:rPr>
            </w:pPr>
            <w:r>
              <w:rPr>
                <w:rFonts w:ascii="Arial" w:cs="Arial" w:eastAsia="Arial" w:hAnsi="Arial"/>
                <w:sz w:val="18"/>
                <w:szCs w:val="18"/>
                <w:b w:val="1"/>
                <w:bCs w:val="1"/>
                <w:color w:val="auto"/>
              </w:rPr>
              <w:t>Net cash used for operating activities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6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r>
      <w:tr>
        <w:trPr>
          <w:trHeight w:val="243"/>
        </w:trPr>
        <w:tc>
          <w:tcPr>
            <w:tcW w:w="8220" w:type="dxa"/>
            <w:vAlign w:val="bottom"/>
          </w:tcPr>
          <w:p>
            <w:pPr>
              <w:ind w:left="660"/>
              <w:spacing w:after="0"/>
              <w:rPr>
                <w:sz w:val="20"/>
                <w:szCs w:val="20"/>
                <w:color w:val="auto"/>
              </w:rPr>
            </w:pPr>
            <w:r>
              <w:rPr>
                <w:rFonts w:ascii="Arial" w:cs="Arial" w:eastAsia="Arial" w:hAnsi="Arial"/>
                <w:sz w:val="18"/>
                <w:szCs w:val="18"/>
                <w:color w:val="auto"/>
              </w:rPr>
              <w:t>Net investment hedge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b w:val="1"/>
                <w:bCs w:val="1"/>
                <w:color w:val="auto"/>
              </w:rPr>
              <w:t>Net cash used for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Proceeds from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66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435</w:t>
            </w:r>
          </w:p>
        </w:tc>
      </w:tr>
      <w:tr>
        <w:trPr>
          <w:trHeight w:val="243"/>
        </w:trPr>
        <w:tc>
          <w:tcPr>
            <w:tcW w:w="8220" w:type="dxa"/>
            <w:vAlign w:val="bottom"/>
          </w:tcPr>
          <w:p>
            <w:pPr>
              <w:ind w:left="660"/>
              <w:spacing w:after="0"/>
              <w:rPr>
                <w:sz w:val="20"/>
                <w:szCs w:val="20"/>
                <w:color w:val="auto"/>
              </w:rPr>
            </w:pPr>
            <w:r>
              <w:rPr>
                <w:rFonts w:ascii="Arial" w:cs="Arial" w:eastAsia="Arial" w:hAnsi="Arial"/>
                <w:sz w:val="18"/>
                <w:szCs w:val="18"/>
                <w:color w:val="auto"/>
              </w:rPr>
              <w:t>Payments of finance leases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Common stock issued</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r>
      <w:tr>
        <w:trPr>
          <w:trHeight w:val="243"/>
        </w:trPr>
        <w:tc>
          <w:tcPr>
            <w:tcW w:w="8220" w:type="dxa"/>
            <w:vAlign w:val="bottom"/>
          </w:tcPr>
          <w:p>
            <w:pPr>
              <w:ind w:left="66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r>
      <w:tr>
        <w:trPr>
          <w:trHeight w:val="243"/>
        </w:trPr>
        <w:tc>
          <w:tcPr>
            <w:tcW w:w="8220" w:type="dxa"/>
            <w:vAlign w:val="bottom"/>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8220" w:type="dxa"/>
            <w:vAlign w:val="bottom"/>
          </w:tcPr>
          <w:p>
            <w:pPr>
              <w:ind w:left="142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99</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659</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June 30</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397</w:t>
            </w:r>
          </w:p>
        </w:tc>
      </w:tr>
      <w:tr>
        <w:trPr>
          <w:trHeight w:val="27"/>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34290</wp:posOffset>
            </wp:positionV>
            <wp:extent cx="3446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820" w:type="dxa"/>
            <w:vAlign w:val="bottom"/>
            <w:gridSpan w:val="2"/>
            <w:vMerge w:val="continue"/>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3"/>
            <w:vMerge w:val="continue"/>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Crown</w:t>
            </w: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3"/>
              </w:rPr>
              <w:t>$ 1,713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(3,222)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3"/>
              </w:rPr>
              <w:t>$ 1,664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4,173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3"/>
              </w:rPr>
              <w:t>$ 1,815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SHAREHOLDERS’ EQUITY (continued)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34290</wp:posOffset>
            </wp:positionV>
            <wp:extent cx="3446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1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Crown</w:t>
            </w:r>
          </w:p>
        </w:tc>
        <w:tc>
          <w:tcPr>
            <w:tcW w:w="1060" w:type="dxa"/>
            <w:vAlign w:val="bottom"/>
            <w:gridSpan w:val="3"/>
            <w:vMerge w:val="continue"/>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3,449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awarded</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(3,289)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3"/>
              </w:rPr>
              <w:t>1,134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Contribution from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3,689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3"/>
              </w:rPr>
              <w:t>1,294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June 30, 2020 and the results of its operations for the three and six months ended June 30, 2020 and 2019 and of its cash flows for the six months ended June 30, 2020 and 2019. The results reported in these consolidated financial statements are not necessarily indicative of the results that may be expected for the entire year including the impact of the coronavirus pandemic which cannot be determined at this time.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07"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2019.</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660" w:right="7440" w:hanging="652"/>
        <w:spacing w:after="0" w:line="557" w:lineRule="auto"/>
        <w:tabs>
          <w:tab w:leader="none" w:pos="6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Accounting and Reporting Developments </w:t>
      </w:r>
      <w:r>
        <w:rPr>
          <w:rFonts w:ascii="Arial" w:cs="Arial" w:eastAsia="Arial" w:hAnsi="Arial"/>
          <w:sz w:val="16"/>
          <w:szCs w:val="16"/>
          <w:u w:val="single" w:color="auto"/>
          <w:color w:val="auto"/>
        </w:rPr>
        <w:t>Recently Adopted Accounting Standards</w:t>
      </w:r>
    </w:p>
    <w:p>
      <w:pPr>
        <w:jc w:val="both"/>
        <w:ind w:left="66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On January 1, 2020, the Company adopted new guidance on the accounting for credit losses on financial instruments. The new guidance introduces an approach, based on expected losses, to estimate credit losses on certain types of financial instruments. The new approach to estimating credit losses applies to most financial assets measured at amortized cost and certain other instruments, including trade and other receivables, loans, held-to-maturity debt securities, net investments in operating leases and off-balance-sheet credit exposures. The guidance did not have a material impact on the Company's consolidated financial statements.</w:t>
      </w:r>
    </w:p>
    <w:p>
      <w:pPr>
        <w:spacing w:after="0" w:line="214" w:lineRule="exact"/>
        <w:rPr>
          <w:rFonts w:ascii="Arial" w:cs="Arial" w:eastAsia="Arial" w:hAnsi="Arial"/>
          <w:sz w:val="16"/>
          <w:szCs w:val="16"/>
          <w:b w:val="1"/>
          <w:bCs w:val="1"/>
          <w:color w:val="auto"/>
        </w:rPr>
      </w:pPr>
    </w:p>
    <w:p>
      <w:pPr>
        <w:jc w:val="both"/>
        <w:ind w:left="660" w:right="2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On January 1, 2020, the Company adopted new guidance, on a prospective basis, which aligns the accounting for implementation costs incurred in a cloud computing arrangement that is a service arrangement (i.e. hosting arrangement) with the guidance on capitalizing costs for internal use software. The guidance did not have a material impact on the Company's consolidated financial statements.</w:t>
      </w:r>
    </w:p>
    <w:p>
      <w:pPr>
        <w:spacing w:after="0" w:line="192"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Recently Issued Accounting Standards</w:t>
      </w:r>
    </w:p>
    <w:p>
      <w:pPr>
        <w:spacing w:after="0" w:line="252" w:lineRule="exact"/>
        <w:rPr>
          <w:rFonts w:ascii="Arial" w:cs="Arial" w:eastAsia="Arial" w:hAnsi="Arial"/>
          <w:sz w:val="16"/>
          <w:szCs w:val="16"/>
          <w:b w:val="1"/>
          <w:bCs w:val="1"/>
          <w:color w:val="auto"/>
        </w:rPr>
      </w:pPr>
    </w:p>
    <w:p>
      <w:pPr>
        <w:ind w:left="660" w:right="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December 2019, the FASB issued new guidance to simplify the accounting for income taxes by, among other things, reducing complexity in the interim-period accounting for year-to-date loss limitations and changes in tax laws. The guidance is effective for the Company on January 1, 2021. The Company is currently evaluating the impact of adopting this standard and does not expect the guidance to have a material impact on its consolidated financial statements.</w:t>
      </w:r>
    </w:p>
    <w:p>
      <w:pPr>
        <w:spacing w:after="0" w:line="213" w:lineRule="exact"/>
        <w:rPr>
          <w:rFonts w:ascii="Arial" w:cs="Arial" w:eastAsia="Arial" w:hAnsi="Arial"/>
          <w:sz w:val="16"/>
          <w:szCs w:val="16"/>
          <w:b w:val="1"/>
          <w:bCs w:val="1"/>
          <w:color w:val="auto"/>
        </w:rPr>
      </w:pPr>
    </w:p>
    <w:p>
      <w:pPr>
        <w:ind w:left="660" w:right="2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March 2020, the FASB issued guidance which provides optional expedients and exceptions for applying GAAP to certain contract modifications and hedging relationships that reference London Inter-bank Offered Rate (LIBOR) or another reference rate expected to be discontinued. The guidance is effective upon issuance and can be applied through December 31, 2022. The Company is currently evaluating the impact of this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2019</w:t>
            </w:r>
          </w:p>
        </w:tc>
      </w:tr>
      <w:tr>
        <w:trPr>
          <w:trHeight w:val="27"/>
        </w:trPr>
        <w:tc>
          <w:tcPr>
            <w:tcW w:w="58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366</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607</w:t>
            </w:r>
          </w:p>
        </w:tc>
      </w:tr>
      <w:tr>
        <w:trPr>
          <w:trHeight w:val="270"/>
        </w:trPr>
        <w:tc>
          <w:tcPr>
            <w:tcW w:w="58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420" w:type="dxa"/>
            <w:vAlign w:val="bottom"/>
          </w:tcPr>
          <w:p>
            <w:pPr>
              <w:spacing w:after="0"/>
              <w:rPr>
                <w:sz w:val="21"/>
                <w:szCs w:val="21"/>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7"/>
        </w:trPr>
        <w:tc>
          <w:tcPr>
            <w:tcW w:w="58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r>
      <w:tr>
        <w:trPr>
          <w:trHeight w:val="270"/>
        </w:trPr>
        <w:tc>
          <w:tcPr>
            <w:tcW w:w="588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r>
      <w:tr>
        <w:trPr>
          <w:trHeight w:val="28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427</w:t>
            </w:r>
          </w:p>
        </w:tc>
        <w:tc>
          <w:tcPr>
            <w:tcW w:w="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D. Receivables</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534"/>
        </w:trPr>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June 30, 2020</w:t>
            </w:r>
          </w:p>
        </w:tc>
        <w:tc>
          <w:tcPr>
            <w:tcW w:w="160" w:type="dxa"/>
            <w:vAlign w:val="bottom"/>
          </w:tcPr>
          <w:p>
            <w:pPr>
              <w:spacing w:after="0"/>
              <w:rPr>
                <w:sz w:val="24"/>
                <w:szCs w:val="24"/>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w w:val="91"/>
              </w:rPr>
              <w:t>December 31, 2019</w:t>
            </w:r>
          </w:p>
        </w:tc>
      </w:tr>
      <w:tr>
        <w:trPr>
          <w:trHeight w:val="27"/>
        </w:trPr>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1,194</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1,162</w:t>
            </w:r>
          </w:p>
        </w:tc>
      </w:tr>
      <w:tr>
        <w:trPr>
          <w:trHeight w:val="243"/>
        </w:trPr>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1,130</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1,100</w:t>
            </w:r>
          </w:p>
        </w:tc>
      </w:tr>
      <w:tr>
        <w:trPr>
          <w:trHeight w:val="243"/>
        </w:trPr>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226</w:t>
            </w:r>
          </w:p>
        </w:tc>
      </w:tr>
      <w:tr>
        <w:trPr>
          <w:trHeight w:val="27"/>
        </w:trPr>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w:t>
            </w:r>
          </w:p>
        </w:tc>
      </w:tr>
      <w:tr>
        <w:trPr>
          <w:trHeight w:val="264"/>
        </w:trPr>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1,604</w:t>
            </w:r>
          </w:p>
        </w:tc>
        <w:tc>
          <w:tcPr>
            <w:tcW w:w="7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1,528</w:t>
            </w:r>
          </w:p>
        </w:tc>
      </w:tr>
      <w:tr>
        <w:trPr>
          <w:trHeight w:val="20"/>
        </w:trPr>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are stated at the lower of cost or market, with cost principally determined under the first-in first-out ("FIFO") or average cost method.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June 30, 2020</w:t>
            </w:r>
          </w:p>
        </w:tc>
        <w:tc>
          <w:tcPr>
            <w:tcW w:w="160" w:type="dxa"/>
            <w:vAlign w:val="bottom"/>
          </w:tcPr>
          <w:p>
            <w:pPr>
              <w:spacing w:after="0"/>
              <w:rPr>
                <w:sz w:val="20"/>
                <w:szCs w:val="20"/>
                <w:color w:val="auto"/>
              </w:rPr>
            </w:pPr>
          </w:p>
        </w:tc>
        <w:tc>
          <w:tcPr>
            <w:tcW w:w="254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1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978</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905</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164</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151</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605</w:t>
            </w: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570</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1,747</w:t>
            </w:r>
          </w:p>
        </w:tc>
        <w:tc>
          <w:tcPr>
            <w:tcW w:w="7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1,626</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80" w:type="dxa"/>
            <w:vAlign w:val="bottom"/>
            <w:vMerge w:val="restart"/>
          </w:tcPr>
          <w:p>
            <w:pPr>
              <w:jc w:val="right"/>
              <w:ind w:right="25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June 30, 2020</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December 31, 2019</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20"/>
                <w:szCs w:val="20"/>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Net</w:t>
            </w:r>
          </w:p>
        </w:tc>
      </w:tr>
      <w:tr>
        <w:trPr>
          <w:trHeight w:val="27"/>
        </w:trPr>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1,188</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1,290</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501</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102</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2,410</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1,872</w:t>
            </w:r>
          </w:p>
        </w:tc>
        <w:tc>
          <w:tcPr>
            <w:tcW w:w="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2,484</w:t>
            </w:r>
          </w:p>
        </w:tc>
        <w:tc>
          <w:tcPr>
            <w:tcW w:w="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2,015</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amortization expense of intangible assets for the three and six months ended June 30, 2020 and 2019 was $44 and $89 and $47 and $94.</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charges / (benefits) as follows:</w:t>
      </w:r>
    </w:p>
    <w:p>
      <w:pPr>
        <w:spacing w:after="0" w:line="6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580" w:type="dxa"/>
            <w:vAlign w:val="bottom"/>
            <w:gridSpan w:val="6"/>
          </w:tcPr>
          <w:p>
            <w:pPr>
              <w:ind w:left="4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70"/>
        </w:trPr>
        <w:tc>
          <w:tcPr>
            <w:tcW w:w="4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46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impairments and sales</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72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7"/>
        </w:trPr>
        <w:tc>
          <w:tcPr>
            <w:tcW w:w="4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 cost</w:t>
            </w:r>
          </w:p>
        </w:tc>
        <w:tc>
          <w:tcPr>
            <w:tcW w:w="7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4600" w:type="dxa"/>
            <w:vAlign w:val="bottom"/>
          </w:tcPr>
          <w:p>
            <w:pPr>
              <w:spacing w:after="0"/>
              <w:rPr>
                <w:sz w:val="20"/>
                <w:szCs w:val="20"/>
                <w:color w:val="auto"/>
              </w:rPr>
            </w:pP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
        </w:trPr>
        <w:tc>
          <w:tcPr>
            <w:tcW w:w="4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and six months ended June 30, 2020, restructuring included charges related to internal reorganizations within the Transit Packaging division, including headcount reductions. For six months ended June 30, 2019, restructuring included a charge of $8 related to headcount reductions in the Company's European Division.</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six months ended June 30, 2019, asset impairments and sales included $6 related to a fire at a production facility in Asia and gains on asset sales related to prior restructuring actions.</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2019, other income related to gains arising from favorable court rulings related to the recovery of indirect taxes paid in prior years by certain of the Company's Brazilian subsidiaries.</w:t>
      </w:r>
    </w:p>
    <w:p>
      <w:pPr>
        <w:spacing w:after="0" w:line="19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At June 30, 2020, the Company had restructuring accruals of $15, primarily related to current and prior year actions to reduce manufacturing capacity and headcount in its European businesses. The Company expects to pay these amounts over the next twelve months. The Company continues to review its supply and demand profile and long-term plans in its businesses, and it is possible that the Company may record additional restructuring charges in the future.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 </w:t>
      </w: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 the Company paid $5 to settle outstanding claims and had claims activity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56,000</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8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56,000</w:t>
            </w:r>
          </w:p>
        </w:tc>
      </w:tr>
      <w:tr>
        <w:trPr>
          <w:trHeight w:val="27"/>
        </w:trPr>
        <w:tc>
          <w:tcPr>
            <w:tcW w:w="83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2019, the Company's outstanding claims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1" w:name="page12"/>
    <w:bookmarkEnd w:id="1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16,500</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13,000</w:t>
            </w:r>
          </w:p>
        </w:tc>
      </w:tr>
      <w:tr>
        <w:trPr>
          <w:trHeight w:val="243"/>
        </w:trPr>
        <w:tc>
          <w:tcPr>
            <w:tcW w:w="8360" w:type="dxa"/>
            <w:vAlign w:val="bottom"/>
          </w:tcPr>
          <w:p>
            <w:pPr>
              <w:ind w:left="32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1,500</w:t>
            </w:r>
          </w:p>
        </w:tc>
      </w:tr>
      <w:tr>
        <w:trPr>
          <w:trHeight w:val="27"/>
        </w:trPr>
        <w:tc>
          <w:tcPr>
            <w:tcW w:w="8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6,000</w:t>
            </w:r>
          </w:p>
        </w:tc>
      </w:tr>
      <w:tr>
        <w:trPr>
          <w:trHeight w:val="243"/>
        </w:trPr>
        <w:tc>
          <w:tcPr>
            <w:tcW w:w="8360" w:type="dxa"/>
            <w:vAlign w:val="bottom"/>
          </w:tcPr>
          <w:p>
            <w:pPr>
              <w:ind w:left="320"/>
              <w:spacing w:after="0"/>
              <w:rPr>
                <w:sz w:val="20"/>
                <w:szCs w:val="20"/>
                <w:color w:val="auto"/>
              </w:rPr>
            </w:pPr>
            <w:r>
              <w:rPr>
                <w:rFonts w:ascii="Arial" w:cs="Arial" w:eastAsia="Arial" w:hAnsi="Arial"/>
                <w:sz w:val="18"/>
                <w:szCs w:val="18"/>
                <w:color w:val="auto"/>
              </w:rPr>
              <w:t>Other states</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19,000</w:t>
            </w:r>
          </w:p>
        </w:tc>
      </w:tr>
      <w:tr>
        <w:trPr>
          <w:trHeight w:val="27"/>
        </w:trPr>
        <w:tc>
          <w:tcPr>
            <w:tcW w:w="83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56,000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2018</w:t>
            </w:r>
          </w:p>
        </w:tc>
      </w:tr>
      <w:tr>
        <w:trPr>
          <w:trHeight w:val="27"/>
        </w:trPr>
        <w:tc>
          <w:tcPr>
            <w:tcW w:w="64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June 30,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Company’s accrual for pending and future asbestos-related claims and related legal costs was $264, including $221 for unasserted claims. The Company determines its accrual without limitation to a specific time period.</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2019),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along with others in most cases, has been identified by the U.S. Environmental Protection Agency or a comparable state environmental agency as a Potentially Responsible Party (“PRP”) at a number of sites and has recorded aggregate accruals of $8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2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also recorded aggregate accruals of $7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20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205"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20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19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(including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connection with tariffs recently imposed in the U.S., which may increase costs)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June 30, 2020,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 </w:t>
      </w:r>
      <w:r>
        <w:rPr>
          <w:rFonts w:ascii="Arial" w:cs="Arial" w:eastAsia="Arial" w:hAnsi="Arial"/>
          <w:sz w:val="18"/>
          <w:szCs w:val="18"/>
          <w:b w:val="1"/>
          <w:bCs w:val="1"/>
          <w:u w:val="single" w:color="auto"/>
          <w:color w:val="auto"/>
        </w:rPr>
        <w:t>Derivative and Other Financial Instruments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Measurements</w:t>
      </w:r>
    </w:p>
    <w:p>
      <w:pPr>
        <w:spacing w:after="0" w:line="252"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0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ind w:left="6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18">
        <w:r>
          <w:rPr>
            <w:rFonts w:ascii="Arial" w:cs="Arial" w:eastAsia="Arial" w:hAnsi="Arial"/>
            <w:sz w:val="18"/>
            <w:szCs w:val="18"/>
            <w:u w:val="single" w:color="auto"/>
            <w:color w:val="0000FF"/>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4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ind w:left="260"/>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June 30, 2020 mature between one and twenty-nine months.</w:t>
      </w:r>
    </w:p>
    <w:p>
      <w:pPr>
        <w:spacing w:after="0" w:line="203" w:lineRule="exact"/>
        <w:rPr>
          <w:sz w:val="20"/>
          <w:szCs w:val="20"/>
          <w:color w:val="auto"/>
        </w:rPr>
      </w:pPr>
    </w:p>
    <w:p>
      <w:pPr>
        <w:jc w:val="both"/>
        <w:ind w:left="260"/>
        <w:spacing w:after="0" w:line="308" w:lineRule="auto"/>
        <w:rPr>
          <w:sz w:val="20"/>
          <w:szCs w:val="20"/>
          <w:color w:val="auto"/>
        </w:rPr>
      </w:pPr>
      <w:r>
        <w:rPr>
          <w:rFonts w:ascii="Arial" w:cs="Arial" w:eastAsia="Arial" w:hAnsi="Arial"/>
          <w:sz w:val="17"/>
          <w:szCs w:val="17"/>
          <w:color w:val="auto"/>
        </w:rPr>
        <w:t>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173" w:lineRule="exact"/>
        <w:rPr>
          <w:sz w:val="20"/>
          <w:szCs w:val="20"/>
          <w:color w:val="auto"/>
        </w:rPr>
      </w:pPr>
    </w:p>
    <w:p>
      <w:pPr>
        <w:jc w:val="both"/>
        <w:ind w:left="260"/>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including aluminum, fuel oil and natural gas, and these exposures are hedged by a central treasury unit.</w:t>
      </w:r>
    </w:p>
    <w:p>
      <w:pPr>
        <w:spacing w:after="0" w:line="197" w:lineRule="exact"/>
        <w:rPr>
          <w:sz w:val="20"/>
          <w:szCs w:val="20"/>
          <w:color w:val="auto"/>
        </w:rPr>
      </w:pPr>
    </w:p>
    <w:p>
      <w:pPr>
        <w:jc w:val="both"/>
        <w:ind w:left="260"/>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Foreign currency risk is generally hedged with the related commodity price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uses interest rate swaps to convert interest on floating rate debt to a fixed-rate.</w:t>
      </w:r>
    </w:p>
    <w:p>
      <w:pPr>
        <w:spacing w:after="0" w:line="252" w:lineRule="exact"/>
        <w:rPr>
          <w:sz w:val="20"/>
          <w:szCs w:val="20"/>
          <w:color w:val="auto"/>
        </w:rPr>
      </w:pPr>
    </w:p>
    <w:p>
      <w:pPr>
        <w:jc w:val="both"/>
        <w:ind w:left="26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5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8"/>
                <w:szCs w:val="18"/>
                <w:color w:val="auto"/>
                <w:w w:val="94"/>
              </w:rPr>
              <w:t>Amount of gain/(loss)</w:t>
            </w:r>
          </w:p>
        </w:tc>
        <w:tc>
          <w:tcPr>
            <w:tcW w:w="220" w:type="dxa"/>
            <w:vAlign w:val="bottom"/>
          </w:tcPr>
          <w:p>
            <w:pPr>
              <w:spacing w:after="0"/>
              <w:rPr>
                <w:sz w:val="20"/>
                <w:szCs w:val="20"/>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Amount of gain/(loss)</w:t>
            </w:r>
          </w:p>
        </w:tc>
        <w:tc>
          <w:tcPr>
            <w:tcW w:w="244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recognized in OCI</w:t>
            </w:r>
          </w:p>
        </w:tc>
        <w:tc>
          <w:tcPr>
            <w:tcW w:w="220" w:type="dxa"/>
            <w:vAlign w:val="bottom"/>
          </w:tcPr>
          <w:p>
            <w:pPr>
              <w:spacing w:after="0"/>
              <w:rPr>
                <w:sz w:val="23"/>
                <w:szCs w:val="23"/>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recognized in OCI</w:t>
            </w:r>
          </w:p>
        </w:tc>
        <w:tc>
          <w:tcPr>
            <w:tcW w:w="2440" w:type="dxa"/>
            <w:vAlign w:val="bottom"/>
          </w:tcPr>
          <w:p>
            <w:pPr>
              <w:spacing w:after="0"/>
              <w:rPr>
                <w:sz w:val="23"/>
                <w:szCs w:val="23"/>
                <w:color w:val="auto"/>
              </w:rPr>
            </w:pP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Six Months Ended</w:t>
            </w:r>
          </w:p>
        </w:tc>
        <w:tc>
          <w:tcPr>
            <w:tcW w:w="244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7"/>
        </w:trPr>
        <w:tc>
          <w:tcPr>
            <w:tcW w:w="316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Pr>
          <w:p>
            <w:pPr>
              <w:spacing w:after="0"/>
              <w:rPr>
                <w:sz w:val="2"/>
                <w:szCs w:val="2"/>
                <w:color w:val="auto"/>
              </w:rPr>
            </w:pPr>
          </w:p>
        </w:tc>
      </w:tr>
      <w:tr>
        <w:trPr>
          <w:trHeight w:val="24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Pr>
          <w:p>
            <w:pPr>
              <w:spacing w:after="0"/>
              <w:rPr>
                <w:sz w:val="21"/>
                <w:szCs w:val="21"/>
                <w:color w:val="auto"/>
              </w:rPr>
            </w:pP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Interest Rate</w:t>
            </w:r>
          </w:p>
        </w:tc>
        <w:tc>
          <w:tcPr>
            <w:tcW w:w="2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4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37"/>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2"/>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5"/>
              </w:rPr>
              <w:t>Amount of gain/</w:t>
            </w:r>
          </w:p>
        </w:tc>
        <w:tc>
          <w:tcPr>
            <w:tcW w:w="220" w:type="dxa"/>
            <w:vAlign w:val="bottom"/>
          </w:tcPr>
          <w:p>
            <w:pPr>
              <w:spacing w:after="0"/>
              <w:rPr>
                <w:sz w:val="24"/>
                <w:szCs w:val="24"/>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Amount of gain/</w:t>
            </w:r>
          </w:p>
        </w:tc>
        <w:tc>
          <w:tcPr>
            <w:tcW w:w="2440" w:type="dxa"/>
            <w:vAlign w:val="bottom"/>
          </w:tcPr>
          <w:p>
            <w:pPr>
              <w:spacing w:after="0"/>
              <w:rPr>
                <w:sz w:val="24"/>
                <w:szCs w:val="24"/>
                <w:color w:val="auto"/>
              </w:rPr>
            </w:pPr>
          </w:p>
        </w:tc>
      </w:tr>
      <w:tr>
        <w:trPr>
          <w:trHeight w:val="270"/>
        </w:trPr>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(loss) reclassified from</w:t>
            </w:r>
          </w:p>
        </w:tc>
        <w:tc>
          <w:tcPr>
            <w:tcW w:w="220" w:type="dxa"/>
            <w:vAlign w:val="bottom"/>
          </w:tcPr>
          <w:p>
            <w:pPr>
              <w:spacing w:after="0"/>
              <w:rPr>
                <w:sz w:val="23"/>
                <w:szCs w:val="23"/>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(loss) reclassified from</w:t>
            </w:r>
          </w:p>
        </w:tc>
        <w:tc>
          <w:tcPr>
            <w:tcW w:w="2440" w:type="dxa"/>
            <w:vAlign w:val="bottom"/>
          </w:tcPr>
          <w:p>
            <w:pPr>
              <w:spacing w:after="0"/>
              <w:rPr>
                <w:sz w:val="23"/>
                <w:szCs w:val="23"/>
                <w:color w:val="auto"/>
              </w:rPr>
            </w:pPr>
          </w:p>
        </w:tc>
      </w:tr>
      <w:tr>
        <w:trPr>
          <w:trHeight w:val="270"/>
        </w:trPr>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color w:val="auto"/>
                <w:w w:val="94"/>
              </w:rPr>
              <w:t>AOCI into income</w:t>
            </w:r>
          </w:p>
        </w:tc>
        <w:tc>
          <w:tcPr>
            <w:tcW w:w="220" w:type="dxa"/>
            <w:vAlign w:val="bottom"/>
          </w:tcPr>
          <w:p>
            <w:pPr>
              <w:spacing w:after="0"/>
              <w:rPr>
                <w:sz w:val="23"/>
                <w:szCs w:val="23"/>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color w:val="auto"/>
                <w:w w:val="94"/>
              </w:rPr>
              <w:t>AOCI into income</w:t>
            </w:r>
          </w:p>
        </w:tc>
        <w:tc>
          <w:tcPr>
            <w:tcW w:w="2440" w:type="dxa"/>
            <w:vAlign w:val="bottom"/>
          </w:tcPr>
          <w:p>
            <w:pPr>
              <w:spacing w:after="0"/>
              <w:rPr>
                <w:sz w:val="23"/>
                <w:szCs w:val="23"/>
                <w:color w:val="auto"/>
              </w:rPr>
            </w:pP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Six Months Ended</w:t>
            </w:r>
          </w:p>
        </w:tc>
        <w:tc>
          <w:tcPr>
            <w:tcW w:w="244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Affected line items in the</w:t>
            </w:r>
          </w:p>
        </w:tc>
      </w:tr>
      <w:tr>
        <w:trPr>
          <w:trHeight w:val="27"/>
        </w:trPr>
        <w:tc>
          <w:tcPr>
            <w:tcW w:w="316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Statement of Operations</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7"/>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320" w:type="dxa"/>
            <w:vAlign w:val="bottom"/>
            <w:gridSpan w:val="3"/>
          </w:tcPr>
          <w:p>
            <w:pPr>
              <w:jc w:val="right"/>
              <w:ind w:right="790"/>
              <w:spacing w:after="0"/>
              <w:rPr>
                <w:sz w:val="20"/>
                <w:szCs w:val="20"/>
                <w:color w:val="auto"/>
              </w:rPr>
            </w:pPr>
            <w:r>
              <w:rPr>
                <w:rFonts w:ascii="Arial" w:cs="Arial" w:eastAsia="Arial" w:hAnsi="Arial"/>
                <w:sz w:val="18"/>
                <w:szCs w:val="18"/>
                <w:color w:val="auto"/>
              </w:rPr>
              <w:t>(1)   Cost of products sold</w:t>
            </w: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20" w:type="dxa"/>
            <w:vAlign w:val="bottom"/>
            <w:gridSpan w:val="3"/>
          </w:tcPr>
          <w:p>
            <w:pPr>
              <w:spacing w:after="0"/>
              <w:rPr>
                <w:sz w:val="2"/>
                <w:szCs w:val="2"/>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gridSpan w:val="3"/>
            <w:shd w:val="clear" w:color="auto" w:fill="CCEEFF"/>
          </w:tcPr>
          <w:p>
            <w:pPr>
              <w:jc w:val="right"/>
              <w:ind w:right="790"/>
              <w:spacing w:after="0"/>
              <w:rPr>
                <w:sz w:val="20"/>
                <w:szCs w:val="20"/>
                <w:color w:val="auto"/>
              </w:rPr>
            </w:pPr>
            <w:r>
              <w:rPr>
                <w:rFonts w:ascii="Arial" w:cs="Arial" w:eastAsia="Arial" w:hAnsi="Arial"/>
                <w:sz w:val="18"/>
                <w:szCs w:val="18"/>
                <w:color w:val="auto"/>
              </w:rPr>
              <w:t>(21)   Cost of products sold</w:t>
            </w:r>
          </w:p>
        </w:tc>
      </w:tr>
      <w:tr>
        <w:trPr>
          <w:trHeight w:val="236"/>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Income before taxes</w:t>
            </w:r>
          </w:p>
        </w:tc>
      </w:tr>
      <w:tr>
        <w:trPr>
          <w:trHeight w:val="27"/>
        </w:trPr>
        <w:tc>
          <w:tcPr>
            <w:tcW w:w="3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r>
      <w:tr>
        <w:trPr>
          <w:trHeight w:val="263"/>
        </w:trPr>
        <w:tc>
          <w:tcPr>
            <w:tcW w:w="3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64"/>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7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121" w:right="339" w:bottom="1440" w:gutter="0" w:footer="0" w:header="0"/>
          <w:type w:val="continuous"/>
        </w:sectPr>
      </w:pPr>
    </w:p>
    <w:bookmarkStart w:id="15" w:name="page16"/>
    <w:bookmarkEnd w:id="15"/>
    <w:p>
      <w:pPr>
        <w:jc w:val="center"/>
        <w:ind w:right="36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For the twelve-month period ending June 30, 2021, a net loss of $22 ($18, net of tax) is expected to be reclassified to earnings for commodity and foreign exchange contracts. No amounts were reclassified during the six months ended June 30, 2020 and 2019 in connection with anticipated transactions that were no longer considered probable.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14" w:lineRule="exact"/>
        <w:rPr>
          <w:sz w:val="20"/>
          <w:szCs w:val="20"/>
          <w:color w:val="auto"/>
        </w:rPr>
      </w:pPr>
    </w:p>
    <w:p>
      <w:pPr>
        <w:jc w:val="both"/>
        <w:ind w:left="300"/>
        <w:spacing w:after="0" w:line="342" w:lineRule="auto"/>
        <w:rPr>
          <w:sz w:val="20"/>
          <w:szCs w:val="20"/>
          <w:color w:val="auto"/>
        </w:rPr>
      </w:pPr>
      <w:r>
        <w:rPr>
          <w:rFonts w:ascii="Arial" w:cs="Arial" w:eastAsia="Arial" w:hAnsi="Arial"/>
          <w:sz w:val="16"/>
          <w:szCs w:val="16"/>
          <w:color w:val="auto"/>
        </w:rPr>
        <w:t>For the three and six months ended June 30, 2020 and 2019, the Company recorded a loss of $2 and a loss of less than $1 from foreign exchange contracts designated as fair value hedges. These adjustments were reported within foreign exchange in the Consolidated Statements of Operations.</w:t>
      </w:r>
    </w:p>
    <w:p>
      <w:pPr>
        <w:spacing w:after="0" w:line="151" w:lineRule="exact"/>
        <w:rPr>
          <w:sz w:val="20"/>
          <w:szCs w:val="20"/>
          <w:color w:val="auto"/>
        </w:rPr>
      </w:pPr>
    </w:p>
    <w:p>
      <w:pPr>
        <w:jc w:val="both"/>
        <w:ind w:left="300"/>
        <w:spacing w:after="0" w:line="296" w:lineRule="auto"/>
        <w:rPr>
          <w:sz w:val="20"/>
          <w:szCs w:val="20"/>
          <w:color w:val="auto"/>
        </w:rPr>
      </w:pPr>
      <w:r>
        <w:rPr>
          <w:rFonts w:ascii="Arial" w:cs="Arial" w:eastAsia="Arial" w:hAnsi="Arial"/>
          <w:sz w:val="16"/>
          <w:szCs w:val="16"/>
          <w:color w:val="auto"/>
        </w:rPr>
        <w:t>Certain derivative financial instruments, including foreign exchange contracts related to intercompany debt, were not designated or did not quality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30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5"/>
          </w:tcPr>
          <w:p>
            <w:pPr>
              <w:ind w:left="220"/>
              <w:spacing w:after="0"/>
              <w:rPr>
                <w:sz w:val="20"/>
                <w:szCs w:val="20"/>
                <w:color w:val="auto"/>
              </w:rPr>
            </w:pPr>
            <w:r>
              <w:rPr>
                <w:rFonts w:ascii="Arial" w:cs="Arial" w:eastAsia="Arial" w:hAnsi="Arial"/>
                <w:sz w:val="18"/>
                <w:szCs w:val="18"/>
                <w:color w:val="auto"/>
              </w:rPr>
              <w:t>Pre-tax amount of gain/</w:t>
            </w:r>
          </w:p>
        </w:tc>
        <w:tc>
          <w:tcPr>
            <w:tcW w:w="220" w:type="dxa"/>
            <w:vAlign w:val="bottom"/>
          </w:tcPr>
          <w:p>
            <w:pPr>
              <w:spacing w:after="0"/>
              <w:rPr>
                <w:sz w:val="20"/>
                <w:szCs w:val="20"/>
                <w:color w:val="auto"/>
              </w:rPr>
            </w:pPr>
          </w:p>
        </w:tc>
        <w:tc>
          <w:tcPr>
            <w:tcW w:w="2120" w:type="dxa"/>
            <w:vAlign w:val="bottom"/>
            <w:gridSpan w:val="4"/>
          </w:tcPr>
          <w:p>
            <w:pPr>
              <w:jc w:val="right"/>
              <w:ind w:right="210"/>
              <w:spacing w:after="0"/>
              <w:rPr>
                <w:sz w:val="20"/>
                <w:szCs w:val="20"/>
                <w:color w:val="auto"/>
              </w:rPr>
            </w:pPr>
            <w:r>
              <w:rPr>
                <w:rFonts w:ascii="Arial" w:cs="Arial" w:eastAsia="Arial" w:hAnsi="Arial"/>
                <w:sz w:val="18"/>
                <w:szCs w:val="18"/>
                <w:color w:val="auto"/>
                <w:w w:val="96"/>
              </w:rPr>
              <w:t>Pre-tax amount of gain/</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70"/>
        </w:trPr>
        <w:tc>
          <w:tcPr>
            <w:tcW w:w="3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(loss) recognized in income</w:t>
            </w:r>
          </w:p>
        </w:tc>
        <w:tc>
          <w:tcPr>
            <w:tcW w:w="220" w:type="dxa"/>
            <w:vAlign w:val="bottom"/>
          </w:tcPr>
          <w:p>
            <w:pPr>
              <w:spacing w:after="0"/>
              <w:rPr>
                <w:sz w:val="23"/>
                <w:szCs w:val="23"/>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(loss) recognized in</w:t>
            </w:r>
          </w:p>
        </w:tc>
        <w:tc>
          <w:tcPr>
            <w:tcW w:w="10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270"/>
        </w:trPr>
        <w:tc>
          <w:tcPr>
            <w:tcW w:w="3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on derivative</w:t>
            </w:r>
          </w:p>
        </w:tc>
        <w:tc>
          <w:tcPr>
            <w:tcW w:w="22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92"/>
              </w:rPr>
              <w:t>income on derivative</w:t>
            </w:r>
          </w:p>
        </w:tc>
        <w:tc>
          <w:tcPr>
            <w:tcW w:w="10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Three Months Ended</w:t>
            </w:r>
          </w:p>
        </w:tc>
        <w:tc>
          <w:tcPr>
            <w:tcW w:w="22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70"/>
        </w:trPr>
        <w:tc>
          <w:tcPr>
            <w:tcW w:w="3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3"/>
          </w:tcPr>
          <w:p>
            <w:pPr>
              <w:jc w:val="center"/>
              <w:ind w:left="61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Affected line item in the</w:t>
            </w:r>
          </w:p>
        </w:tc>
      </w:tr>
      <w:tr>
        <w:trPr>
          <w:trHeight w:val="27"/>
        </w:trPr>
        <w:tc>
          <w:tcPr>
            <w:tcW w:w="31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Statement of Operations</w:t>
            </w:r>
          </w:p>
        </w:tc>
      </w:tr>
      <w:tr>
        <w:trPr>
          <w:trHeight w:val="27"/>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7"/>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r>
      <w:tr>
        <w:trPr>
          <w:trHeight w:val="243"/>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Foreign exchange</w:t>
            </w:r>
          </w:p>
        </w:tc>
      </w:tr>
      <w:tr>
        <w:trPr>
          <w:trHeight w:val="27"/>
        </w:trPr>
        <w:tc>
          <w:tcPr>
            <w:tcW w:w="3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r>
      <w:tr>
        <w:trPr>
          <w:trHeight w:val="289"/>
        </w:trPr>
        <w:tc>
          <w:tcPr>
            <w:tcW w:w="3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spacing w:after="0"/>
              <w:rPr>
                <w:sz w:val="24"/>
                <w:szCs w:val="24"/>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ind w:left="300"/>
        <w:spacing w:after="0" w:line="296" w:lineRule="auto"/>
        <w:rPr>
          <w:sz w:val="20"/>
          <w:szCs w:val="20"/>
          <w:color w:val="auto"/>
        </w:rPr>
      </w:pPr>
      <w:r>
        <w:rPr>
          <w:rFonts w:ascii="Arial" w:cs="Arial" w:eastAsia="Arial" w:hAnsi="Arial"/>
          <w:sz w:val="16"/>
          <w:szCs w:val="16"/>
          <w:color w:val="auto"/>
        </w:rPr>
        <w:t>During the three and six months ended June 30, 2020, the Company recorded a loss of $26 ($26, net of tax) and a loss of less than $1 ($1, net of tax) in other comprehensive income for certain debt instruments that are designated as hedges of its net investment in a euro-based subsidiary. For the three and six months ended June 30, 2019, the Company recorded a loss of $19 ($19, net of tax) and a gain of $9 ($9, net of tax). As of June 30, 2020 and December 31, 2019, cumulative losses of $32 ($9, net of tax) were recognized in accumulated other comprehensive income related to these net investment hedges and the carrying amount of the hedged net investment was €1,161 ($1,303 at June 30, 2020).</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tables set forth the impact on OCI from changes in the fair value of derivative instruments designated as net investment hedges.</w:t>
      </w:r>
    </w:p>
    <w:p>
      <w:pPr>
        <w:sectPr>
          <w:pgSz w:w="11900" w:h="16838" w:orient="portrait"/>
          <w:cols w:equalWidth="0" w:num="1">
            <w:col w:w="10880"/>
          </w:cols>
          <w:pgMar w:left="6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80" w:top="121" w:right="339" w:bottom="1440" w:gutter="0" w:footer="0" w:header="0"/>
          <w:type w:val="continuous"/>
        </w:sectPr>
      </w:pPr>
    </w:p>
    <w:bookmarkStart w:id="16" w:name="page17"/>
    <w:bookmarkEnd w:id="16"/>
    <w:p>
      <w:pPr>
        <w:jc w:val="center"/>
        <w:ind w:right="36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Amount of gain/(loss)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color w:val="auto"/>
                <w:w w:val="94"/>
              </w:rPr>
              <w:t>Amount of gain/(loss)</w:t>
            </w:r>
          </w:p>
        </w:tc>
      </w:tr>
      <w:tr>
        <w:trPr>
          <w:trHeight w:val="270"/>
        </w:trPr>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recognized in OCI</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recognized in OCI</w:t>
            </w:r>
          </w:p>
        </w:tc>
      </w:tr>
      <w:tr>
        <w:trPr>
          <w:trHeight w:val="27"/>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Three months 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Six months ended</w:t>
            </w:r>
          </w:p>
        </w:tc>
      </w:tr>
      <w:tr>
        <w:trPr>
          <w:trHeight w:val="270"/>
        </w:trPr>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3"/>
          </w:tcPr>
          <w:p>
            <w:pPr>
              <w:jc w:val="center"/>
              <w:ind w:left="10"/>
              <w:spacing w:after="0"/>
              <w:rPr>
                <w:sz w:val="20"/>
                <w:szCs w:val="20"/>
                <w:color w:val="auto"/>
              </w:rPr>
            </w:pPr>
            <w:r>
              <w:rPr>
                <w:rFonts w:ascii="Arial" w:cs="Arial" w:eastAsia="Arial" w:hAnsi="Arial"/>
                <w:sz w:val="18"/>
                <w:szCs w:val="18"/>
                <w:color w:val="auto"/>
                <w:w w:val="86"/>
              </w:rPr>
              <w:t>June 30,</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
        </w:trPr>
        <w:tc>
          <w:tcPr>
            <w:tcW w:w="46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2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7"/>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r>
      <w:tr>
        <w:trPr>
          <w:trHeight w:val="27"/>
        </w:trPr>
        <w:tc>
          <w:tcPr>
            <w:tcW w:w="4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ind w:left="300"/>
        <w:spacing w:after="0" w:line="342" w:lineRule="auto"/>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 as of June 30, 2020 and December 31, 2019, respectively. The fair values of these financial instruments were reported under Level 2 of the fair value hierarchy.</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8"/>
                <w:szCs w:val="18"/>
                <w:color w:val="auto"/>
                <w:w w:val="87"/>
              </w:rPr>
              <w:t>Balance Sheet</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Balance Sheet</w:t>
            </w:r>
          </w:p>
        </w:tc>
        <w:tc>
          <w:tcPr>
            <w:tcW w:w="2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230"/>
        </w:trPr>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classification</w:t>
            </w: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classification</w:t>
            </w: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r>
      <w:tr>
        <w:trPr>
          <w:trHeight w:val="27"/>
        </w:trPr>
        <w:tc>
          <w:tcPr>
            <w:tcW w:w="8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18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88"/>
              </w:rPr>
              <w:t>Derivatives designated as</w:t>
            </w:r>
          </w:p>
        </w:tc>
        <w:tc>
          <w:tcPr>
            <w:tcW w:w="1340" w:type="dxa"/>
            <w:vAlign w:val="bottom"/>
            <w:tcBorders>
              <w:top w:val="single" w:sz="8" w:color="auto"/>
            </w:tcBorders>
            <w:gridSpan w:val="3"/>
            <w:shd w:val="clear" w:color="auto" w:fill="CCEEFF"/>
          </w:tcPr>
          <w:p>
            <w:pPr>
              <w:ind w:left="60"/>
              <w:spacing w:after="0" w:line="182" w:lineRule="exact"/>
              <w:rPr>
                <w:sz w:val="20"/>
                <w:szCs w:val="20"/>
                <w:color w:val="auto"/>
              </w:rPr>
            </w:pPr>
            <w:r>
              <w:rPr>
                <w:rFonts w:ascii="Arial" w:cs="Arial" w:eastAsia="Arial" w:hAnsi="Arial"/>
                <w:sz w:val="18"/>
                <w:szCs w:val="18"/>
                <w:color w:val="auto"/>
              </w:rPr>
              <w:t>hedging</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196"/>
        </w:trPr>
        <w:tc>
          <w:tcPr>
            <w:tcW w:w="18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instruments</w:t>
            </w: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r>
      <w:tr>
        <w:trPr>
          <w:trHeight w:val="48"/>
        </w:trPr>
        <w:tc>
          <w:tcPr>
            <w:tcW w:w="84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29"/>
        </w:trPr>
        <w:tc>
          <w:tcPr>
            <w:tcW w:w="18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460" w:type="dxa"/>
            <w:vAlign w:val="bottom"/>
            <w:gridSpan w:val="4"/>
          </w:tcPr>
          <w:p>
            <w:pPr>
              <w:ind w:left="20"/>
              <w:spacing w:after="0"/>
              <w:rPr>
                <w:sz w:val="20"/>
                <w:szCs w:val="20"/>
                <w:color w:val="auto"/>
              </w:rPr>
            </w:pPr>
            <w:r>
              <w:rPr>
                <w:rFonts w:ascii="Arial" w:cs="Arial" w:eastAsia="Arial" w:hAnsi="Arial"/>
                <w:sz w:val="18"/>
                <w:szCs w:val="18"/>
                <w:color w:val="auto"/>
              </w:rPr>
              <w:t>Other current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contracts cash flow</w:t>
            </w:r>
          </w:p>
        </w:tc>
        <w:tc>
          <w:tcPr>
            <w:tcW w:w="1460" w:type="dxa"/>
            <w:vAlign w:val="bottom"/>
            <w:gridSpan w:val="4"/>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7"/>
        </w:trPr>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Other non-current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29"/>
        </w:trPr>
        <w:tc>
          <w:tcPr>
            <w:tcW w:w="18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460" w:type="dxa"/>
            <w:vAlign w:val="bottom"/>
            <w:gridSpan w:val="4"/>
          </w:tcPr>
          <w:p>
            <w:pPr>
              <w:ind w:left="20"/>
              <w:spacing w:after="0"/>
              <w:rPr>
                <w:sz w:val="20"/>
                <w:szCs w:val="20"/>
                <w:color w:val="auto"/>
              </w:rPr>
            </w:pPr>
            <w:r>
              <w:rPr>
                <w:rFonts w:ascii="Arial" w:cs="Arial" w:eastAsia="Arial" w:hAnsi="Arial"/>
                <w:sz w:val="18"/>
                <w:szCs w:val="18"/>
                <w:color w:val="auto"/>
              </w:rPr>
              <w:t>Other current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contracts fair value</w:t>
            </w:r>
          </w:p>
        </w:tc>
        <w:tc>
          <w:tcPr>
            <w:tcW w:w="1460" w:type="dxa"/>
            <w:vAlign w:val="bottom"/>
            <w:gridSpan w:val="4"/>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7"/>
        </w:trPr>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Commodities contracts</w:t>
            </w:r>
          </w:p>
        </w:tc>
        <w:tc>
          <w:tcPr>
            <w:tcW w:w="1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current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w:t>
            </w:r>
          </w:p>
        </w:tc>
        <w:tc>
          <w:tcPr>
            <w:tcW w:w="1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29"/>
        </w:trPr>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gridSpan w:val="4"/>
          </w:tcPr>
          <w:p>
            <w:pPr>
              <w:ind w:left="20"/>
              <w:spacing w:after="0"/>
              <w:rPr>
                <w:sz w:val="20"/>
                <w:szCs w:val="20"/>
                <w:color w:val="auto"/>
              </w:rPr>
            </w:pPr>
            <w:r>
              <w:rPr>
                <w:rFonts w:ascii="Arial" w:cs="Arial" w:eastAsia="Arial" w:hAnsi="Arial"/>
                <w:sz w:val="18"/>
                <w:szCs w:val="18"/>
                <w:color w:val="auto"/>
                <w:w w:val="99"/>
              </w:rPr>
              <w:t>Other non-current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Other non-current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4"/>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1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Other non-current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w:t>
            </w:r>
          </w:p>
        </w:tc>
        <w:tc>
          <w:tcPr>
            <w:tcW w:w="1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29"/>
        </w:trPr>
        <w:tc>
          <w:tcPr>
            <w:tcW w:w="1840" w:type="dxa"/>
            <w:vAlign w:val="bottom"/>
            <w:gridSpan w:val="2"/>
          </w:tcPr>
          <w:p>
            <w:pPr>
              <w:spacing w:after="0"/>
              <w:rPr>
                <w:sz w:val="20"/>
                <w:szCs w:val="20"/>
                <w:color w:val="auto"/>
              </w:rPr>
            </w:pPr>
            <w:r>
              <w:rPr>
                <w:rFonts w:ascii="Arial" w:cs="Arial" w:eastAsia="Arial" w:hAnsi="Arial"/>
                <w:sz w:val="18"/>
                <w:szCs w:val="18"/>
                <w:color w:val="auto"/>
              </w:rPr>
              <w:t>Net investment hedge</w:t>
            </w:r>
          </w:p>
        </w:tc>
        <w:tc>
          <w:tcPr>
            <w:tcW w:w="1460" w:type="dxa"/>
            <w:vAlign w:val="bottom"/>
            <w:gridSpan w:val="4"/>
          </w:tcPr>
          <w:p>
            <w:pPr>
              <w:ind w:left="20"/>
              <w:spacing w:after="0"/>
              <w:rPr>
                <w:sz w:val="20"/>
                <w:szCs w:val="20"/>
                <w:color w:val="auto"/>
              </w:rPr>
            </w:pPr>
            <w:r>
              <w:rPr>
                <w:rFonts w:ascii="Arial" w:cs="Arial" w:eastAsia="Arial" w:hAnsi="Arial"/>
                <w:sz w:val="18"/>
                <w:szCs w:val="18"/>
                <w:color w:val="auto"/>
                <w:w w:val="99"/>
              </w:rPr>
              <w:t>Other non-current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Other non-current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4"/>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7"/>
        </w:trPr>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r>
      <w:tr>
        <w:trPr>
          <w:trHeight w:val="641"/>
        </w:trPr>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8"/>
                <w:szCs w:val="18"/>
                <w:color w:val="auto"/>
                <w:w w:val="87"/>
              </w:rPr>
              <w:t>Balance Sheet</w:t>
            </w: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Balance Sheet</w:t>
            </w: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230"/>
        </w:trPr>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classification</w:t>
            </w: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classification</w:t>
            </w: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9"/>
              </w:rPr>
              <w:t>2019</w:t>
            </w:r>
          </w:p>
        </w:tc>
      </w:tr>
      <w:tr>
        <w:trPr>
          <w:trHeight w:val="27"/>
        </w:trPr>
        <w:tc>
          <w:tcPr>
            <w:tcW w:w="8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18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85"/>
              </w:rPr>
              <w:t>Derivatives not designated</w:t>
            </w:r>
          </w:p>
        </w:tc>
        <w:tc>
          <w:tcPr>
            <w:tcW w:w="1340" w:type="dxa"/>
            <w:vAlign w:val="bottom"/>
            <w:tcBorders>
              <w:top w:val="single" w:sz="8" w:color="auto"/>
            </w:tcBorders>
            <w:gridSpan w:val="3"/>
            <w:shd w:val="clear" w:color="auto" w:fill="CCEEFF"/>
          </w:tcPr>
          <w:p>
            <w:pPr>
              <w:ind w:left="140"/>
              <w:spacing w:after="0" w:line="182" w:lineRule="exact"/>
              <w:rPr>
                <w:sz w:val="20"/>
                <w:szCs w:val="20"/>
                <w:color w:val="auto"/>
              </w:rPr>
            </w:pPr>
            <w:r>
              <w:rPr>
                <w:rFonts w:ascii="Arial" w:cs="Arial" w:eastAsia="Arial" w:hAnsi="Arial"/>
                <w:sz w:val="18"/>
                <w:szCs w:val="18"/>
                <w:color w:val="auto"/>
              </w:rPr>
              <w:t>as hedging</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196"/>
        </w:trPr>
        <w:tc>
          <w:tcPr>
            <w:tcW w:w="18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instruments</w:t>
            </w: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r>
      <w:tr>
        <w:trPr>
          <w:trHeight w:val="48"/>
        </w:trPr>
        <w:tc>
          <w:tcPr>
            <w:tcW w:w="84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29"/>
        </w:trPr>
        <w:tc>
          <w:tcPr>
            <w:tcW w:w="184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460" w:type="dxa"/>
            <w:vAlign w:val="bottom"/>
            <w:gridSpan w:val="4"/>
          </w:tcPr>
          <w:p>
            <w:pPr>
              <w:ind w:left="20"/>
              <w:spacing w:after="0"/>
              <w:rPr>
                <w:sz w:val="20"/>
                <w:szCs w:val="20"/>
                <w:color w:val="auto"/>
              </w:rPr>
            </w:pPr>
            <w:r>
              <w:rPr>
                <w:rFonts w:ascii="Arial" w:cs="Arial" w:eastAsia="Arial" w:hAnsi="Arial"/>
                <w:sz w:val="18"/>
                <w:szCs w:val="18"/>
                <w:color w:val="auto"/>
              </w:rPr>
              <w:t>Other current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contracts</w:t>
            </w:r>
          </w:p>
        </w:tc>
        <w:tc>
          <w:tcPr>
            <w:tcW w:w="1460" w:type="dxa"/>
            <w:vAlign w:val="bottom"/>
            <w:gridSpan w:val="4"/>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7"/>
        </w:trPr>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Other non-current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8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36"/>
        </w:trPr>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r>
      <w:tr>
        <w:trPr>
          <w:trHeight w:val="27"/>
        </w:trPr>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r>
      <w:tr>
        <w:trPr>
          <w:trHeight w:val="236"/>
        </w:trPr>
        <w:tc>
          <w:tcPr>
            <w:tcW w:w="1840" w:type="dxa"/>
            <w:vAlign w:val="bottom"/>
            <w:gridSpan w:val="2"/>
          </w:tcPr>
          <w:p>
            <w:pPr>
              <w:spacing w:after="0"/>
              <w:rPr>
                <w:sz w:val="20"/>
                <w:szCs w:val="20"/>
                <w:color w:val="auto"/>
              </w:rPr>
            </w:pPr>
            <w:r>
              <w:rPr>
                <w:rFonts w:ascii="Arial" w:cs="Arial" w:eastAsia="Arial" w:hAnsi="Arial"/>
                <w:sz w:val="18"/>
                <w:szCs w:val="18"/>
                <w:color w:val="auto"/>
              </w:rPr>
              <w:t>Total derivatives</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49</w:t>
            </w:r>
          </w:p>
        </w:tc>
      </w:tr>
      <w:tr>
        <w:trPr>
          <w:trHeight w:val="27"/>
        </w:trPr>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680" w:top="121" w:right="339" w:bottom="11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80" w:top="121" w:right="339" w:bottom="1128" w:gutter="0" w:footer="0" w:header="0"/>
          <w:type w:val="continuous"/>
        </w:sectPr>
      </w:pPr>
    </w:p>
    <w:bookmarkStart w:id="17" w:name="page18"/>
    <w:bookmarkEnd w:id="17"/>
    <w:p>
      <w:pPr>
        <w:jc w:val="center"/>
        <w:ind w:right="36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260" w:type="dxa"/>
            <w:vAlign w:val="bottom"/>
            <w:gridSpan w:val="3"/>
          </w:tcPr>
          <w:p>
            <w:pPr>
              <w:spacing w:after="0"/>
              <w:rPr>
                <w:sz w:val="20"/>
                <w:szCs w:val="20"/>
                <w:color w:val="auto"/>
              </w:rPr>
            </w:pPr>
            <w:r>
              <w:rPr>
                <w:rFonts w:ascii="Arial" w:cs="Arial" w:eastAsia="Arial" w:hAnsi="Arial"/>
                <w:sz w:val="18"/>
                <w:szCs w:val="18"/>
                <w:color w:val="auto"/>
              </w:rPr>
              <w:t>Fair Value Hedge Carrying Amounts</w:t>
            </w: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34"/>
        </w:trPr>
        <w:tc>
          <w:tcPr>
            <w:tcW w:w="264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4"/>
          </w:tcPr>
          <w:p>
            <w:pPr>
              <w:ind w:left="440"/>
              <w:spacing w:after="0"/>
              <w:rPr>
                <w:sz w:val="20"/>
                <w:szCs w:val="20"/>
                <w:color w:val="auto"/>
              </w:rPr>
            </w:pPr>
            <w:r>
              <w:rPr>
                <w:rFonts w:ascii="Arial" w:cs="Arial" w:eastAsia="Arial" w:hAnsi="Arial"/>
                <w:sz w:val="18"/>
                <w:szCs w:val="18"/>
                <w:color w:val="auto"/>
                <w:w w:val="90"/>
              </w:rPr>
              <w:t>Carrying amount of the hedged</w:t>
            </w:r>
          </w:p>
        </w:tc>
        <w:tc>
          <w:tcPr>
            <w:tcW w:w="420" w:type="dxa"/>
            <w:vAlign w:val="bottom"/>
          </w:tcPr>
          <w:p>
            <w:pPr>
              <w:spacing w:after="0"/>
              <w:rPr>
                <w:sz w:val="24"/>
                <w:szCs w:val="24"/>
                <w:color w:val="auto"/>
              </w:rPr>
            </w:pPr>
          </w:p>
        </w:tc>
      </w:tr>
      <w:tr>
        <w:trPr>
          <w:trHeight w:val="270"/>
        </w:trPr>
        <w:tc>
          <w:tcPr>
            <w:tcW w:w="264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700" w:type="dxa"/>
            <w:vAlign w:val="bottom"/>
            <w:gridSpan w:val="4"/>
          </w:tcPr>
          <w:p>
            <w:pPr>
              <w:ind w:left="920"/>
              <w:spacing w:after="0"/>
              <w:rPr>
                <w:sz w:val="20"/>
                <w:szCs w:val="20"/>
                <w:color w:val="auto"/>
              </w:rPr>
            </w:pPr>
            <w:r>
              <w:rPr>
                <w:rFonts w:ascii="Arial" w:cs="Arial" w:eastAsia="Arial" w:hAnsi="Arial"/>
                <w:sz w:val="18"/>
                <w:szCs w:val="18"/>
                <w:color w:val="auto"/>
              </w:rPr>
              <w:t>assets/(liabilities)</w:t>
            </w:r>
          </w:p>
        </w:tc>
        <w:tc>
          <w:tcPr>
            <w:tcW w:w="420" w:type="dxa"/>
            <w:vAlign w:val="bottom"/>
          </w:tcPr>
          <w:p>
            <w:pPr>
              <w:spacing w:after="0"/>
              <w:rPr>
                <w:sz w:val="23"/>
                <w:szCs w:val="23"/>
                <w:color w:val="auto"/>
              </w:rPr>
            </w:pPr>
          </w:p>
        </w:tc>
      </w:tr>
      <w:tr>
        <w:trPr>
          <w:trHeight w:val="27"/>
        </w:trPr>
        <w:tc>
          <w:tcPr>
            <w:tcW w:w="2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22"/>
        </w:trPr>
        <w:tc>
          <w:tcPr>
            <w:tcW w:w="26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w w:val="86"/>
              </w:rPr>
              <w:t>June 30,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r>
      <w:tr>
        <w:trPr>
          <w:trHeight w:val="230"/>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2020</w:t>
            </w: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0"/>
                <w:szCs w:val="20"/>
                <w:color w:val="auto"/>
              </w:rPr>
            </w:pPr>
          </w:p>
        </w:tc>
      </w:tr>
      <w:tr>
        <w:trPr>
          <w:trHeight w:val="27"/>
        </w:trPr>
        <w:tc>
          <w:tcPr>
            <w:tcW w:w="7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r>
      <w:tr>
        <w:trPr>
          <w:trHeight w:val="243"/>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87"/>
              </w:rPr>
              <w:t>(75)</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3"/>
              </w:rPr>
              <w:t>(83)</w:t>
            </w:r>
          </w:p>
        </w:tc>
      </w:tr>
    </w:tbl>
    <w:p>
      <w:pPr>
        <w:spacing w:after="0" w:line="364" w:lineRule="exact"/>
        <w:rPr>
          <w:sz w:val="20"/>
          <w:szCs w:val="20"/>
          <w:color w:val="auto"/>
        </w:rPr>
      </w:pPr>
    </w:p>
    <w:p>
      <w:pPr>
        <w:ind w:left="300" w:right="180"/>
        <w:spacing w:after="0" w:line="263" w:lineRule="auto"/>
        <w:rPr>
          <w:sz w:val="20"/>
          <w:szCs w:val="20"/>
          <w:color w:val="auto"/>
        </w:rPr>
      </w:pPr>
      <w:r>
        <w:rPr>
          <w:rFonts w:ascii="Arial" w:cs="Arial" w:eastAsia="Arial" w:hAnsi="Arial"/>
          <w:sz w:val="18"/>
          <w:szCs w:val="18"/>
          <w:color w:val="auto"/>
        </w:rPr>
        <w:t>As of June 30, 2020, the cumulative amount of fair value hedging adjustments included in the carrying amount of the hedge assets and liabilities was a gain of $2. As of December 31, 2019, the cumulative amount of fair value hedging adjustments included in the carrying amount of the hedge assets and liabilities was a loss of $2.</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26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80" w:type="dxa"/>
            <w:vAlign w:val="bottom"/>
          </w:tcPr>
          <w:p>
            <w:pPr>
              <w:jc w:val="center"/>
              <w:ind w:left="470"/>
              <w:spacing w:after="0"/>
              <w:rPr>
                <w:sz w:val="20"/>
                <w:szCs w:val="20"/>
                <w:color w:val="auto"/>
              </w:rPr>
            </w:pPr>
            <w:r>
              <w:rPr>
                <w:rFonts w:ascii="Arial" w:cs="Arial" w:eastAsia="Arial" w:hAnsi="Arial"/>
                <w:sz w:val="18"/>
                <w:szCs w:val="18"/>
                <w:color w:val="auto"/>
                <w:w w:val="88"/>
              </w:rPr>
              <w:t>Gross amounts recognized in</w:t>
            </w:r>
          </w:p>
        </w:tc>
        <w:tc>
          <w:tcPr>
            <w:tcW w:w="2580" w:type="dxa"/>
            <w:vAlign w:val="bottom"/>
          </w:tcPr>
          <w:p>
            <w:pPr>
              <w:jc w:val="center"/>
              <w:ind w:right="10"/>
              <w:spacing w:after="0"/>
              <w:rPr>
                <w:sz w:val="20"/>
                <w:szCs w:val="20"/>
                <w:color w:val="auto"/>
              </w:rPr>
            </w:pPr>
            <w:r>
              <w:rPr>
                <w:rFonts w:ascii="Arial" w:cs="Arial" w:eastAsia="Arial" w:hAnsi="Arial"/>
                <w:sz w:val="18"/>
                <w:szCs w:val="18"/>
                <w:color w:val="auto"/>
                <w:w w:val="89"/>
              </w:rPr>
              <w:t>Gross amounts not offset in the</w:t>
            </w: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80" w:type="dxa"/>
            <w:vAlign w:val="bottom"/>
          </w:tcPr>
          <w:p>
            <w:pPr>
              <w:jc w:val="center"/>
              <w:ind w:left="470"/>
              <w:spacing w:after="0"/>
              <w:rPr>
                <w:sz w:val="20"/>
                <w:szCs w:val="20"/>
                <w:color w:val="auto"/>
              </w:rPr>
            </w:pPr>
            <w:r>
              <w:rPr>
                <w:rFonts w:ascii="Arial" w:cs="Arial" w:eastAsia="Arial" w:hAnsi="Arial"/>
                <w:sz w:val="18"/>
                <w:szCs w:val="18"/>
                <w:color w:val="auto"/>
                <w:w w:val="86"/>
              </w:rPr>
              <w:t>the Balance Sheet</w:t>
            </w:r>
          </w:p>
        </w:tc>
        <w:tc>
          <w:tcPr>
            <w:tcW w:w="2580" w:type="dxa"/>
            <w:vAlign w:val="bottom"/>
          </w:tcPr>
          <w:p>
            <w:pPr>
              <w:jc w:val="center"/>
              <w:ind w:right="30"/>
              <w:spacing w:after="0"/>
              <w:rPr>
                <w:sz w:val="20"/>
                <w:szCs w:val="20"/>
                <w:color w:val="auto"/>
              </w:rPr>
            </w:pPr>
            <w:r>
              <w:rPr>
                <w:rFonts w:ascii="Arial" w:cs="Arial" w:eastAsia="Arial" w:hAnsi="Arial"/>
                <w:sz w:val="18"/>
                <w:szCs w:val="18"/>
                <w:color w:val="auto"/>
                <w:w w:val="87"/>
              </w:rPr>
              <w:t>Balance Sheet</w:t>
            </w:r>
          </w:p>
        </w:tc>
        <w:tc>
          <w:tcPr>
            <w:tcW w:w="1460" w:type="dxa"/>
            <w:vAlign w:val="bottom"/>
          </w:tcPr>
          <w:p>
            <w:pPr>
              <w:ind w:left="240"/>
              <w:spacing w:after="0"/>
              <w:rPr>
                <w:sz w:val="20"/>
                <w:szCs w:val="20"/>
                <w:color w:val="auto"/>
              </w:rPr>
            </w:pPr>
            <w:r>
              <w:rPr>
                <w:rFonts w:ascii="Arial" w:cs="Arial" w:eastAsia="Arial" w:hAnsi="Arial"/>
                <w:sz w:val="18"/>
                <w:szCs w:val="18"/>
                <w:color w:val="auto"/>
              </w:rPr>
              <w:t>Net amount</w:t>
            </w:r>
          </w:p>
        </w:tc>
      </w:tr>
      <w:tr>
        <w:trPr>
          <w:trHeight w:val="27"/>
        </w:trPr>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880" w:type="dxa"/>
            <w:vAlign w:val="bottom"/>
            <w:gridSpan w:val="3"/>
          </w:tcPr>
          <w:p>
            <w:pPr>
              <w:spacing w:after="0" w:line="196" w:lineRule="exact"/>
              <w:rPr>
                <w:sz w:val="20"/>
                <w:szCs w:val="20"/>
                <w:color w:val="auto"/>
              </w:rPr>
            </w:pPr>
            <w:r>
              <w:rPr>
                <w:rFonts w:ascii="Arial" w:cs="Arial" w:eastAsia="Arial" w:hAnsi="Arial"/>
                <w:sz w:val="18"/>
                <w:szCs w:val="18"/>
                <w:color w:val="auto"/>
              </w:rPr>
              <w:t>Balance at June 30, 2020</w:t>
            </w:r>
          </w:p>
        </w:tc>
        <w:tc>
          <w:tcPr>
            <w:tcW w:w="28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88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$146</w:t>
            </w:r>
          </w:p>
        </w:tc>
        <w:tc>
          <w:tcPr>
            <w:tcW w:w="25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$18</w:t>
            </w:r>
          </w:p>
        </w:tc>
        <w:tc>
          <w:tcPr>
            <w:tcW w:w="14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$128</w:t>
            </w:r>
          </w:p>
        </w:tc>
      </w:tr>
      <w:tr>
        <w:trPr>
          <w:trHeight w:val="243"/>
        </w:trPr>
        <w:tc>
          <w:tcPr>
            <w:tcW w:w="20" w:type="dxa"/>
            <w:vAlign w:val="bottom"/>
          </w:tcPr>
          <w:p>
            <w:pPr>
              <w:spacing w:after="0"/>
              <w:rPr>
                <w:sz w:val="21"/>
                <w:szCs w:val="21"/>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880" w:type="dxa"/>
            <w:vAlign w:val="bottom"/>
          </w:tcPr>
          <w:p>
            <w:pPr>
              <w:jc w:val="center"/>
              <w:ind w:left="450"/>
              <w:spacing w:after="0"/>
              <w:rPr>
                <w:sz w:val="20"/>
                <w:szCs w:val="20"/>
                <w:color w:val="auto"/>
              </w:rPr>
            </w:pPr>
            <w:r>
              <w:rPr>
                <w:rFonts w:ascii="Arial" w:cs="Arial" w:eastAsia="Arial" w:hAnsi="Arial"/>
                <w:sz w:val="18"/>
                <w:szCs w:val="18"/>
                <w:color w:val="auto"/>
                <w:w w:val="89"/>
              </w:rPr>
              <w:t>63</w:t>
            </w:r>
          </w:p>
        </w:tc>
        <w:tc>
          <w:tcPr>
            <w:tcW w:w="2580" w:type="dxa"/>
            <w:vAlign w:val="bottom"/>
          </w:tcPr>
          <w:p>
            <w:pPr>
              <w:jc w:val="center"/>
              <w:ind w:right="30"/>
              <w:spacing w:after="0"/>
              <w:rPr>
                <w:sz w:val="20"/>
                <w:szCs w:val="20"/>
                <w:color w:val="auto"/>
              </w:rPr>
            </w:pPr>
            <w:r>
              <w:rPr>
                <w:rFonts w:ascii="Arial" w:cs="Arial" w:eastAsia="Arial" w:hAnsi="Arial"/>
                <w:sz w:val="18"/>
                <w:szCs w:val="18"/>
                <w:color w:val="auto"/>
                <w:w w:val="89"/>
              </w:rPr>
              <w:t>18</w:t>
            </w: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89"/>
              </w:rPr>
              <w:t>45</w:t>
            </w: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288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31, 2019</w:t>
            </w:r>
          </w:p>
        </w:tc>
        <w:tc>
          <w:tcPr>
            <w:tcW w:w="28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88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83</w:t>
            </w:r>
          </w:p>
        </w:tc>
        <w:tc>
          <w:tcPr>
            <w:tcW w:w="25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16</w:t>
            </w:r>
          </w:p>
        </w:tc>
        <w:tc>
          <w:tcPr>
            <w:tcW w:w="14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67</w:t>
            </w:r>
          </w:p>
        </w:tc>
      </w:tr>
      <w:tr>
        <w:trPr>
          <w:trHeight w:val="243"/>
        </w:trPr>
        <w:tc>
          <w:tcPr>
            <w:tcW w:w="20" w:type="dxa"/>
            <w:vAlign w:val="bottom"/>
          </w:tcPr>
          <w:p>
            <w:pPr>
              <w:spacing w:after="0"/>
              <w:rPr>
                <w:sz w:val="21"/>
                <w:szCs w:val="21"/>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880" w:type="dxa"/>
            <w:vAlign w:val="bottom"/>
          </w:tcPr>
          <w:p>
            <w:pPr>
              <w:jc w:val="center"/>
              <w:ind w:left="450"/>
              <w:spacing w:after="0"/>
              <w:rPr>
                <w:sz w:val="20"/>
                <w:szCs w:val="20"/>
                <w:color w:val="auto"/>
              </w:rPr>
            </w:pPr>
            <w:r>
              <w:rPr>
                <w:rFonts w:ascii="Arial" w:cs="Arial" w:eastAsia="Arial" w:hAnsi="Arial"/>
                <w:sz w:val="18"/>
                <w:szCs w:val="18"/>
                <w:color w:val="auto"/>
                <w:w w:val="89"/>
              </w:rPr>
              <w:t>49</w:t>
            </w:r>
          </w:p>
        </w:tc>
        <w:tc>
          <w:tcPr>
            <w:tcW w:w="2580" w:type="dxa"/>
            <w:vAlign w:val="bottom"/>
          </w:tcPr>
          <w:p>
            <w:pPr>
              <w:jc w:val="center"/>
              <w:ind w:right="30"/>
              <w:spacing w:after="0"/>
              <w:rPr>
                <w:sz w:val="20"/>
                <w:szCs w:val="20"/>
                <w:color w:val="auto"/>
              </w:rPr>
            </w:pPr>
            <w:r>
              <w:rPr>
                <w:rFonts w:ascii="Arial" w:cs="Arial" w:eastAsia="Arial" w:hAnsi="Arial"/>
                <w:sz w:val="18"/>
                <w:szCs w:val="18"/>
                <w:color w:val="auto"/>
                <w:w w:val="89"/>
              </w:rPr>
              <w:t>16</w:t>
            </w:r>
          </w:p>
        </w:tc>
        <w:tc>
          <w:tcPr>
            <w:tcW w:w="1460" w:type="dxa"/>
            <w:vAlign w:val="bottom"/>
          </w:tcPr>
          <w:p>
            <w:pPr>
              <w:jc w:val="center"/>
              <w:ind w:right="70"/>
              <w:spacing w:after="0"/>
              <w:rPr>
                <w:sz w:val="20"/>
                <w:szCs w:val="20"/>
                <w:color w:val="auto"/>
              </w:rPr>
            </w:pPr>
            <w:r>
              <w:rPr>
                <w:rFonts w:ascii="Arial" w:cs="Arial" w:eastAsia="Arial" w:hAnsi="Arial"/>
                <w:sz w:val="18"/>
                <w:szCs w:val="18"/>
                <w:color w:val="auto"/>
                <w:w w:val="89"/>
              </w:rPr>
              <w:t>33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June 30, 2020 and December 31, 2019 were:</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June 30, 2020</w:t>
            </w:r>
          </w:p>
        </w:tc>
        <w:tc>
          <w:tcPr>
            <w:tcW w:w="140" w:type="dxa"/>
            <w:vAlign w:val="bottom"/>
          </w:tcPr>
          <w:p>
            <w:pPr>
              <w:spacing w:after="0"/>
              <w:rPr>
                <w:sz w:val="20"/>
                <w:szCs w:val="20"/>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w w:val="91"/>
              </w:rPr>
              <w:t>December 31, 2019</w:t>
            </w:r>
          </w:p>
        </w:tc>
      </w:tr>
      <w:tr>
        <w:trPr>
          <w:trHeight w:val="27"/>
        </w:trPr>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5340" w:type="dxa"/>
            <w:vAlign w:val="bottom"/>
          </w:tcPr>
          <w:p>
            <w:pPr>
              <w:ind w:left="320"/>
              <w:spacing w:after="0"/>
              <w:rPr>
                <w:sz w:val="20"/>
                <w:szCs w:val="20"/>
                <w:color w:val="auto"/>
              </w:rPr>
            </w:pPr>
            <w:r>
              <w:rPr>
                <w:rFonts w:ascii="Arial" w:cs="Arial" w:eastAsia="Arial" w:hAnsi="Arial"/>
                <w:sz w:val="18"/>
                <w:szCs w:val="18"/>
                <w:color w:val="auto"/>
              </w:rPr>
              <w:t>Foreign exchange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615</w:t>
            </w:r>
          </w:p>
        </w:tc>
        <w:tc>
          <w:tcPr>
            <w:tcW w:w="9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1,030</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Commodities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347</w:t>
            </w: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334</w:t>
            </w:r>
          </w:p>
        </w:tc>
      </w:tr>
      <w:tr>
        <w:trPr>
          <w:trHeight w:val="243"/>
        </w:trPr>
        <w:tc>
          <w:tcPr>
            <w:tcW w:w="5340" w:type="dxa"/>
            <w:vAlign w:val="bottom"/>
          </w:tcPr>
          <w:p>
            <w:pPr>
              <w:ind w:left="320"/>
              <w:spacing w:after="0"/>
              <w:rPr>
                <w:sz w:val="20"/>
                <w:szCs w:val="20"/>
                <w:color w:val="auto"/>
              </w:rPr>
            </w:pPr>
            <w:r>
              <w:rPr>
                <w:rFonts w:ascii="Arial" w:cs="Arial" w:eastAsia="Arial" w:hAnsi="Arial"/>
                <w:sz w:val="18"/>
                <w:szCs w:val="18"/>
                <w:color w:val="auto"/>
              </w:rPr>
              <w:t>Interest rate</w:t>
            </w:r>
          </w:p>
        </w:tc>
        <w:tc>
          <w:tcPr>
            <w:tcW w:w="2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200</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200</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20"/>
              <w:spacing w:after="0"/>
              <w:rPr>
                <w:sz w:val="20"/>
                <w:szCs w:val="20"/>
                <w:color w:val="auto"/>
              </w:rPr>
            </w:pPr>
            <w:r>
              <w:rPr>
                <w:rFonts w:ascii="Arial" w:cs="Arial" w:eastAsia="Arial" w:hAnsi="Arial"/>
                <w:sz w:val="18"/>
                <w:szCs w:val="18"/>
                <w:color w:val="auto"/>
              </w:rPr>
              <w:t>Foreign exchange</w:t>
            </w:r>
          </w:p>
        </w:tc>
        <w:tc>
          <w:tcPr>
            <w:tcW w:w="2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142</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142</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20"/>
              <w:spacing w:after="0"/>
              <w:rPr>
                <w:sz w:val="20"/>
                <w:szCs w:val="20"/>
                <w:color w:val="auto"/>
              </w:rPr>
            </w:pPr>
            <w:r>
              <w:rPr>
                <w:rFonts w:ascii="Arial" w:cs="Arial" w:eastAsia="Arial" w:hAnsi="Arial"/>
                <w:sz w:val="18"/>
                <w:szCs w:val="18"/>
                <w:color w:val="auto"/>
              </w:rPr>
              <w:t>Foreign exchange</w:t>
            </w:r>
          </w:p>
        </w:tc>
        <w:tc>
          <w:tcPr>
            <w:tcW w:w="2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1,075</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1,075</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20"/>
              <w:spacing w:after="0"/>
              <w:rPr>
                <w:sz w:val="20"/>
                <w:szCs w:val="20"/>
                <w:color w:val="auto"/>
              </w:rPr>
            </w:pPr>
            <w:r>
              <w:rPr>
                <w:rFonts w:ascii="Arial" w:cs="Arial" w:eastAsia="Arial" w:hAnsi="Arial"/>
                <w:sz w:val="18"/>
                <w:szCs w:val="18"/>
                <w:color w:val="auto"/>
              </w:rPr>
              <w:t>Foreign exchange</w:t>
            </w:r>
          </w:p>
        </w:tc>
        <w:tc>
          <w:tcPr>
            <w:tcW w:w="2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929</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1,017</w:t>
            </w:r>
          </w:p>
        </w:tc>
      </w:tr>
    </w:tbl>
    <w:p>
      <w:pPr>
        <w:spacing w:after="0" w:line="200" w:lineRule="exact"/>
        <w:rPr>
          <w:sz w:val="20"/>
          <w:szCs w:val="20"/>
          <w:color w:val="auto"/>
        </w:rPr>
      </w:pPr>
    </w:p>
    <w:p>
      <w:pPr>
        <w:sectPr>
          <w:pgSz w:w="11900" w:h="16838" w:orient="portrait"/>
          <w:cols w:equalWidth="0" w:num="1">
            <w:col w:w="10880"/>
          </w:cols>
          <w:pgMar w:left="680" w:top="1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80" w:top="121" w:right="3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5"/>
          </w:tcPr>
          <w:p>
            <w:pPr>
              <w:spacing w:after="0"/>
              <w:rPr>
                <w:sz w:val="20"/>
                <w:szCs w:val="20"/>
                <w:color w:val="auto"/>
              </w:rPr>
            </w:pPr>
            <w:r>
              <w:rPr>
                <w:rFonts w:ascii="Arial" w:cs="Arial" w:eastAsia="Arial" w:hAnsi="Arial"/>
                <w:sz w:val="18"/>
                <w:szCs w:val="18"/>
                <w:b w:val="1"/>
                <w:bCs w:val="1"/>
                <w:color w:val="auto"/>
              </w:rPr>
              <w:t>K. Debt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79"/>
        </w:trPr>
        <w:tc>
          <w:tcPr>
            <w:tcW w:w="240" w:type="dxa"/>
            <w:vAlign w:val="bottom"/>
          </w:tcPr>
          <w:p>
            <w:pPr>
              <w:spacing w:after="0"/>
              <w:rPr>
                <w:sz w:val="24"/>
                <w:szCs w:val="24"/>
                <w:color w:val="auto"/>
              </w:rPr>
            </w:pPr>
          </w:p>
        </w:tc>
        <w:tc>
          <w:tcPr>
            <w:tcW w:w="4420" w:type="dxa"/>
            <w:vAlign w:val="bottom"/>
            <w:gridSpan w:val="4"/>
          </w:tcPr>
          <w:p>
            <w:pPr>
              <w:ind w:left="120"/>
              <w:spacing w:after="0"/>
              <w:rPr>
                <w:sz w:val="20"/>
                <w:szCs w:val="20"/>
                <w:color w:val="auto"/>
              </w:rPr>
            </w:pPr>
            <w:r>
              <w:rPr>
                <w:rFonts w:ascii="Arial" w:cs="Arial" w:eastAsia="Arial" w:hAnsi="Arial"/>
                <w:sz w:val="18"/>
                <w:szCs w:val="18"/>
                <w:color w:val="auto"/>
              </w:rPr>
              <w:t>The Company's outstanding debt was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920" w:type="dxa"/>
            <w:vAlign w:val="bottom"/>
            <w:gridSpan w:val="5"/>
          </w:tcPr>
          <w:p>
            <w:pPr>
              <w:ind w:left="700"/>
              <w:spacing w:after="0"/>
              <w:rPr>
                <w:sz w:val="20"/>
                <w:szCs w:val="20"/>
                <w:color w:val="auto"/>
              </w:rPr>
            </w:pPr>
            <w:r>
              <w:rPr>
                <w:rFonts w:ascii="Arial" w:cs="Arial" w:eastAsia="Arial" w:hAnsi="Arial"/>
                <w:sz w:val="18"/>
                <w:szCs w:val="18"/>
                <w:color w:val="auto"/>
              </w:rPr>
              <w:t>June 30, 2020</w:t>
            </w:r>
          </w:p>
        </w:tc>
        <w:tc>
          <w:tcPr>
            <w:tcW w:w="120" w:type="dxa"/>
            <w:vAlign w:val="bottom"/>
          </w:tcPr>
          <w:p>
            <w:pPr>
              <w:spacing w:after="0"/>
              <w:rPr>
                <w:sz w:val="23"/>
                <w:szCs w:val="23"/>
                <w:color w:val="auto"/>
              </w:rPr>
            </w:pPr>
          </w:p>
        </w:tc>
        <w:tc>
          <w:tcPr>
            <w:tcW w:w="2600" w:type="dxa"/>
            <w:vAlign w:val="bottom"/>
            <w:gridSpan w:val="4"/>
          </w:tcPr>
          <w:p>
            <w:pPr>
              <w:jc w:val="right"/>
              <w:ind w:right="570"/>
              <w:spacing w:after="0"/>
              <w:rPr>
                <w:sz w:val="20"/>
                <w:szCs w:val="20"/>
                <w:color w:val="auto"/>
              </w:rPr>
            </w:pPr>
            <w:r>
              <w:rPr>
                <w:rFonts w:ascii="Arial" w:cs="Arial" w:eastAsia="Arial" w:hAnsi="Arial"/>
                <w:sz w:val="18"/>
                <w:szCs w:val="18"/>
                <w:color w:val="auto"/>
              </w:rPr>
              <w:t>December 31, 2019</w:t>
            </w: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Principal</w:t>
            </w:r>
          </w:p>
        </w:tc>
        <w:tc>
          <w:tcPr>
            <w:tcW w:w="180" w:type="dxa"/>
            <w:vAlign w:val="bottom"/>
          </w:tcPr>
          <w:p>
            <w:pPr>
              <w:spacing w:after="0"/>
              <w:rPr>
                <w:sz w:val="20"/>
                <w:szCs w:val="20"/>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Principal</w:t>
            </w:r>
          </w:p>
        </w:tc>
        <w:tc>
          <w:tcPr>
            <w:tcW w:w="20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Carrying</w:t>
            </w:r>
          </w:p>
        </w:tc>
      </w:tr>
      <w:tr>
        <w:trPr>
          <w:trHeight w:val="270"/>
        </w:trPr>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3"/>
                <w:szCs w:val="23"/>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amount</w:t>
            </w:r>
          </w:p>
        </w:tc>
        <w:tc>
          <w:tcPr>
            <w:tcW w:w="120" w:type="dxa"/>
            <w:vAlign w:val="bottom"/>
          </w:tcPr>
          <w:p>
            <w:pPr>
              <w:spacing w:after="0"/>
              <w:rPr>
                <w:sz w:val="23"/>
                <w:szCs w:val="23"/>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3"/>
                <w:szCs w:val="23"/>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amount</w:t>
            </w: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right w:val="single" w:sz="8" w:color="CCEEFF"/>
            </w:tcBorders>
          </w:tcPr>
          <w:p>
            <w:pPr>
              <w:spacing w:after="0"/>
              <w:rPr>
                <w:sz w:val="15"/>
                <w:szCs w:val="15"/>
                <w:color w:val="auto"/>
              </w:rPr>
            </w:pPr>
          </w:p>
        </w:tc>
        <w:tc>
          <w:tcPr>
            <w:tcW w:w="3980" w:type="dxa"/>
            <w:vAlign w:val="bottom"/>
            <w:gridSpan w:val="2"/>
            <w:shd w:val="clear" w:color="auto" w:fill="CCEEFF"/>
          </w:tcPr>
          <w:p>
            <w:pPr>
              <w:spacing w:after="0" w:line="163" w:lineRule="exact"/>
              <w:rPr>
                <w:sz w:val="20"/>
                <w:szCs w:val="20"/>
                <w:color w:val="auto"/>
              </w:rPr>
            </w:pPr>
            <w:r>
              <w:rPr>
                <w:rFonts w:ascii="Arial" w:cs="Arial" w:eastAsia="Arial" w:hAnsi="Arial"/>
                <w:sz w:val="18"/>
                <w:szCs w:val="18"/>
                <w:color w:val="auto"/>
              </w:rPr>
              <w:t>Short-term debt</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line="169" w:lineRule="exact"/>
              <w:rPr>
                <w:sz w:val="20"/>
                <w:szCs w:val="20"/>
                <w:color w:val="auto"/>
              </w:rPr>
            </w:pPr>
            <w:r>
              <w:rPr>
                <w:rFonts w:ascii="Arial" w:cs="Arial" w:eastAsia="Arial" w:hAnsi="Arial"/>
                <w:sz w:val="18"/>
                <w:szCs w:val="18"/>
                <w:color w:val="auto"/>
              </w:rPr>
              <w:t>131</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0"/>
              <w:spacing w:after="0" w:line="169" w:lineRule="exact"/>
              <w:rPr>
                <w:sz w:val="20"/>
                <w:szCs w:val="20"/>
                <w:color w:val="auto"/>
              </w:rPr>
            </w:pPr>
            <w:r>
              <w:rPr>
                <w:rFonts w:ascii="Arial" w:cs="Arial" w:eastAsia="Arial" w:hAnsi="Arial"/>
                <w:sz w:val="18"/>
                <w:szCs w:val="18"/>
                <w:color w:val="auto"/>
              </w:rPr>
              <w:t>131</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line="169" w:lineRule="exact"/>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0"/>
              <w:spacing w:after="0" w:line="169" w:lineRule="exact"/>
              <w:rPr>
                <w:sz w:val="20"/>
                <w:szCs w:val="20"/>
                <w:color w:val="auto"/>
              </w:rPr>
            </w:pPr>
            <w:r>
              <w:rPr>
                <w:rFonts w:ascii="Arial" w:cs="Arial" w:eastAsia="Arial" w:hAnsi="Arial"/>
                <w:sz w:val="18"/>
                <w:szCs w:val="18"/>
                <w:color w:val="auto"/>
              </w:rPr>
              <w:t>75</w:t>
            </w:r>
          </w:p>
        </w:tc>
      </w:tr>
      <w:tr>
        <w:trPr>
          <w:trHeight w:val="61"/>
        </w:trPr>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Borders>
              <w:right w:val="single" w:sz="8" w:color="CCEEFF"/>
            </w:tcBorders>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r>
      <w:tr>
        <w:trPr>
          <w:trHeight w:val="216"/>
        </w:trPr>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0"/>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1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Long-term debt</w:t>
            </w:r>
          </w:p>
        </w:tc>
        <w:tc>
          <w:tcPr>
            <w:tcW w:w="2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Senior secured borrowings: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Revolving credit facilities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Term loan facilities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U.S. dollar at LIBOR + 1.5% due 2024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1,086</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1,079</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1,100</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1,094</w:t>
            </w:r>
          </w:p>
        </w:tc>
      </w:tr>
      <w:tr>
        <w:trPr>
          <w:trHeight w:val="270"/>
        </w:trPr>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80" w:type="dxa"/>
            <w:vAlign w:val="bottom"/>
            <w:gridSpan w:val="2"/>
          </w:tcPr>
          <w:p>
            <w:pPr>
              <w:ind w:left="640"/>
              <w:spacing w:after="0"/>
              <w:rPr>
                <w:sz w:val="20"/>
                <w:szCs w:val="20"/>
                <w:color w:val="auto"/>
              </w:rPr>
            </w:pPr>
            <w:r>
              <w:rPr>
                <w:rFonts w:ascii="Arial" w:cs="Arial" w:eastAsia="Arial" w:hAnsi="Arial"/>
                <w:sz w:val="18"/>
                <w:szCs w:val="18"/>
                <w:color w:val="auto"/>
              </w:rPr>
              <w:t>Euro at EURIBOR + 1.5% due 2024</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499</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499</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505</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504</w:t>
            </w:r>
          </w:p>
        </w:tc>
      </w:tr>
      <w:tr>
        <w:trPr>
          <w:trHeight w:val="250"/>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€650 at 4.0% due 2022</w:t>
            </w:r>
          </w:p>
        </w:tc>
        <w:tc>
          <w:tcPr>
            <w:tcW w:w="1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730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727</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729</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725</w:t>
            </w: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U. S. dollar at 4.50% due 2023</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996</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995</w:t>
            </w:r>
          </w:p>
        </w:tc>
      </w:tr>
      <w:tr>
        <w:trPr>
          <w:trHeight w:val="243"/>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€335 at 2.25% due 2023</w:t>
            </w:r>
          </w:p>
        </w:tc>
        <w:tc>
          <w:tcPr>
            <w:tcW w:w="1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376</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372</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376</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372</w:t>
            </w: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€500 at 0.75% due 2023</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618</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613</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617</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610</w:t>
            </w:r>
          </w:p>
        </w:tc>
      </w:tr>
      <w:tr>
        <w:trPr>
          <w:trHeight w:val="243"/>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€600 at 2.625% due 2024</w:t>
            </w:r>
          </w:p>
        </w:tc>
        <w:tc>
          <w:tcPr>
            <w:tcW w:w="1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674</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670</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673</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668</w:t>
            </w: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€600 at 3.375% due 2025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674</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669</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673</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667</w:t>
            </w:r>
          </w:p>
        </w:tc>
      </w:tr>
      <w:tr>
        <w:trPr>
          <w:trHeight w:val="243"/>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U.S. dollar at 4.25% due 2026</w:t>
            </w:r>
          </w:p>
        </w:tc>
        <w:tc>
          <w:tcPr>
            <w:tcW w:w="1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395</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395</w:t>
            </w: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U.S. dollar at 4.75% due 2026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875</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864</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875</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863</w:t>
            </w:r>
          </w:p>
        </w:tc>
      </w:tr>
      <w:tr>
        <w:trPr>
          <w:trHeight w:val="243"/>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U.S. dollar at 7.375% due 2026</w:t>
            </w:r>
          </w:p>
        </w:tc>
        <w:tc>
          <w:tcPr>
            <w:tcW w:w="1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348</w:t>
            </w: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€500 at 2.875% due 2026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561</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554</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561</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554</w:t>
            </w:r>
          </w:p>
        </w:tc>
      </w:tr>
      <w:tr>
        <w:trPr>
          <w:trHeight w:val="243"/>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U.S. dollar at 7.50% due 2096</w:t>
            </w:r>
          </w:p>
        </w:tc>
        <w:tc>
          <w:tcPr>
            <w:tcW w:w="1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Borders>
              <w:right w:val="single" w:sz="8" w:color="CCEEFF"/>
            </w:tcBorders>
          </w:tcPr>
          <w:p>
            <w:pPr>
              <w:spacing w:after="0"/>
              <w:rPr>
                <w:sz w:val="23"/>
                <w:szCs w:val="23"/>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indebtedness in various currencies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r>
      <w:tr>
        <w:trPr>
          <w:trHeight w:val="237"/>
        </w:trPr>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80" w:type="dxa"/>
            <w:vAlign w:val="bottom"/>
            <w:gridSpan w:val="2"/>
          </w:tcPr>
          <w:p>
            <w:pPr>
              <w:ind w:left="620"/>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8,128</w:t>
            </w: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8,071</w:t>
            </w:r>
          </w:p>
        </w:tc>
        <w:tc>
          <w:tcPr>
            <w:tcW w:w="3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7,944</w:t>
            </w:r>
          </w:p>
        </w:tc>
        <w:tc>
          <w:tcPr>
            <w:tcW w:w="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7,880</w:t>
            </w: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Borders>
              <w:right w:val="single" w:sz="8" w:color="CCEEFF"/>
            </w:tcBorders>
          </w:tcPr>
          <w:p>
            <w:pPr>
              <w:spacing w:after="0"/>
              <w:rPr>
                <w:sz w:val="23"/>
                <w:szCs w:val="23"/>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80" w:type="dxa"/>
            <w:vAlign w:val="bottom"/>
            <w:gridSpan w:val="2"/>
          </w:tcPr>
          <w:p>
            <w:pPr>
              <w:ind w:left="620"/>
              <w:spacing w:after="0"/>
              <w:rPr>
                <w:sz w:val="20"/>
                <w:szCs w:val="20"/>
                <w:color w:val="auto"/>
              </w:rPr>
            </w:pPr>
            <w:r>
              <w:rPr>
                <w:rFonts w:ascii="Arial" w:cs="Arial" w:eastAsia="Arial" w:hAnsi="Arial"/>
                <w:sz w:val="18"/>
                <w:szCs w:val="18"/>
                <w:color w:val="auto"/>
                <w:w w:val="96"/>
              </w:rPr>
              <w:t>Total long-term debt, less current maturities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8,056</w:t>
            </w:r>
          </w:p>
        </w:tc>
        <w:tc>
          <w:tcPr>
            <w:tcW w:w="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7,999</w:t>
            </w:r>
          </w:p>
        </w:tc>
        <w:tc>
          <w:tcPr>
            <w:tcW w:w="3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7,882</w:t>
            </w:r>
          </w:p>
        </w:tc>
        <w:tc>
          <w:tcPr>
            <w:tcW w:w="4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7,818</w:t>
            </w:r>
          </w:p>
        </w:tc>
      </w:tr>
      <w:tr>
        <w:trPr>
          <w:trHeight w:val="27"/>
        </w:trPr>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€444 and €450 at June 30, 2020 and December 31, 2019</w:t>
      </w:r>
    </w:p>
    <w:p>
      <w:pPr>
        <w:spacing w:after="0" w:line="23"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$8,390 at June 30, 2020 and $8,410 at December 31, 2019.</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 </w:t>
      </w: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and six months ended June 30, 2020 and 2019 were as follows: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210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70"/>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620" w:type="dxa"/>
            <w:vAlign w:val="bottom"/>
            <w:gridSpan w:val="2"/>
          </w:tcPr>
          <w:p>
            <w:pPr>
              <w:spacing w:after="0" w:line="196" w:lineRule="exact"/>
              <w:rPr>
                <w:sz w:val="20"/>
                <w:szCs w:val="20"/>
                <w:color w:val="auto"/>
              </w:rPr>
            </w:pPr>
            <w:r>
              <w:rPr>
                <w:rFonts w:ascii="Arial" w:cs="Arial" w:eastAsia="Arial" w:hAnsi="Arial"/>
                <w:sz w:val="18"/>
                <w:szCs w:val="18"/>
                <w:color w:val="auto"/>
              </w:rPr>
              <w:t>Pension benefits – U.S. plans</w:t>
            </w:r>
          </w:p>
        </w:tc>
        <w:tc>
          <w:tcPr>
            <w:tcW w:w="22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2019</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2019</w:t>
            </w:r>
          </w:p>
        </w:tc>
      </w:tr>
      <w:tr>
        <w:trPr>
          <w:trHeight w:val="48"/>
        </w:trPr>
        <w:tc>
          <w:tcPr>
            <w:tcW w:w="20" w:type="dxa"/>
            <w:vAlign w:val="bottom"/>
            <w:tcBorders>
              <w:bottom w:val="single" w:sz="8" w:color="CCEEFF"/>
            </w:tcBorders>
          </w:tcPr>
          <w:p>
            <w:pPr>
              <w:spacing w:after="0"/>
              <w:rPr>
                <w:sz w:val="4"/>
                <w:szCs w:val="4"/>
                <w:color w:val="auto"/>
              </w:rPr>
            </w:pPr>
          </w:p>
        </w:tc>
        <w:tc>
          <w:tcPr>
            <w:tcW w:w="2100" w:type="dxa"/>
            <w:vAlign w:val="bottom"/>
            <w:tcBorders>
              <w:top w:val="single" w:sz="8" w:color="auto"/>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89"/>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r>
      <w:tr>
        <w:trPr>
          <w:trHeight w:val="243"/>
        </w:trPr>
        <w:tc>
          <w:tcPr>
            <w:tcW w:w="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center"/>
              <w:ind w:left="270"/>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3"/>
              </w:rPr>
              <w:t>(37)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Recognized net loss</w:t>
            </w: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center"/>
              <w:ind w:left="270"/>
              <w:spacing w:after="0"/>
              <w:rPr>
                <w:sz w:val="20"/>
                <w:szCs w:val="20"/>
                <w:color w:val="auto"/>
              </w:rPr>
            </w:pPr>
            <w:r>
              <w:rPr>
                <w:rFonts w:ascii="Arial" w:cs="Arial" w:eastAsia="Arial" w:hAnsi="Arial"/>
                <w:sz w:val="18"/>
                <w:szCs w:val="18"/>
                <w:color w:val="auto"/>
                <w:w w:val="89"/>
              </w:rPr>
              <w:t>28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28</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89"/>
              </w:rPr>
              <w:t>20</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ind w:right="36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64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Non-U.S. plans</w:t>
            </w:r>
          </w:p>
        </w:tc>
        <w:tc>
          <w:tcPr>
            <w:tcW w:w="22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99"/>
              </w:rPr>
              <w:t>2019</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r>
      <w:tr>
        <w:trPr>
          <w:trHeight w:val="48"/>
        </w:trPr>
        <w:tc>
          <w:tcPr>
            <w:tcW w:w="20" w:type="dxa"/>
            <w:vAlign w:val="bottom"/>
            <w:tcBorders>
              <w:bottom w:val="single" w:sz="8" w:color="CCEEFF"/>
            </w:tcBorders>
          </w:tcPr>
          <w:p>
            <w:pPr>
              <w:spacing w:after="0"/>
              <w:rPr>
                <w:sz w:val="4"/>
                <w:szCs w:val="4"/>
                <w:color w:val="auto"/>
              </w:rPr>
            </w:pPr>
          </w:p>
        </w:tc>
        <w:tc>
          <w:tcPr>
            <w:tcW w:w="2100" w:type="dxa"/>
            <w:vAlign w:val="bottom"/>
            <w:tcBorders>
              <w:top w:val="single" w:sz="8" w:color="auto"/>
              <w:bottom w:val="single" w:sz="8" w:color="CCEEFF"/>
            </w:tcBorders>
          </w:tcPr>
          <w:p>
            <w:pPr>
              <w:spacing w:after="0"/>
              <w:rPr>
                <w:sz w:val="4"/>
                <w:szCs w:val="4"/>
                <w:color w:val="auto"/>
              </w:rPr>
            </w:pPr>
          </w:p>
        </w:tc>
        <w:tc>
          <w:tcPr>
            <w:tcW w:w="380" w:type="dxa"/>
            <w:vAlign w:val="bottom"/>
            <w:tcBorders>
              <w:top w:val="single" w:sz="8" w:color="auto"/>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r>
      <w:tr>
        <w:trPr>
          <w:trHeight w:val="243"/>
        </w:trPr>
        <w:tc>
          <w:tcPr>
            <w:tcW w:w="2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2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Curtailment gain</w:t>
            </w:r>
          </w:p>
        </w:tc>
        <w:tc>
          <w:tcPr>
            <w:tcW w:w="22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r>
      <w:tr>
        <w:trPr>
          <w:trHeight w:val="243"/>
        </w:trPr>
        <w:tc>
          <w:tcPr>
            <w:tcW w:w="2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22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r>
      <w:tr>
        <w:trPr>
          <w:trHeight w:val="236"/>
        </w:trPr>
        <w:tc>
          <w:tcPr>
            <w:tcW w:w="20" w:type="dxa"/>
            <w:vAlign w:val="bottom"/>
          </w:tcPr>
          <w:p>
            <w:pPr>
              <w:spacing w:after="0"/>
              <w:rPr>
                <w:sz w:val="20"/>
                <w:szCs w:val="20"/>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640" w:type="dxa"/>
            <w:vAlign w:val="bottom"/>
            <w:gridSpan w:val="3"/>
          </w:tcPr>
          <w:p>
            <w:pPr>
              <w:spacing w:after="0" w:line="196" w:lineRule="exact"/>
              <w:rPr>
                <w:sz w:val="20"/>
                <w:szCs w:val="20"/>
                <w:color w:val="auto"/>
              </w:rPr>
            </w:pPr>
            <w:r>
              <w:rPr>
                <w:rFonts w:ascii="Arial" w:cs="Arial" w:eastAsia="Arial" w:hAnsi="Arial"/>
                <w:sz w:val="18"/>
                <w:szCs w:val="18"/>
                <w:color w:val="auto"/>
              </w:rPr>
              <w:t>Other postretirement benefits</w:t>
            </w:r>
          </w:p>
        </w:tc>
        <w:tc>
          <w:tcPr>
            <w:tcW w:w="22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99"/>
              </w:rPr>
              <w:t>2019</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r>
      <w:tr>
        <w:trPr>
          <w:trHeight w:val="48"/>
        </w:trPr>
        <w:tc>
          <w:tcPr>
            <w:tcW w:w="20" w:type="dxa"/>
            <w:vAlign w:val="bottom"/>
            <w:tcBorders>
              <w:bottom w:val="single" w:sz="8" w:color="CCEEFF"/>
            </w:tcBorders>
          </w:tcPr>
          <w:p>
            <w:pPr>
              <w:spacing w:after="0"/>
              <w:rPr>
                <w:sz w:val="4"/>
                <w:szCs w:val="4"/>
                <w:color w:val="auto"/>
              </w:rPr>
            </w:pPr>
          </w:p>
        </w:tc>
        <w:tc>
          <w:tcPr>
            <w:tcW w:w="2100" w:type="dxa"/>
            <w:vAlign w:val="bottom"/>
            <w:tcBorders>
              <w:top w:val="single" w:sz="8" w:color="auto"/>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37"/>
        </w:trPr>
        <w:tc>
          <w:tcPr>
            <w:tcW w:w="20" w:type="dxa"/>
            <w:vAlign w:val="bottom"/>
          </w:tcPr>
          <w:p>
            <w:pPr>
              <w:spacing w:after="0"/>
              <w:rPr>
                <w:sz w:val="20"/>
                <w:szCs w:val="20"/>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Net periodic benefit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00"/>
        <w:spacing w:after="0" w:line="308" w:lineRule="auto"/>
        <w:rPr>
          <w:sz w:val="20"/>
          <w:szCs w:val="20"/>
          <w:color w:val="auto"/>
        </w:rPr>
      </w:pPr>
      <w:r>
        <w:rPr>
          <w:rFonts w:ascii="Arial" w:cs="Arial" w:eastAsia="Arial" w:hAnsi="Arial"/>
          <w:sz w:val="17"/>
          <w:szCs w:val="17"/>
          <w:color w:val="auto"/>
        </w:rPr>
        <w:t>In the three and six months ended June 30, 2020, the Company recorded settlement charges related to the payment of lump sum buy-outs to settle certain non-U.S. pension obligations using plan assets. The Company may incur additional settlement charges in 2020.</w:t>
      </w:r>
    </w:p>
    <w:p>
      <w:pPr>
        <w:spacing w:after="0" w:line="173" w:lineRule="exact"/>
        <w:rPr>
          <w:sz w:val="20"/>
          <w:szCs w:val="20"/>
          <w:color w:val="auto"/>
        </w:rPr>
      </w:pPr>
    </w:p>
    <w:p>
      <w:pPr>
        <w:ind w:left="300"/>
        <w:spacing w:after="0" w:line="308" w:lineRule="auto"/>
        <w:rPr>
          <w:sz w:val="20"/>
          <w:szCs w:val="20"/>
          <w:color w:val="auto"/>
        </w:rPr>
      </w:pPr>
      <w:r>
        <w:rPr>
          <w:rFonts w:ascii="Arial" w:cs="Arial" w:eastAsia="Arial" w:hAnsi="Arial"/>
          <w:sz w:val="17"/>
          <w:szCs w:val="17"/>
          <w:color w:val="auto"/>
        </w:rPr>
        <w:t>In the three and six months ended June 30, 2019, the Company recorded a curtailment gain to recognize prior service credits that were previously recorded in accumulated other comprehensive income in connection with the closure of a non-U.S. defined benefit pension plan.</w:t>
      </w:r>
    </w:p>
    <w:p>
      <w:pPr>
        <w:spacing w:after="0" w:line="173"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30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ind w:left="8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1800" w:type="dxa"/>
            <w:vAlign w:val="bottom"/>
            <w:gridSpan w:val="4"/>
          </w:tcPr>
          <w:p>
            <w:pPr>
              <w:jc w:val="right"/>
              <w:ind w:right="230"/>
              <w:spacing w:after="0"/>
              <w:rPr>
                <w:sz w:val="20"/>
                <w:szCs w:val="20"/>
                <w:color w:val="auto"/>
              </w:rPr>
            </w:pPr>
            <w:r>
              <w:rPr>
                <w:rFonts w:ascii="Arial" w:cs="Arial" w:eastAsia="Arial" w:hAnsi="Arial"/>
                <w:sz w:val="18"/>
                <w:szCs w:val="18"/>
                <w:color w:val="auto"/>
                <w:w w:val="99"/>
              </w:rPr>
              <w:t>Six Months Ended</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gridSpan w:val="2"/>
          </w:tcPr>
          <w:p>
            <w:pPr>
              <w:ind w:left="360"/>
              <w:spacing w:after="0"/>
              <w:rPr>
                <w:sz w:val="20"/>
                <w:szCs w:val="20"/>
                <w:color w:val="auto"/>
              </w:rPr>
            </w:pPr>
            <w:r>
              <w:rPr>
                <w:rFonts w:ascii="Arial" w:cs="Arial" w:eastAsia="Arial" w:hAnsi="Arial"/>
                <w:sz w:val="18"/>
                <w:szCs w:val="18"/>
                <w:color w:val="auto"/>
              </w:rPr>
              <w:t>Details about accumulated other</w:t>
            </w:r>
          </w:p>
        </w:tc>
        <w:tc>
          <w:tcPr>
            <w:tcW w:w="180" w:type="dxa"/>
            <w:vAlign w:val="bottom"/>
          </w:tcPr>
          <w:p>
            <w:pPr>
              <w:spacing w:after="0"/>
              <w:rPr>
                <w:sz w:val="23"/>
                <w:szCs w:val="23"/>
                <w:color w:val="auto"/>
              </w:rPr>
            </w:pPr>
          </w:p>
        </w:tc>
        <w:tc>
          <w:tcPr>
            <w:tcW w:w="1180" w:type="dxa"/>
            <w:vAlign w:val="bottom"/>
            <w:gridSpan w:val="3"/>
          </w:tcPr>
          <w:p>
            <w:pPr>
              <w:ind w:left="540"/>
              <w:spacing w:after="0"/>
              <w:rPr>
                <w:sz w:val="20"/>
                <w:szCs w:val="20"/>
                <w:color w:val="auto"/>
              </w:rPr>
            </w:pPr>
            <w:r>
              <w:rPr>
                <w:rFonts w:ascii="Arial" w:cs="Arial" w:eastAsia="Arial" w:hAnsi="Arial"/>
                <w:sz w:val="18"/>
                <w:szCs w:val="18"/>
                <w:color w:val="auto"/>
                <w:w w:val="89"/>
              </w:rPr>
              <w:t>June 30,</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20" w:type="dxa"/>
            <w:vAlign w:val="bottom"/>
          </w:tcPr>
          <w:p>
            <w:pPr>
              <w:ind w:left="28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
        </w:trPr>
        <w:tc>
          <w:tcPr>
            <w:tcW w:w="3160" w:type="dxa"/>
            <w:vAlign w:val="bottom"/>
            <w:gridSpan w:val="2"/>
            <w:vMerge w:val="restart"/>
          </w:tcPr>
          <w:p>
            <w:pPr>
              <w:ind w:left="240"/>
              <w:spacing w:after="0"/>
              <w:rPr>
                <w:sz w:val="20"/>
                <w:szCs w:val="20"/>
                <w:color w:val="auto"/>
              </w:rPr>
            </w:pPr>
            <w:r>
              <w:rPr>
                <w:rFonts w:ascii="Arial" w:cs="Arial" w:eastAsia="Arial" w:hAnsi="Arial"/>
                <w:sz w:val="18"/>
                <w:szCs w:val="18"/>
                <w:color w:val="auto"/>
              </w:rPr>
              <w:t>comprehensive income components</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vMerge w:val="restart"/>
          </w:tcPr>
          <w:p>
            <w:pPr>
              <w:ind w:left="32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37"/>
        </w:trPr>
        <w:tc>
          <w:tcPr>
            <w:tcW w:w="3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Actuarial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29"/>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Prior service credit</w:t>
            </w:r>
          </w:p>
        </w:tc>
        <w:tc>
          <w:tcPr>
            <w:tcW w:w="18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Curtailments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36"/>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6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6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8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 </w:t>
      </w:r>
      <w:r>
        <w:rPr>
          <w:rFonts w:ascii="Arial" w:cs="Arial" w:eastAsia="Arial" w:hAnsi="Arial"/>
          <w:sz w:val="18"/>
          <w:szCs w:val="18"/>
          <w:b w:val="1"/>
          <w:bCs w:val="1"/>
          <w:u w:val="single" w:color="auto"/>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Gains and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benefit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currency</w:t>
            </w: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losses on cash</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plans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flow hedges</w:t>
            </w: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Total</w:t>
            </w:r>
          </w:p>
        </w:tc>
      </w:tr>
      <w:tr>
        <w:trPr>
          <w:trHeight w:val="27"/>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(3,374)</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47</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r>
      <w:tr>
        <w:trPr>
          <w:trHeight w:val="27"/>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(1,486)</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Other comprehensive income / (loss) before reclassifications</w:t>
            </w:r>
          </w:p>
        </w:tc>
        <w:tc>
          <w:tcPr>
            <w:tcW w:w="1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Other comprehensive income / (loss)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4">
        <w:r>
          <w:rPr>
            <w:rFonts w:ascii="Arial" w:cs="Arial" w:eastAsia="Arial" w:hAnsi="Arial"/>
            <w:sz w:val="18"/>
            <w:szCs w:val="18"/>
            <w:u w:val="single" w:color="auto"/>
            <w:color w:val="0000FF"/>
          </w:rPr>
          <w:t>Note 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9">
        <w:r>
          <w:rPr>
            <w:rFonts w:ascii="Arial" w:cs="Arial" w:eastAsia="Arial" w:hAnsi="Arial"/>
            <w:sz w:val="18"/>
            <w:szCs w:val="18"/>
            <w:u w:val="single" w:color="auto"/>
            <w:color w:val="0000FF"/>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related to cash flow hedges and defined benefit plans.</w:t>
      </w:r>
    </w:p>
    <w:p>
      <w:pPr>
        <w:spacing w:after="0" w:line="200" w:lineRule="exact"/>
        <w:rPr>
          <w:sz w:val="20"/>
          <w:szCs w:val="20"/>
          <w:color w:val="auto"/>
        </w:rPr>
      </w:pPr>
    </w:p>
    <w:p>
      <w:pPr>
        <w:spacing w:after="0" w:line="264"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and deferred stock transactions during the six months ended June 30, 2020 is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Number of shares</w:t>
            </w:r>
          </w:p>
        </w:tc>
      </w:tr>
      <w:tr>
        <w:trPr>
          <w:trHeight w:val="27"/>
        </w:trPr>
        <w:tc>
          <w:tcPr>
            <w:tcW w:w="78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January 1, 2020</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2,102,654</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Awarded:</w:t>
            </w:r>
          </w:p>
        </w:tc>
        <w:tc>
          <w:tcPr>
            <w:tcW w:w="164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Time-vesting shares</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275,173</w:t>
            </w:r>
          </w:p>
        </w:tc>
      </w:tr>
      <w:tr>
        <w:trPr>
          <w:trHeight w:val="243"/>
        </w:trPr>
        <w:tc>
          <w:tcPr>
            <w:tcW w:w="7880" w:type="dxa"/>
            <w:vAlign w:val="bottom"/>
          </w:tcPr>
          <w:p>
            <w:pPr>
              <w:ind w:left="320"/>
              <w:spacing w:after="0"/>
              <w:rPr>
                <w:sz w:val="20"/>
                <w:szCs w:val="20"/>
                <w:color w:val="auto"/>
              </w:rPr>
            </w:pPr>
            <w:r>
              <w:rPr>
                <w:rFonts w:ascii="Arial" w:cs="Arial" w:eastAsia="Arial" w:hAnsi="Arial"/>
                <w:sz w:val="18"/>
                <w:szCs w:val="18"/>
                <w:color w:val="auto"/>
              </w:rPr>
              <w:t>Performance-based shares</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166,018</w:t>
            </w:r>
          </w:p>
        </w:tc>
      </w:tr>
      <w:tr>
        <w:trPr>
          <w:trHeight w:val="27"/>
        </w:trPr>
        <w:tc>
          <w:tcPr>
            <w:tcW w:w="78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20"/>
              <w:spacing w:after="0"/>
              <w:rPr>
                <w:sz w:val="20"/>
                <w:szCs w:val="20"/>
                <w:color w:val="auto"/>
              </w:rPr>
            </w:pPr>
            <w:r>
              <w:rPr>
                <w:rFonts w:ascii="Arial" w:cs="Arial" w:eastAsia="Arial" w:hAnsi="Arial"/>
                <w:sz w:val="18"/>
                <w:szCs w:val="18"/>
                <w:color w:val="auto"/>
              </w:rPr>
              <w:t>Time-vesting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(140,987)</w:t>
            </w:r>
          </w:p>
        </w:tc>
      </w:tr>
      <w:tr>
        <w:trPr>
          <w:trHeight w:val="27"/>
        </w:trPr>
        <w:tc>
          <w:tcPr>
            <w:tcW w:w="78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Performance-based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(181,705)</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64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Time-vesting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(56,566)</w:t>
            </w:r>
          </w:p>
        </w:tc>
      </w:tr>
      <w:tr>
        <w:trPr>
          <w:trHeight w:val="243"/>
        </w:trPr>
        <w:tc>
          <w:tcPr>
            <w:tcW w:w="7880" w:type="dxa"/>
            <w:vAlign w:val="bottom"/>
          </w:tcPr>
          <w:p>
            <w:pPr>
              <w:ind w:left="320"/>
              <w:spacing w:after="0"/>
              <w:rPr>
                <w:sz w:val="20"/>
                <w:szCs w:val="20"/>
                <w:color w:val="auto"/>
              </w:rPr>
            </w:pPr>
            <w:r>
              <w:rPr>
                <w:rFonts w:ascii="Arial" w:cs="Arial" w:eastAsia="Arial" w:hAnsi="Arial"/>
                <w:sz w:val="18"/>
                <w:szCs w:val="18"/>
                <w:color w:val="auto"/>
              </w:rPr>
              <w:t>Performance-based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(7,651)</w:t>
            </w:r>
          </w:p>
        </w:tc>
      </w:tr>
      <w:tr>
        <w:trPr>
          <w:trHeight w:val="27"/>
        </w:trPr>
        <w:tc>
          <w:tcPr>
            <w:tcW w:w="78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June 30, 2020</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2,156,936</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performance metric is the Company's total shareholder return, which includes share price appreciation and dividends paid during the three-year term of the award, measured against a peer group of companies. These awards cliff vest at the end of three years. The number of performance-based shares that will ultimately vest is based on the level of market performance achieved, ranging between 0% and 200% of the shares originally awarded, and are settled in stock.</w:t>
      </w:r>
    </w:p>
    <w:p>
      <w:pPr>
        <w:spacing w:after="0" w:line="21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awards subject to a performance condition, the performance metric is the Company's average return on invested capital over the three-year term. These awards cliff vest at the end of three years. The number of performance-based shares that will ultimately vest is based on the level of performance achieved, ranging between 0% and 200% of the shares originally awarded, and are settled in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time-vesting restricted and deferred stock awards vest ratably over three to five years.</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weighted average grant-date fair values of awards issued during the six months ended June 30, 2020 were $69.71 for the time-vesting stock awards and $72.08 for the performance-based stock awards.</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fair value of the performance-based shares subject to a market condition awarded in 2020 was calculated using a Monte Carlo valuation model, including a weighted average stock price volatility of 22.0%, an expected term of three years, and a weighted average risk-free interest rate of 1.60%.</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June 30, 2020, unrecognized compensation cost related to outstanding non-vested stock awards was $74. The weighted average period over which the expense is expected to be recognized is 2.9 years. The aggregate market value of the shares released on the vesting dates was $22 for the six months ended June 30, 2020.</w:t>
      </w:r>
    </w:p>
    <w:p>
      <w:pPr>
        <w:spacing w:after="0" w:line="200" w:lineRule="exact"/>
        <w:rPr>
          <w:sz w:val="20"/>
          <w:szCs w:val="20"/>
          <w:color w:val="auto"/>
        </w:rPr>
      </w:pPr>
    </w:p>
    <w:p>
      <w:pPr>
        <w:spacing w:after="0" w:line="250"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2020 and 2019, the Company recognized revenue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2120" w:type="dxa"/>
            <w:vAlign w:val="bottom"/>
            <w:gridSpan w:val="4"/>
          </w:tcPr>
          <w:p>
            <w:pPr>
              <w:ind w:left="280"/>
              <w:spacing w:after="0"/>
              <w:rPr>
                <w:sz w:val="20"/>
                <w:szCs w:val="20"/>
                <w:color w:val="auto"/>
              </w:rPr>
            </w:pPr>
            <w:r>
              <w:rPr>
                <w:rFonts w:ascii="Arial" w:cs="Arial" w:eastAsia="Arial" w:hAnsi="Arial"/>
                <w:sz w:val="18"/>
                <w:szCs w:val="18"/>
                <w:color w:val="auto"/>
              </w:rPr>
              <w:t>Six Months Ended</w:t>
            </w: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ind w:left="640"/>
              <w:spacing w:after="0"/>
              <w:rPr>
                <w:sz w:val="20"/>
                <w:szCs w:val="20"/>
                <w:color w:val="auto"/>
              </w:rPr>
            </w:pPr>
            <w:r>
              <w:rPr>
                <w:rFonts w:ascii="Arial" w:cs="Arial" w:eastAsia="Arial" w:hAnsi="Arial"/>
                <w:sz w:val="18"/>
                <w:szCs w:val="18"/>
                <w:color w:val="auto"/>
                <w:w w:val="95"/>
              </w:rPr>
              <w:t>June 30,</w:t>
            </w:r>
          </w:p>
        </w:tc>
        <w:tc>
          <w:tcPr>
            <w:tcW w:w="800" w:type="dxa"/>
            <w:vAlign w:val="bottom"/>
          </w:tcPr>
          <w:p>
            <w:pPr>
              <w:spacing w:after="0"/>
              <w:rPr>
                <w:sz w:val="23"/>
                <w:szCs w:val="23"/>
                <w:color w:val="auto"/>
              </w:rPr>
            </w:pPr>
          </w:p>
        </w:tc>
      </w:tr>
      <w:tr>
        <w:trPr>
          <w:trHeight w:val="27"/>
        </w:trPr>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2,914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2,861</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Revenue recognized at a point in time</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2,532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2,929</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2,689</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3,035</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5,446</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5,790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3">
        <w:r>
          <w:rPr>
            <w:rFonts w:ascii="Arial" w:cs="Arial" w:eastAsia="Arial" w:hAnsi="Arial"/>
            <w:sz w:val="18"/>
            <w:szCs w:val="18"/>
            <w:u w:val="single" w:color="auto"/>
            <w:color w:val="0000FF"/>
          </w:rPr>
          <w:t>Note 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9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assets and liabilities are reported in a net position on a contract-by-contract basis. Net contract assets were as follows:</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rPr>
              <w:t>December 31, 2019</w:t>
            </w: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included in prepaid and other current assets</w:t>
            </w:r>
          </w:p>
        </w:tc>
        <w:tc>
          <w:tcPr>
            <w:tcW w:w="146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w:t>
            </w: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30</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Contract liabilities included in accrued liabilities</w:t>
            </w:r>
          </w:p>
        </w:tc>
        <w:tc>
          <w:tcPr>
            <w:tcW w:w="146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ind w:left="1360"/>
              <w:spacing w:after="0"/>
              <w:rPr>
                <w:sz w:val="20"/>
                <w:szCs w:val="20"/>
                <w:color w:val="auto"/>
              </w:rPr>
            </w:pPr>
            <w:r>
              <w:rPr>
                <w:rFonts w:ascii="Arial" w:cs="Arial" w:eastAsia="Arial" w:hAnsi="Arial"/>
                <w:sz w:val="18"/>
                <w:szCs w:val="18"/>
                <w:color w:val="auto"/>
              </w:rPr>
              <w:t>(5)</w:t>
            </w:r>
          </w:p>
        </w:tc>
      </w:tr>
      <w:tr>
        <w:trPr>
          <w:trHeight w:val="27"/>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asset</w:t>
            </w:r>
          </w:p>
        </w:tc>
        <w:tc>
          <w:tcPr>
            <w:tcW w:w="146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49</w:t>
            </w:r>
          </w:p>
        </w:tc>
        <w:tc>
          <w:tcPr>
            <w:tcW w:w="7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25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Contract assets at June 30, 2020 primarily relates to revenue recognized for customized work-in-process inventory in the Company's equipment business and European three-piece food can product businesses.</w:t>
      </w:r>
    </w:p>
    <w:p>
      <w:pPr>
        <w:spacing w:after="0" w:line="197"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During the six months ended June 30, 2020, the Company recognized revenue of $2 related to contract liabilities at December 31, 2019 for performance obligations satisfied during the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P. Earnings Per Share</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w w:val="92"/>
              </w:rPr>
              <w:t>The following table summarizes the computations of basic and diluted earnings per share attributable to the Company.</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3"/>
                <w:szCs w:val="23"/>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June 30,</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w:t>
            </w:r>
          </w:p>
        </w:tc>
        <w:tc>
          <w:tcPr>
            <w:tcW w:w="3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133.9</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60" w:type="dxa"/>
            <w:vAlign w:val="bottom"/>
            <w:gridSpan w:val="2"/>
          </w:tcPr>
          <w:p>
            <w:pPr>
              <w:ind w:left="320"/>
              <w:spacing w:after="0"/>
              <w:rPr>
                <w:sz w:val="20"/>
                <w:szCs w:val="20"/>
                <w:color w:val="auto"/>
              </w:rPr>
            </w:pPr>
            <w:r>
              <w:rPr>
                <w:rFonts w:ascii="Arial" w:cs="Arial" w:eastAsia="Arial" w:hAnsi="Arial"/>
                <w:sz w:val="18"/>
                <w:szCs w:val="18"/>
                <w:color w:val="auto"/>
              </w:rPr>
              <w:t>Dilutive restricted stock</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134.8</w:t>
            </w:r>
          </w:p>
        </w:tc>
        <w:tc>
          <w:tcPr>
            <w:tcW w:w="3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134.5</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0.95</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2020, 0.3 million and 0.7 million contingently issuable common shares were excluded from the computation of diluted earnings per share because the effect would be anti-dilutive.</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2019, 0.2 million and 0.4 million contingently issuable common shares were excluded from the computation of diluted earnings per share because the effect would be anti-dilutive.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should not be considered in isolation or as a substitute for net income prepared in accordance with GAAP and may not be comparable to calculations of similarly titled measures by other companies.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information about the Company's operating segments.</w:t>
      </w:r>
    </w:p>
    <w:p>
      <w:pPr>
        <w:spacing w:after="0" w:line="200" w:lineRule="exact"/>
        <w:rPr>
          <w:sz w:val="20"/>
          <w:szCs w:val="20"/>
          <w:color w:val="auto"/>
        </w:rPr>
      </w:pP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0"/>
                <w:szCs w:val="20"/>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89"/>
              </w:rPr>
              <w:t>External Sales</w:t>
            </w: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410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749</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906</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640</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592</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1,161</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2,694</w:t>
            </w:r>
          </w:p>
        </w:tc>
        <w:tc>
          <w:tcPr>
            <w:tcW w:w="4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4,780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5,134</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Non-reportable segments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341</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656</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2,689</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3,035</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5,446</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5,790</w:t>
            </w: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primary sources of revenue included in non-reportable segments are the Company's food can and closures business in North America, aerosol can businesses in North America and Europe, its promotional packaging business in Europe, and its tooling and equipment operations in the U.S. and U.K.</w:t>
      </w:r>
    </w:p>
    <w:p>
      <w:pPr>
        <w:sectPr>
          <w:pgSz w:w="11900" w:h="16838" w:orient="portrait"/>
          <w:cols w:equalWidth="0" w:num="1">
            <w:col w:w="11240"/>
          </w:cols>
          <w:pgMar w:left="320" w:top="121" w:right="33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47" w:gutter="0" w:footer="0" w:header="0"/>
          <w:type w:val="continuous"/>
        </w:sectPr>
      </w:pPr>
    </w:p>
    <w:bookmarkStart w:id="23" w:name="page24"/>
    <w:bookmarkEnd w:id="23"/>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87"/>
              </w:rPr>
              <w:t>Intersegment Sales</w:t>
            </w:r>
          </w:p>
        </w:tc>
        <w:tc>
          <w:tcPr>
            <w:tcW w:w="240" w:type="dxa"/>
            <w:vAlign w:val="bottom"/>
          </w:tcPr>
          <w:p>
            <w:pPr>
              <w:spacing w:after="0"/>
              <w:rPr>
                <w:sz w:val="20"/>
                <w:szCs w:val="20"/>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87"/>
              </w:rPr>
              <w:t>Intersegment Sales</w:t>
            </w: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Non-reportable segments</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66</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4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40"/>
              <w:spacing w:after="0"/>
              <w:rPr>
                <w:sz w:val="20"/>
                <w:szCs w:val="20"/>
                <w:color w:val="auto"/>
              </w:rPr>
            </w:pPr>
            <w:r>
              <w:rPr>
                <w:rFonts w:ascii="Arial" w:cs="Arial" w:eastAsia="Arial" w:hAnsi="Arial"/>
                <w:sz w:val="18"/>
                <w:szCs w:val="18"/>
                <w:color w:val="auto"/>
                <w:w w:val="89"/>
              </w:rPr>
              <w:t>Segment Income</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89"/>
              </w:rPr>
              <w:t>Segment Income</w:t>
            </w: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252</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99</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96</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392</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710</w:t>
            </w:r>
          </w:p>
        </w:tc>
      </w:tr>
      <w:tr>
        <w:trPr>
          <w:trHeight w:val="27"/>
        </w:trPr>
        <w:tc>
          <w:tcPr>
            <w:tcW w:w="46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
        </w:trPr>
        <w:tc>
          <w:tcPr>
            <w:tcW w:w="46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33"/>
        </w:trPr>
        <w:tc>
          <w:tcPr>
            <w:tcW w:w="7600" w:type="dxa"/>
            <w:vAlign w:val="bottom"/>
            <w:gridSpan w:val="8"/>
          </w:tcPr>
          <w:p>
            <w:pPr>
              <w:spacing w:after="0"/>
              <w:rPr>
                <w:sz w:val="20"/>
                <w:szCs w:val="20"/>
                <w:color w:val="auto"/>
              </w:rPr>
            </w:pPr>
            <w:r>
              <w:rPr>
                <w:rFonts w:ascii="Arial" w:cs="Arial" w:eastAsia="Arial" w:hAnsi="Arial"/>
                <w:sz w:val="18"/>
                <w:szCs w:val="18"/>
                <w:color w:val="auto"/>
                <w:w w:val="91"/>
              </w:rPr>
              <w:t>A reconciliation of segment income of reportable segments to income before income taxes is as follows: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3"/>
                <w:szCs w:val="23"/>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6"/>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 of non-reportable segments</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69</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41</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Accelerated depreciation</w:t>
            </w:r>
          </w:p>
        </w:tc>
        <w:tc>
          <w:tcPr>
            <w:tcW w:w="24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24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260</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438</w:t>
            </w: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2020, intercompany profits of $5 were eliminated within segment income of non-reportable segments.</w:t>
      </w: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six months ended June 30, 2019, intercompany profits of $3 and $4 were eliminated within segment income of non-reportable segments.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unallocated items such as stock-based compensation.</w:t>
      </w:r>
    </w:p>
    <w:p>
      <w:pPr>
        <w:sectPr>
          <w:pgSz w:w="11900" w:h="16838" w:orient="portrait"/>
          <w:cols w:equalWidth="0" w:num="1">
            <w:col w:w="10580"/>
          </w:cols>
          <w:pgMar w:left="980" w:top="121" w:right="339" w:bottom="1101" w:gutter="0" w:footer="0" w:header="0"/>
        </w:sect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101"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360" w:right="3820" w:hanging="359"/>
        <w:spacing w:after="0" w:line="282"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six months ended June 30, 2020 compared to 2019 and changes in financial condition and liquidity from December 31, 2019. This discussion should be read in conjunction with the consolidated financial statements and notes thereto included in the Company's Annual Report on Form 10-K for the year ended December 31, 2019,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strategy is to grow its businesses in targeted growth markets, while improving operations and results in more mature markets through disciplined pricing, cost control and careful capital allocation.</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global beverage can business continues to be a major strategic focus for organic growth.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For several years, global industry demand for beverage cans has been growing. After many years of relatively flat volumes, beverage can growth in North America has accelerated mainly due to the outsized portion of new beverage products being introduced in cans versus other packaging formats. In addition, markets such as Brazil, Europe and Southeast Asia have also experienced higher volumes and market expansion. While the Company expects beverage can demand to continue to grow in the coming years, the impact of the coronavirus pandemic could weaken demand in the near term in certain areas.</w:t>
      </w:r>
    </w:p>
    <w:p>
      <w:pPr>
        <w:spacing w:after="0" w:line="21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addition to its beverage can operations, the Company has generated strong returns on invested capital and significant cash flow from its non-beverage can operations including its global food can and transit packaging businesses. Due to the impact of the coronavirus pandemic, the Company expects lower demand in several of the industries served by its transit packaging businesses.</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primary capital allocation focus will be to reduce leverage, as was successfully accomplished following previous acquisitions, and begin to return capital to its shareholders. In November 2019, the Company announced a Board-led review of the Company's portfolio and capital allocation strategy, which is ongoing.</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direct response to the coronavirus pandemic, the Company has taken specific actions to ensure the safety of its employees. Following the implementation of travel and visitor restrictions in February, the Company continues to update its policies as new information becomes available. The Company has increased safety measures in its manufacturing facilities to protect the safety of its employees and the products they produce. In addition, as many employees as possible are working remotely.</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products are a vital part of the support system to its customers and consumers. In addition to manufacturing containers that provide protection for food and beverages, the Company also produces closures for baby food, aerosol containers for cleaning and sanitizing products and numerous other products that provide for the safe and secure transportation of goods in transit.</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working to keep its manufacturing facilities around the world operational and equipped with the resources required to meet continually evolving customer demand by delivering high quality products in a safe and timely manner. The Company is actively monitoring and managing supply chain challenges, including coordinating with its suppliers to identify and mitigate potential areas of risk and manage inventories.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assessing performance, the key performance measure used by the Company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and Transit Packaging segments, the Canadian dollar and Mexican peso in the Company's Americas segments.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Net Sales and Segment Income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91"/>
        </w:trPr>
        <w:tc>
          <w:tcPr>
            <w:tcW w:w="236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100" w:type="dxa"/>
            <w:vAlign w:val="bottom"/>
            <w:gridSpan w:val="4"/>
          </w:tcPr>
          <w:p>
            <w:pPr>
              <w:ind w:left="260"/>
              <w:spacing w:after="0"/>
              <w:rPr>
                <w:sz w:val="20"/>
                <w:szCs w:val="20"/>
                <w:color w:val="auto"/>
              </w:rPr>
            </w:pPr>
            <w:r>
              <w:rPr>
                <w:rFonts w:ascii="Arial" w:cs="Arial" w:eastAsia="Arial" w:hAnsi="Arial"/>
                <w:sz w:val="18"/>
                <w:szCs w:val="18"/>
                <w:color w:val="auto"/>
              </w:rPr>
              <w:t>Six Months Ended</w:t>
            </w:r>
          </w:p>
        </w:tc>
      </w:tr>
      <w:tr>
        <w:trPr>
          <w:trHeight w:val="270"/>
        </w:trPr>
        <w:tc>
          <w:tcPr>
            <w:tcW w:w="23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ind w:left="640"/>
              <w:spacing w:after="0"/>
              <w:rPr>
                <w:sz w:val="20"/>
                <w:szCs w:val="20"/>
                <w:color w:val="auto"/>
              </w:rPr>
            </w:pPr>
            <w:r>
              <w:rPr>
                <w:rFonts w:ascii="Arial" w:cs="Arial" w:eastAsia="Arial" w:hAnsi="Arial"/>
                <w:sz w:val="18"/>
                <w:szCs w:val="18"/>
                <w:color w:val="auto"/>
                <w:w w:val="95"/>
              </w:rPr>
              <w:t>June 30,</w:t>
            </w:r>
          </w:p>
        </w:tc>
        <w:tc>
          <w:tcPr>
            <w:tcW w:w="780" w:type="dxa"/>
            <w:vAlign w:val="bottom"/>
          </w:tcPr>
          <w:p>
            <w:pPr>
              <w:spacing w:after="0"/>
              <w:rPr>
                <w:sz w:val="23"/>
                <w:szCs w:val="23"/>
                <w:color w:val="auto"/>
              </w:rPr>
            </w:pPr>
          </w:p>
        </w:tc>
      </w:tr>
      <w:tr>
        <w:trPr>
          <w:trHeight w:val="27"/>
        </w:trPr>
        <w:tc>
          <w:tcPr>
            <w:tcW w:w="2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2,689</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3,035</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5,446</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5,790</w:t>
            </w:r>
          </w:p>
        </w:tc>
      </w:tr>
      <w:tr>
        <w:trPr>
          <w:trHeight w:val="27"/>
        </w:trPr>
        <w:tc>
          <w:tcPr>
            <w:tcW w:w="23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six months ended June 30, 2020 compared to 2019</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decreased primarily due to lower sales unit volumes due to the coronavirus pandemic, the pass-through of lower material costs and $73 and $113 from the impact of foreign currency translation.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market growth due to the introduction of new beverage products in cans versus other packaging formats. To meet volume requirements in the U.S. and Canadian beverage can markets, the Company began commercial production on a new beverage can line at its Toronto, Ontario plant in January 2020 and on the third line at its Nichols, NY facility in June 2020. The Company also announced a new beverage can facility in Bowling Green, Kentucky, which is expected to begin production in the second quarter of 2021. The Company will add a second line to that facility with a late third quarter 2021 planned start-up. Additionally, the Company announced it will construct a third line at its Olympia, Washington plant which is scheduled to begin production during the third quarter of 2021.</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Brazil and Mexico, the Company's sales unit volumes have increased in recent years primarily due to market growth driven by increased per capita incomes and consumption, combined with an increased preference for cans over other packaging formats. In November 2019, the Company commenced operations at a new one-line beverage can facility in Rio Verde, Brazil.</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sales and segment income in the Americas Beverage segment are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252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2020 compared to 2019</w:t>
      </w:r>
    </w:p>
    <w:p>
      <w:pPr>
        <w:spacing w:after="0" w:line="252"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Net sales decreased primarily due to lower sales unit volumes due to the impact of the coronavirus pandemic in Brazil and Mexico, the pass-through of lower aluminum costs and $34 from the impact of foreign currency translation, partially offset by 16% higher sales unit volumes in the U.S. and Canada.</w:t>
      </w:r>
    </w:p>
    <w:p>
      <w:pPr>
        <w:spacing w:after="0" w:line="211"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Segment income decreased due to lower sales unit volumes and $6 from the impact of foreign currency translation, partially offset by improved pricing and lower freight costs in the U.S. and Canada.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2020 compared to 2019</w:t>
      </w:r>
    </w:p>
    <w:p>
      <w:pPr>
        <w:spacing w:after="0" w:line="252"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Net sales decreased primarily due to the pass-through of lower aluminum costs and $43 from the impact of foreign currency translation, partially offset by 5% higher sales unit volumes.</w:t>
      </w:r>
    </w:p>
    <w:p>
      <w:pPr>
        <w:spacing w:after="0" w:line="19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Segment income increased primarily due to higher sales unit volume, improved pricing and lower freight costs in the U.S. and Canada partially offset by $8 from the impact of foreign currency translation.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w:t>
      </w:r>
    </w:p>
    <w:p>
      <w:pPr>
        <w:spacing w:after="0" w:line="211"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In February 2019, the second line of the beverage can plant in Valencia, Spain began operations. In the second quarter of 2020, both beverage can lines in the Seville, Spain plant, which have multi-size capability, began commercial production of aluminum cans.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are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749</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99</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six months ended June 30, 2020 compared to 2019</w:t>
      </w:r>
    </w:p>
    <w:p>
      <w:pPr>
        <w:spacing w:after="0" w:line="25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Net sales decreased primarily due to lower sales unit volumes due to the coronavirus pandemic, the pass-through of lower aluminum costs and $6 and $12 from the impact of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Segment income decreased primarily due to lower sales unit volumes due to the coronavirus pandemic, partially offset by cost reductions.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Food</w:t>
      </w:r>
    </w:p>
    <w:p>
      <w:pPr>
        <w:spacing w:after="0" w:line="256"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European Food segment manufactures steel and aluminum food cans and ends and metal vacuum closures, and supplies a variety of customers from its operations throughout Europe and Africa. The European food can market is a mature market where consumer preference continues to favor the can due to product protection and food preservation. Challenging harvest yields, however, have led to volume declines in recent years.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Food segment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756"/>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66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r>
      <w:tr>
        <w:trPr>
          <w:trHeight w:val="27"/>
        </w:trPr>
        <w:tc>
          <w:tcPr>
            <w:tcW w:w="6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66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906</w:t>
            </w:r>
          </w:p>
        </w:tc>
      </w:tr>
      <w:tr>
        <w:trPr>
          <w:trHeight w:val="243"/>
        </w:trPr>
        <w:tc>
          <w:tcPr>
            <w:tcW w:w="66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110</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2020 compared to 2019</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10% higher sales unit volumes partially offset by the pass-through of lower raw material costs and $13 from the impact of foreign currency translation.</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increased due to higher sales unit volumes and improved cost performance, partially offset by $2 from the impact of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2020 compared to 2019</w:t>
      </w:r>
    </w:p>
    <w:p>
      <w:pPr>
        <w:spacing w:after="0" w:line="252"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Net sales decreased primarily due to the pass-through of lower raw material costs and $25 from the impact of foreign currency translation, partially offset by 7% higher sales unit volumes.</w:t>
      </w:r>
    </w:p>
    <w:p>
      <w:pPr>
        <w:spacing w:after="0" w:line="103" w:lineRule="exact"/>
        <w:rPr>
          <w:sz w:val="20"/>
          <w:szCs w:val="20"/>
          <w:color w:val="auto"/>
        </w:rPr>
      </w:pPr>
    </w:p>
    <w:p>
      <w:pPr>
        <w:ind w:left="660" w:right="440"/>
        <w:spacing w:after="0" w:line="324" w:lineRule="auto"/>
        <w:rPr>
          <w:sz w:val="20"/>
          <w:szCs w:val="20"/>
          <w:color w:val="auto"/>
        </w:rPr>
      </w:pPr>
      <w:r>
        <w:rPr>
          <w:rFonts w:ascii="Arial" w:cs="Arial" w:eastAsia="Arial" w:hAnsi="Arial"/>
          <w:sz w:val="18"/>
          <w:szCs w:val="18"/>
          <w:color w:val="auto"/>
        </w:rPr>
        <w:t>Segment income decreased primarily due to $18 arising from the carryover of tinplate costs from prior year-end inventory, partially offset by improved cost performance.</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16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The Company commenced operations at a new beverage can plant in Nong Khae, Thailand in July 2020. In response to market conditions in China, the Company closed its Huizhou facility in early 2019. Following this closure, the Company has three beverage can plants in China with approximately $75 in annual sales.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sales and segment income in the Asia Pacific segment are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96</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six months ended June 30, 2020 compared to 2019</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decreased primarily due to lower sales unit volumes due to the impact of the coronavirus pandemic, the pass-through of lower aluminum costs and $3 and $4 from the impact of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decreased primarily due to lower sales unit volumes.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Transit Packaging</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Transit Packaging segment includes the Company's global industrial and protective solutions and equipment and tools businesses. Industrial solutions include steel strap, plastic strap and industrial film and other related products that are used in a wide range of industries. Protective solutions include transit protection products that help prevent movement during transport for a wide range of industrial and consumer products. Equipment and tools includes manual, semi-automatic and automatic equipment and tools used in end-of-line operations to apply industrial solutions consumables.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Transit Packaging segment are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1,161</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153</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six months ended June 30, 2020 compared to 2019</w:t>
      </w:r>
    </w:p>
    <w:p>
      <w:pPr>
        <w:spacing w:after="0" w:line="252"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Net sales decreased primarily due to lower sales unit volumes due to the impact of the coronavirus pandemic, the pass-through of lower raw material prices and $11 and $21 from the impact of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Segment income decreased primarily due to lower sales unit volumes partially offset by favorable product mix and improved cost performance.</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Non-reportable Segments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non-reportable segments include its food can and closures businesses in North America, its aerosol can businesses in North America and Europe, and its tooling and equipment operations in the U.S. and U.K.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non-reportable segments are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3"/>
                <w:szCs w:val="23"/>
                <w:color w:val="auto"/>
              </w:rPr>
            </w:pP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656</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69</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June 30, 2020 compared to 2019</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Net sales increased as higher sales in the Company's beverage can equipment operations and 13% higher sales unit volumes in the Company's North America food can business were partially offset by lower sales unit volumes in the Company's global aerosol can businesses and $6 from the impact of foreign currency translation.</w:t>
      </w:r>
    </w:p>
    <w:p>
      <w:pPr>
        <w:spacing w:after="0" w:line="211"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Segment income decreased as lower sales unit volumes in the Company's global aerosol can businesses were partially offset by higher sales in the Company's beverage can equipment operations and higher sales unit volumes in the Company's North America food can business.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Six months ended June 30, 2020 compared to 2019</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Net sales increased as higher sales in the Company's beverage can equipment operations and 12% higher sales unit volumes in the Company's North America food can business were partially offset by lower sales unit volumes in the Company's global aerosol can businesses, the pass-through of lower tinplate costs and $8 from the impact of foreign currency translation.</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Segment income decreased primarily due to $16 arising from the carryover of tinplate costs from the prior year-end inventory and lower sales unit volumes in the Company's global aerosol can businesses, partially offset by higher sales in the Company's beverage can equipment operations and higher sales unit volumes in the Company's North America food can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Corporate and Unallocated Expense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33"/>
        </w:trPr>
        <w:tc>
          <w:tcPr>
            <w:tcW w:w="66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jc w:val="center"/>
              <w:ind w:right="60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204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Six Months Ended</w:t>
            </w:r>
          </w:p>
        </w:tc>
      </w:tr>
      <w:tr>
        <w:trPr>
          <w:trHeight w:val="270"/>
        </w:trPr>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760" w:type="dxa"/>
            <w:vAlign w:val="bottom"/>
          </w:tcPr>
          <w:p>
            <w:pPr>
              <w:spacing w:after="0"/>
              <w:rPr>
                <w:sz w:val="23"/>
                <w:szCs w:val="23"/>
                <w:color w:val="auto"/>
              </w:rPr>
            </w:pPr>
          </w:p>
        </w:tc>
      </w:tr>
      <w:tr>
        <w:trPr>
          <w:trHeight w:val="27"/>
        </w:trPr>
        <w:tc>
          <w:tcPr>
            <w:tcW w:w="6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2019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2019</w:t>
            </w:r>
          </w:p>
        </w:tc>
      </w:tr>
      <w:tr>
        <w:trPr>
          <w:trHeight w:val="27"/>
        </w:trPr>
        <w:tc>
          <w:tcPr>
            <w:tcW w:w="660" w:type="dxa"/>
            <w:vAlign w:val="bottom"/>
          </w:tcPr>
          <w:p>
            <w:pPr>
              <w:spacing w:after="0"/>
              <w:rPr>
                <w:sz w:val="2"/>
                <w:szCs w:val="2"/>
                <w:color w:val="auto"/>
              </w:rPr>
            </w:pPr>
          </w:p>
        </w:tc>
        <w:tc>
          <w:tcPr>
            <w:tcW w:w="44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66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For the three and six months ended June 30, 2020 compared to 2019, corporate and unallocated expenses decreased primarily due to lower personnel and other general costs due to the coronavirus pandemic and lower incentive compensation costs.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three and six months ended June 30, 2020 compared to 2019, interest expense decreased from $97 to $76 and $195 to $156 due to lower average outstanding debt and lower interest rates.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Taxes on Income</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3"/>
        </w:trPr>
        <w:tc>
          <w:tcPr>
            <w:tcW w:w="4400" w:type="dxa"/>
            <w:vAlign w:val="bottom"/>
            <w:gridSpan w:val="2"/>
          </w:tcPr>
          <w:p>
            <w:pPr>
              <w:spacing w:after="0"/>
              <w:rPr>
                <w:sz w:val="20"/>
                <w:szCs w:val="20"/>
                <w:color w:val="auto"/>
              </w:rPr>
            </w:pPr>
            <w:r>
              <w:rPr>
                <w:rFonts w:ascii="Arial" w:cs="Arial" w:eastAsia="Arial" w:hAnsi="Arial"/>
                <w:sz w:val="18"/>
                <w:szCs w:val="18"/>
                <w:color w:val="auto"/>
                <w:w w:val="96"/>
              </w:rPr>
              <w:t>The Company's effective income tax rate was as follows:</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0" w:type="dxa"/>
            <w:vAlign w:val="bottom"/>
            <w:gridSpan w:val="5"/>
          </w:tcPr>
          <w:p>
            <w:pPr>
              <w:jc w:val="right"/>
              <w:ind w:right="17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gridSpan w:val="5"/>
          </w:tcPr>
          <w:p>
            <w:pPr>
              <w:jc w:val="right"/>
              <w:ind w:right="270"/>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w w:val="98"/>
              </w:rPr>
              <w:t>June 30,</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w w:val="98"/>
              </w:rPr>
              <w:t>June 30,</w:t>
            </w: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r>
      <w:tr>
        <w:trPr>
          <w:trHeight w:val="27"/>
        </w:trPr>
        <w:tc>
          <w:tcPr>
            <w:tcW w:w="44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7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1"/>
                <w:szCs w:val="21"/>
                <w:color w:val="auto"/>
              </w:rPr>
            </w:pPr>
          </w:p>
        </w:tc>
      </w:tr>
      <w:tr>
        <w:trPr>
          <w:trHeight w:val="27"/>
        </w:trPr>
        <w:tc>
          <w:tcPr>
            <w:tcW w:w="4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128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tax rate for the six months ended June 30, 2020, included a benefit of $4 arising from a tax law change in India.</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effective tax rate for the three and six months ended June 30, 2019 included a charge of $15 to settle a tax contingency arising from a transaction that occurred prior to the Company's acquisition of Signode.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and six months ended June 30, 2020 compared to 2019, net income attributable to noncontrolling interests decreased from $37 to $15 and from $65 to $41 primarily due to higher income in Brazil in 2019 related to a favorable court ruling for one of the Company's Brazilian subsidiaries related to indirect taxes.</w:t>
      </w:r>
    </w:p>
    <w:p>
      <w:pPr>
        <w:spacing w:after="0" w:line="20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used for operating activities increased from $227 for the six months ended June 30, 2019 to $238 for the six months ended June 30, 2020.</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was primarily due to changes in working capital.</w:t>
      </w:r>
    </w:p>
    <w:p>
      <w:pPr>
        <w:spacing w:after="0" w:line="23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was 40 days as of June 30, 2019 compared to 38 as of June 30,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Inventory turnover was 67 days at June 30, 2019 compared to 68 days at June 30, 2020. Inventory turnover at June 30, 2020 increased compared to 63 days at December 31, 2019 due to seasonality in the Company's food and beverage can businesses. 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Days outstanding for trade payables was 89 days at June 30, 2019 compared to 87 days at June 30, 2020.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Cash used for investing activities increased from $137 for the six months ended June, 2019 to $184 for the six months ended June 30, 2020 primarily due to increased capital expenditures.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capital expenditures in 2020 to be approximately $600.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Cash provided by financing activities increased from $99 for the six months ended June, 2019 to $196 for the six months ended June 30, 2020 due to higher net borrowings. Additionally, during the six months ended June 30 ,2020, the Company repurchased $57 of capital stock and had an inflow related to foreign exchange derivatives related to debt.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of June 30, 2020, $313 of the Company's $366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$87 was held by subsidiaries for which earnings are considered indefinitely reinvested. While based on current operating plans the Company does not foresee a need to repatriate these funds, if such earnings were repatriated the Company would be required to record any incremental taxes on the repatriated funds.</w:t>
      </w:r>
    </w:p>
    <w:p>
      <w:pPr>
        <w:spacing w:after="0" w:line="219"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As of June 30, 2020, the Company had $1,464 of borrowing capacity available under its revolving credit facility, equal to the total facility of $1,650 less borrowings of $121 and outstanding standby letters of credit of $65. The Company could have borrowed this amount at June 30, 2020 and still been in compliance with its leverage ratio covenants. The Company's net total leverage ratio, as defined by the credit agreement, of 4.69 to 1.0 at June 30, 2020 was in compliance with the covenant requiring a ratio of no greater than 5.75 to 1.0. The required net total leverage ratio under the agreement reduces to 5.0 to 1.0 at December 31, 2020 and 4.5 to 1.0 at December 31, 2022.</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2020, the Company had approximately $95 of capital commitments primarily related to its Americas Beverage segments. The Company expects to fund these commitments primarily through cash flows generated from operations.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During the six months ended June 30, 2020 there were no material changes to the Company's contractual obligations provided within Part II, Item 7, “Management's Discussion and Analysis of Financial Condition and Results of Operations” of the Company's Annual Report on Form 10-K for the year ended December 31, 2019, which information is incorporated herein by reference.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As disclosed in </w:t>
      </w:r>
      <w:hyperlink w:anchor="page18">
        <w:r>
          <w:rPr>
            <w:rFonts w:ascii="Arial" w:cs="Arial" w:eastAsia="Arial" w:hAnsi="Arial"/>
            <w:sz w:val="18"/>
            <w:szCs w:val="18"/>
            <w:u w:val="single" w:color="auto"/>
            <w:color w:val="0000FF"/>
          </w:rPr>
          <w:t>Note K</w:t>
        </w:r>
      </w:hyperlink>
      <w:r>
        <w:rPr>
          <w:rFonts w:ascii="Arial" w:cs="Arial" w:eastAsia="Arial" w:hAnsi="Arial"/>
          <w:sz w:val="18"/>
          <w:szCs w:val="18"/>
          <w:color w:val="auto"/>
        </w:rPr>
        <w:t>, the Company has senior notes and debentures outstanding, which have various guarantees.</w:t>
      </w:r>
    </w:p>
    <w:p>
      <w:pPr>
        <w:spacing w:after="0" w:line="252"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Company’s outstanding $350 principal amount of 7.375% senior notes due 2026 and $40 principal amount 7.5% senior notes due 2096 were issued by Crown Cork &amp; Seal Company, Inc. (Crown Cork Issuer), a 100% owned subsidiary of the Company and are fully and unconditionally guaranteed by Crown Holdings, Inc. (Parent). No other subsidiary guarantees the debt and the guarantees are made on a joint and several basis.</w:t>
      </w:r>
    </w:p>
    <w:p>
      <w:pPr>
        <w:spacing w:after="0" w:line="17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Company’s $1,000 principal amount 4.5% senior notes due 2023, $400 principal amount of 4.25% senior notes due 2026, and $875 principal amount of 4.75% senior notes due 2026 were issued by Crown Americas LLC and Crown Americas Capital Corp. IV, Crown Americas Capital Corp. V and Crown Americas Capital Corp. VI, respectively (collectively, the Crown Americas Issuer), each a 100% owned subsidiary of the Company, and are fully and unconditionally guaranteed by the Parent and substantially all of its subsidiaries in the United States. Each of the guarantors to these senior notes (collectively, the Crown Americas Guarantors) is a 100% owned subsidiary of the Company and the guarantees are made on a joint and several basis. The other subsidiaries of the Company do not guarantee the debt.</w:t>
      </w:r>
    </w:p>
    <w:p>
      <w:pPr>
        <w:spacing w:after="0" w:line="20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senior notes described above and issued by the Crown Cork Issuer and the Crown Americas Issuer are collectively referred to as the senior notes, the Crown Cork Issuer and the Crown Americas Issuer are collectively referred to as the issuers, the Parent and the Crown Americas Guarantors are collectively referred to as the guarantors and the subsidiaries of the Company that do not guarantee the senior notes are collectively referred to as the non-guarantors.</w:t>
      </w:r>
    </w:p>
    <w:p>
      <w:pPr>
        <w:spacing w:after="0" w:line="214"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Each of the Parent (in the case of the senior notes issued by the Crown Cork Issuer) and the Crown Americas Guarantors (in the case of the senior notes issued by the Crown Americas Issuer) guarantee the payment of the principal and premium, if any, and interest on the senior notes when due, whether at stated maturity of the senior notes, by acceleration, call for redemption or otherwise, together with interest on the overdue principal, if any, and interest on any overdue interest, to the extent lawful, and all other obligations of the Company to the holders of the senior notes and to the trustee under the applicable indenture governing the senior notes.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senior notes and guarantees are senior unsecured obligations of the issuers and the guarantors, and are</w:t>
      </w:r>
    </w:p>
    <w:p>
      <w:pPr>
        <w:spacing w:after="0" w:line="252" w:lineRule="exact"/>
        <w:rPr>
          <w:sz w:val="20"/>
          <w:szCs w:val="20"/>
          <w:color w:val="auto"/>
        </w:rPr>
      </w:pPr>
    </w:p>
    <w:p>
      <w:pPr>
        <w:ind w:left="1300" w:right="180" w:hanging="320"/>
        <w:spacing w:after="0" w:line="255"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subordinated to all existing and future secured indebtedness of the issuers and the guarantors to the extent of the value of the assets securing such indebtedness, including any borrowings under the Company’s senior secured credit facilities, to the extent of the value of the assets securing such indebtedness;</w:t>
      </w:r>
    </w:p>
    <w:p>
      <w:pPr>
        <w:spacing w:after="0" w:line="2" w:lineRule="exact"/>
        <w:rPr>
          <w:rFonts w:ascii="Arial" w:cs="Arial" w:eastAsia="Arial" w:hAnsi="Arial"/>
          <w:sz w:val="18"/>
          <w:szCs w:val="18"/>
          <w:color w:val="auto"/>
        </w:rPr>
      </w:pPr>
    </w:p>
    <w:p>
      <w:pPr>
        <w:ind w:left="1300" w:right="260" w:hanging="320"/>
        <w:spacing w:after="0" w:line="281" w:lineRule="auto"/>
        <w:tabs>
          <w:tab w:leader="none" w:pos="1295" w:val="left"/>
        </w:tabs>
        <w:numPr>
          <w:ilvl w:val="0"/>
          <w:numId w:val="7"/>
        </w:numPr>
        <w:rPr>
          <w:rFonts w:ascii="Arial" w:cs="Arial" w:eastAsia="Arial" w:hAnsi="Arial"/>
          <w:sz w:val="16"/>
          <w:szCs w:val="16"/>
          <w:color w:val="auto"/>
        </w:rPr>
      </w:pPr>
      <w:r>
        <w:rPr>
          <w:rFonts w:ascii="Arial" w:cs="Arial" w:eastAsia="Arial" w:hAnsi="Arial"/>
          <w:sz w:val="16"/>
          <w:szCs w:val="16"/>
          <w:color w:val="auto"/>
        </w:rPr>
        <w:t>structurally subordinated to all indebtedness of the Company’s non-guarantor subsidiaries, which include all of the Company’s foreign subsidiaries and any U.S. subsidiaries that are neither obligors nor guarantors of the Company’s senior secured credit facilities;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ranked equal in right of payment to any existing or future senior indebtedness of the issuers and the guarantors;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ranked senior in right of payment to all existing and future subordinated indebtedness of the issuers and the guarantors.</w:t>
      </w:r>
    </w:p>
    <w:p>
      <w:pPr>
        <w:spacing w:after="0" w:line="23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Each guarantee of a guarantor is limited to an amount not to exceed the maximum amount that can be guaranteed that will not (after giving effect to all other contingent and fixed liabilities of such guarantor and after giving effect to any collections from, rights to receive contribution from or payments made by or on behalf of all other guarantors in respect of the obligations of such other guarantors under their respective guarantees of the guaranteed obligations) render the guarantee, as it relates to such guarantor, voidable under applicable law relating to fraudulent conveyances or fraudulent transfers.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guarantee of a guarantor other than the Parent will be unconditionally released and discharged upon any of the following:</w:t>
      </w:r>
    </w:p>
    <w:p>
      <w:pPr>
        <w:spacing w:after="0" w:line="252" w:lineRule="exact"/>
        <w:rPr>
          <w:sz w:val="20"/>
          <w:szCs w:val="20"/>
          <w:color w:val="auto"/>
        </w:rPr>
      </w:pPr>
    </w:p>
    <w:p>
      <w:pPr>
        <w:jc w:val="both"/>
        <w:ind w:left="1340" w:hanging="320"/>
        <w:spacing w:after="0" w:line="263" w:lineRule="auto"/>
        <w:tabs>
          <w:tab w:leader="none" w:pos="1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transfer (including, without limitation, by way of consolidation or merger) by the Parent or any subsidiary of the Parent to any person or entity that is not the Parent or a subsidiary of the Parent of all of the equity interests of, or all or substantially all of the properties and assets of, such guarantor;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1340" w:hanging="320"/>
        <w:spacing w:after="0" w:line="269" w:lineRule="auto"/>
        <w:tabs>
          <w:tab w:leader="none" w:pos="1335"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transfer (including, without limitation, by way of consolidation or merger) by the Parent or any subsidiary of the Parent to any person or entity that is not the Parent or a subsidiary of the Parent of equity interests of such guarantor or any issuance by such guarantor of its equity interests, such that such guarantor ceases to be a subsidiary of the Parent; provided that such guarantor is also released from all of its obligations in respect of indebtedness under the Company’s senior secured credit facilities;</w:t>
      </w:r>
    </w:p>
    <w:p>
      <w:pPr>
        <w:spacing w:after="0" w:line="1" w:lineRule="exact"/>
        <w:rPr>
          <w:rFonts w:ascii="Arial" w:cs="Arial" w:eastAsia="Arial" w:hAnsi="Arial"/>
          <w:sz w:val="17"/>
          <w:szCs w:val="17"/>
          <w:color w:val="auto"/>
        </w:rPr>
      </w:pPr>
    </w:p>
    <w:p>
      <w:pPr>
        <w:ind w:left="1340" w:hanging="320"/>
        <w:spacing w:after="0" w:line="250" w:lineRule="auto"/>
        <w:tabs>
          <w:tab w:leader="none" w:pos="1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the Company’s senior secured credit facilities, except to the extent such guarantor is otherwise required to provide a guarantee; or</w:t>
      </w:r>
    </w:p>
    <w:p>
      <w:pPr>
        <w:ind w:left="1340" w:right="20" w:hanging="320"/>
        <w:spacing w:after="0" w:line="260" w:lineRule="auto"/>
        <w:tabs>
          <w:tab w:leader="none" w:pos="1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contemporaneous release or discharge of all guarantees by such guarantor which would have required such guarantor to provide a guarantee under the applicable indenture.</w:t>
      </w:r>
    </w:p>
    <w:p>
      <w:pPr>
        <w:spacing w:after="0" w:line="21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each of Crown Cork and Crown Americas on a combined basis for each issuer and its guarantors after elimination of (i) intercompany transactions and balances among the Parent and the guarantors and (ii) equity in earnings from and investments in any subsidiary that is a non-guarantor.</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00" w:type="dxa"/>
            <w:vAlign w:val="bottom"/>
            <w:gridSpan w:val="3"/>
          </w:tcPr>
          <w:p>
            <w:pPr>
              <w:spacing w:after="0"/>
              <w:rPr>
                <w:sz w:val="20"/>
                <w:szCs w:val="20"/>
                <w:color w:val="auto"/>
              </w:rPr>
            </w:pPr>
            <w:r>
              <w:rPr>
                <w:rFonts w:ascii="Arial" w:cs="Arial" w:eastAsia="Arial" w:hAnsi="Arial"/>
                <w:sz w:val="18"/>
                <w:szCs w:val="18"/>
                <w:i w:val="1"/>
                <w:iCs w:val="1"/>
                <w:color w:val="auto"/>
              </w:rPr>
              <w:t>Crown Cork Issuer and Guarantor</w:t>
            </w: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91"/>
        </w:trPr>
        <w:tc>
          <w:tcPr>
            <w:tcW w:w="25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Six Months Ended</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70"/>
        </w:trPr>
        <w:tc>
          <w:tcPr>
            <w:tcW w:w="2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20" w:type="dxa"/>
            <w:vAlign w:val="bottom"/>
          </w:tcPr>
          <w:p>
            <w:pPr>
              <w:jc w:val="center"/>
              <w:ind w:left="430"/>
              <w:spacing w:after="0"/>
              <w:rPr>
                <w:sz w:val="20"/>
                <w:szCs w:val="20"/>
                <w:color w:val="auto"/>
              </w:rPr>
            </w:pPr>
            <w:r>
              <w:rPr>
                <w:rFonts w:ascii="Arial" w:cs="Arial" w:eastAsia="Arial" w:hAnsi="Arial"/>
                <w:sz w:val="18"/>
                <w:szCs w:val="18"/>
                <w:color w:val="auto"/>
                <w:w w:val="89"/>
              </w:rPr>
              <w:t>June 30, 2020</w:t>
            </w: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
        </w:trPr>
        <w:tc>
          <w:tcPr>
            <w:tcW w:w="288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4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auto"/>
              <w:bottom w:val="single" w:sz="8" w:color="CCEEFF"/>
            </w:tcBorders>
            <w:gridSpan w:val="2"/>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43"/>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288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0"/>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0"/>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2"/>
        </w:trPr>
        <w:tc>
          <w:tcPr>
            <w:tcW w:w="6160" w:type="dxa"/>
            <w:vAlign w:val="bottom"/>
            <w:gridSpan w:val="5"/>
          </w:tcPr>
          <w:p>
            <w:pPr>
              <w:spacing w:after="0"/>
              <w:rPr>
                <w:sz w:val="20"/>
                <w:szCs w:val="20"/>
                <w:color w:val="auto"/>
              </w:rPr>
            </w:pPr>
            <w:r>
              <w:rPr>
                <w:rFonts w:ascii="Arial" w:cs="Arial" w:eastAsia="Arial" w:hAnsi="Arial"/>
                <w:sz w:val="14"/>
                <w:szCs w:val="14"/>
                <w:color w:val="auto"/>
              </w:rPr>
              <w:t>(1) Includes $17 of expense related to intercompany interest with non-guarantor subsidiaries</w:t>
            </w: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512"/>
        </w:trPr>
        <w:tc>
          <w:tcPr>
            <w:tcW w:w="2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jc w:val="center"/>
              <w:ind w:left="490"/>
              <w:spacing w:after="0"/>
              <w:rPr>
                <w:sz w:val="20"/>
                <w:szCs w:val="20"/>
                <w:color w:val="auto"/>
              </w:rPr>
            </w:pPr>
            <w:r>
              <w:rPr>
                <w:rFonts w:ascii="Arial" w:cs="Arial" w:eastAsia="Arial" w:hAnsi="Arial"/>
                <w:sz w:val="18"/>
                <w:szCs w:val="18"/>
                <w:color w:val="auto"/>
                <w:w w:val="87"/>
              </w:rPr>
              <w:t>June 30, 2020</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jc w:val="right"/>
              <w:ind w:right="310"/>
              <w:spacing w:after="0"/>
              <w:rPr>
                <w:sz w:val="20"/>
                <w:szCs w:val="20"/>
                <w:color w:val="auto"/>
              </w:rPr>
            </w:pPr>
            <w:r>
              <w:rPr>
                <w:rFonts w:ascii="Arial" w:cs="Arial" w:eastAsia="Arial" w:hAnsi="Arial"/>
                <w:sz w:val="18"/>
                <w:szCs w:val="18"/>
                <w:color w:val="auto"/>
                <w:w w:val="98"/>
              </w:rPr>
              <w:t>December 31, 2019</w:t>
            </w:r>
          </w:p>
        </w:tc>
      </w:tr>
      <w:tr>
        <w:trPr>
          <w:trHeight w:val="27"/>
        </w:trPr>
        <w:tc>
          <w:tcPr>
            <w:tcW w:w="2880" w:type="dxa"/>
            <w:vAlign w:val="bottom"/>
            <w:tcBorders>
              <w:bottom w:val="single" w:sz="8" w:color="CCEEFF"/>
            </w:tcBorders>
            <w:gridSpan w:val="2"/>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60" w:type="dxa"/>
            <w:vAlign w:val="bottom"/>
            <w:tcBorders>
              <w:bottom w:val="single" w:sz="8" w:color="CCEEFF"/>
            </w:tcBorders>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r>
      <w:tr>
        <w:trPr>
          <w:trHeight w:val="243"/>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Non-current assets</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129</w:t>
            </w:r>
          </w:p>
        </w:tc>
      </w:tr>
      <w:tr>
        <w:trPr>
          <w:trHeight w:val="27"/>
        </w:trPr>
        <w:tc>
          <w:tcPr>
            <w:tcW w:w="288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r>
      <w:tr>
        <w:trPr>
          <w:trHeight w:val="325"/>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4,289</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4,237</w:t>
            </w:r>
          </w:p>
        </w:tc>
      </w:tr>
      <w:tr>
        <w:trPr>
          <w:trHeight w:val="216"/>
        </w:trPr>
        <w:tc>
          <w:tcPr>
            <w:tcW w:w="7120" w:type="dxa"/>
            <w:vAlign w:val="bottom"/>
            <w:gridSpan w:val="7"/>
          </w:tcPr>
          <w:p>
            <w:pPr>
              <w:spacing w:after="0"/>
              <w:rPr>
                <w:sz w:val="20"/>
                <w:szCs w:val="20"/>
                <w:color w:val="auto"/>
              </w:rPr>
            </w:pPr>
            <w:r>
              <w:rPr>
                <w:rFonts w:ascii="Arial" w:cs="Arial" w:eastAsia="Arial" w:hAnsi="Arial"/>
                <w:sz w:val="14"/>
                <w:szCs w:val="14"/>
                <w:color w:val="auto"/>
                <w:w w:val="93"/>
              </w:rPr>
              <w:t>(1) Includes payables of $3,594 and $3,538 due to non-guarantor subsidiaries as of June 30, 2020 and December 31, 2019</w:t>
            </w: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17"/>
        </w:trPr>
        <w:tc>
          <w:tcPr>
            <w:tcW w:w="4500" w:type="dxa"/>
            <w:vAlign w:val="bottom"/>
            <w:gridSpan w:val="3"/>
          </w:tcPr>
          <w:p>
            <w:pPr>
              <w:spacing w:after="0"/>
              <w:rPr>
                <w:sz w:val="20"/>
                <w:szCs w:val="20"/>
                <w:color w:val="auto"/>
              </w:rPr>
            </w:pPr>
            <w:r>
              <w:rPr>
                <w:rFonts w:ascii="Arial" w:cs="Arial" w:eastAsia="Arial" w:hAnsi="Arial"/>
                <w:sz w:val="18"/>
                <w:szCs w:val="18"/>
                <w:i w:val="1"/>
                <w:iCs w:val="1"/>
                <w:color w:val="auto"/>
              </w:rPr>
              <w:t>Crown Americas Issuer and Guarantors</w:t>
            </w: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90"/>
        </w:trPr>
        <w:tc>
          <w:tcPr>
            <w:tcW w:w="25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Six Months Ended</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70"/>
        </w:trPr>
        <w:tc>
          <w:tcPr>
            <w:tcW w:w="2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20" w:type="dxa"/>
            <w:vAlign w:val="bottom"/>
          </w:tcPr>
          <w:p>
            <w:pPr>
              <w:jc w:val="center"/>
              <w:ind w:left="430"/>
              <w:spacing w:after="0"/>
              <w:rPr>
                <w:sz w:val="20"/>
                <w:szCs w:val="20"/>
                <w:color w:val="auto"/>
              </w:rPr>
            </w:pPr>
            <w:r>
              <w:rPr>
                <w:rFonts w:ascii="Arial" w:cs="Arial" w:eastAsia="Arial" w:hAnsi="Arial"/>
                <w:sz w:val="18"/>
                <w:szCs w:val="18"/>
                <w:color w:val="auto"/>
                <w:w w:val="89"/>
              </w:rPr>
              <w:t>June 30, 2020</w:t>
            </w: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
        </w:trPr>
        <w:tc>
          <w:tcPr>
            <w:tcW w:w="4500" w:type="dxa"/>
            <w:vAlign w:val="bottom"/>
            <w:tcBorders>
              <w:bottom w:val="single" w:sz="8" w:color="CCEEFF"/>
            </w:tcBorders>
            <w:gridSpan w:val="3"/>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4"/>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1,928</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0"/>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310</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0"/>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0"/>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3</w:t>
            </w:r>
          </w:p>
        </w:tc>
        <w:tc>
          <w:tcPr>
            <w:tcW w:w="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0"/>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r>
    </w:tbl>
    <w:p>
      <w:pPr>
        <w:spacing w:after="0" w:line="89" w:lineRule="exact"/>
        <w:rPr>
          <w:sz w:val="20"/>
          <w:szCs w:val="20"/>
          <w:color w:val="auto"/>
        </w:rPr>
      </w:pPr>
    </w:p>
    <w:p>
      <w:pPr>
        <w:ind w:left="860" w:hanging="204"/>
        <w:spacing w:after="0"/>
        <w:tabs>
          <w:tab w:leader="none" w:pos="8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$204 of sales to non-guarantor subsidiaries</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$20 of gross profit related to sales to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$28 of income related to intercompany interest and technology royalties with non-guarantor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tc>
        <w:tc>
          <w:tcPr>
            <w:tcW w:w="1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3"/>
        </w:trPr>
        <w:tc>
          <w:tcPr>
            <w:tcW w:w="6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jc w:val="right"/>
              <w:ind w:right="310"/>
              <w:spacing w:after="0"/>
              <w:rPr>
                <w:sz w:val="20"/>
                <w:szCs w:val="20"/>
                <w:color w:val="auto"/>
              </w:rPr>
            </w:pPr>
            <w:r>
              <w:rPr>
                <w:rFonts w:ascii="Arial" w:cs="Arial" w:eastAsia="Arial" w:hAnsi="Arial"/>
                <w:sz w:val="18"/>
                <w:szCs w:val="18"/>
                <w:color w:val="auto"/>
                <w:w w:val="98"/>
              </w:rPr>
              <w:t>December 31, 2019</w:t>
            </w:r>
          </w:p>
        </w:tc>
      </w:tr>
      <w:tr>
        <w:trPr>
          <w:trHeight w:val="27"/>
        </w:trPr>
        <w:tc>
          <w:tcPr>
            <w:tcW w:w="660" w:type="dxa"/>
            <w:vAlign w:val="bottom"/>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162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719</w:t>
            </w:r>
          </w:p>
        </w:tc>
        <w:tc>
          <w:tcPr>
            <w:tcW w:w="3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799</w:t>
            </w:r>
          </w:p>
        </w:tc>
      </w:tr>
      <w:tr>
        <w:trPr>
          <w:trHeight w:val="270"/>
        </w:trPr>
        <w:tc>
          <w:tcPr>
            <w:tcW w:w="66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16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3,282</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3,171</w:t>
            </w:r>
          </w:p>
        </w:tc>
      </w:tr>
      <w:tr>
        <w:trPr>
          <w:trHeight w:val="270"/>
        </w:trPr>
        <w:tc>
          <w:tcPr>
            <w:tcW w:w="660" w:type="dxa"/>
            <w:vAlign w:val="bottom"/>
          </w:tcPr>
          <w:p>
            <w:pPr>
              <w:spacing w:after="0"/>
              <w:rPr>
                <w:sz w:val="23"/>
                <w:szCs w:val="23"/>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16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951</w:t>
            </w:r>
          </w:p>
        </w:tc>
        <w:tc>
          <w:tcPr>
            <w:tcW w:w="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956</w:t>
            </w:r>
          </w:p>
        </w:tc>
      </w:tr>
      <w:tr>
        <w:trPr>
          <w:trHeight w:val="325"/>
        </w:trPr>
        <w:tc>
          <w:tcPr>
            <w:tcW w:w="66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1620" w:type="dxa"/>
            <w:vAlign w:val="bottom"/>
          </w:tcPr>
          <w:p>
            <w:pPr>
              <w:spacing w:after="0"/>
              <w:rPr>
                <w:sz w:val="24"/>
                <w:szCs w:val="24"/>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4,701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4,709</w:t>
            </w:r>
          </w:p>
        </w:tc>
      </w:tr>
    </w:tbl>
    <w:p>
      <w:pPr>
        <w:spacing w:after="0" w:line="34" w:lineRule="exact"/>
        <w:rPr>
          <w:sz w:val="20"/>
          <w:szCs w:val="20"/>
          <w:color w:val="auto"/>
        </w:rPr>
      </w:pPr>
    </w:p>
    <w:p>
      <w:pPr>
        <w:ind w:left="860" w:hanging="204"/>
        <w:spacing w:after="0"/>
        <w:tabs>
          <w:tab w:leader="none" w:pos="8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receivables of $55 due from non-guarantor subsidiaries as of June 30, 2020 and December 31, 2019</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receivables of $191 and $128 due from non-guarantor subsidiaries as of June 30, 2020 and December 31, 2019</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payables of $63 and $21 due to non-guarantor subsidiaries as of June 30, 2020 and December 31, 2019</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payables of $266 and $245 due to non-guarantor subsidiaries as of June 30, 2020 and December 31, 2019</w:t>
      </w:r>
    </w:p>
    <w:p>
      <w:pPr>
        <w:spacing w:after="0" w:line="23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senior notes are structurally subordinated to all indebtedness of the Company’s non-guarantor subsidiaries. The non-guarantors are separate and distinct legal entities and have no obligation, contingent or otherwise, to pay any amounts due pursuant to the senior notes, or to make any funds available therefor, whether by dividends, loans, distributions or other payments. Any right that the Company or the guarantors have to receive any assets of any of the non-guarantors upon the liquidation or reorganization of any non-guarantor, and the consequent rights of holders of senior notes to realize proceeds from the sale of any of a non-guarantor’s assets, would be effectively subordinated to the claims of such non-guarantor’s creditors, including trade creditors and holders of preferred equity interests, if any, of such non-guarantor. Accordingly, in the event of a bankruptcy, liquidation or reorganization of any of the non-guarantors, the non-guarantors will pay the holders of their debts, holders of preferred equity interests, if any, and their trade creditors before they will be able to distribute any of their assets to the Company or any of the guarantors.</w:t>
      </w:r>
    </w:p>
    <w:p>
      <w:pPr>
        <w:spacing w:after="0" w:line="22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Under U.S. federal bankruptcy laws or comparable provisions of state fraudulent transfer laws, the issuance of the senior note guarantees by the guarantors could be voided, or claims in respect of such obligations could be subordinated to all of their other debts and other liabilities, if, among other things, at the time the guarantors issued the related senior note guarantees, the Company or the applicable guarantor intended to hinder, delay or defraud any present or future creditor, or received less than reasonably equivalent value or fair consideration for the incurrence of such indebtedness and either:</w:t>
      </w:r>
    </w:p>
    <w:p>
      <w:pPr>
        <w:spacing w:after="0" w:line="215"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23" w:lineRule="exact"/>
        <w:rPr>
          <w:rFonts w:ascii="Arial" w:cs="Arial" w:eastAsia="Arial" w:hAnsi="Arial"/>
          <w:sz w:val="18"/>
          <w:szCs w:val="18"/>
          <w:color w:val="auto"/>
        </w:rPr>
      </w:pPr>
    </w:p>
    <w:p>
      <w:pPr>
        <w:ind w:left="1300" w:hanging="320"/>
        <w:spacing w:after="0" w:line="250"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the Company’s or such guarantor’s remaining assets constituted unreasonably small capital; or</w:t>
      </w: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38"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Each guarantee provided by a guarantor includes a provision intended to limit the guarantor’s liability to the maximum amount that it could incur without causing the incurrence of obligations under its guarantee to be a fraudulent transfer or conveyance. This provision may not be effective to protect those guarantees from being avoided under fraudulent transfer or conveyance law, or it may reduce that guarantor’s obligation to an amount that effectively makes its guarantee worthless, and we cannot predict whether a court will ultimately find it to be effective.</w:t>
      </w:r>
    </w:p>
    <w:p>
      <w:pPr>
        <w:spacing w:after="0" w:line="18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the basis of historical financial information, operating history and other factors, we believe that each of the guarantors, after giving effect to the issuance of its guarantee of the senior notes when such guarantee was issued, was not insolvent, did not have unreasonably small capital for the business in which it engaged and did not and has not incurred debts beyond its ability to pay such debts as they mature. The Company cannot assure, however, as to what standard a court would apply in making these determinations or that a court would agree with our conclusions in this regard.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2">
        <w:r>
          <w:rPr>
            <w:rFonts w:ascii="Arial" w:cs="Arial" w:eastAsia="Arial" w:hAnsi="Arial"/>
            <w:sz w:val="18"/>
            <w:szCs w:val="18"/>
            <w:u w:val="single" w:color="auto"/>
            <w:color w:val="0000FF"/>
          </w:rPr>
          <w:t>Note I</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38" w:lineRule="exact"/>
        <w:rPr>
          <w:sz w:val="20"/>
          <w:szCs w:val="20"/>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2019 describe the significant accounting estimates and policies used in the preparation of the consolidated financial statements. Updates to the Company's accounting policies related to new accounting pronouncements are included in </w:t>
      </w:r>
      <w:hyperlink w:anchor="page8">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w:t>
      </w:r>
    </w:p>
    <w:p>
      <w:pPr>
        <w:spacing w:after="0" w:line="21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discussion below supplements the discussion from the Company's Annual Report on Form 10-K for the year ended December 31, 2019 with respect to goodwill.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Goodwill Impairment</w:t>
      </w:r>
    </w:p>
    <w:p>
      <w:pPr>
        <w:spacing w:after="0" w:line="252"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As of October 1, 2019, the estimated fair values of the Equipment &amp; Tools and Industrial Solutions reporting units, which are included in the Transit Packaging segment were 9% and 15% higher than their respective carrying values. The reporting units operate in low-growth environments that are expected to experience lower demand in the near term because of the impact of the coronavirus pandemic. If the reporting units' operating results are significantly impacted for an extended period of time, it is possible that the Company may record an impairment charge in the future. As of June 30, 2020, the Equipment and Tools reporting unit had $780 of goodwill and the Industrial Solutions reporting unit had $723 of goodwill. As previously disclosed in the Company's Annual Report on Form 10-K for the year-ended December 31, 2019, based upon an internal reorganization, the Protective Packaging reporting unit was merged into the Industrial Solutions reporting unit, effective January 1, 2020. The amounts and percentages presented represent the combined Industrial Solutions reporting unit.</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June 30, 2020, the Company considered recent events and circumstances and determined it was more likely than not that fair value was more than carrying amount for all of its reporting units. To the extent future operating results decline it is possible that material impairment charges may be recorded.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Statements included herein, including, but not limited to, those in “Management's Discussion and Analysis of Financial Condition and Results of Operations” and in the discussions of asbestos in </w:t>
      </w:r>
      <w:hyperlink w:anchor="page10">
        <w:r>
          <w:rPr>
            <w:rFonts w:ascii="Arial" w:cs="Arial" w:eastAsia="Arial" w:hAnsi="Arial"/>
            <w:sz w:val="16"/>
            <w:szCs w:val="16"/>
            <w:u w:val="single" w:color="auto"/>
            <w:color w:val="0000FF"/>
          </w:rPr>
          <w:t>Note H</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commitments and contingencies in </w:t>
      </w:r>
      <w:hyperlink w:anchor="page12">
        <w:r>
          <w:rPr>
            <w:rFonts w:ascii="Arial" w:cs="Arial" w:eastAsia="Arial" w:hAnsi="Arial"/>
            <w:sz w:val="16"/>
            <w:szCs w:val="16"/>
            <w:u w:val="single" w:color="auto"/>
            <w:color w:val="0000FF"/>
          </w:rPr>
          <w:t>Note 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2019, which are not historical facts (including any statements concerning the direct or indirect impact of COVID-19, plans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A discussion of important factors that could cause the actual results of operations or financial condition of the Company to differ from expectations has been set forth in the Company's Annual Report on Form 10-K for the year ended December 31, 2019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below) and in prior Company filings with the SEC. In addition, other factors have been or may be discussed from time to time in the Company's SEC filings.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June 30, 2020, see </w:t>
      </w:r>
      <w:hyperlink w:anchor="page14">
        <w:r>
          <w:rPr>
            <w:rFonts w:ascii="Arial" w:cs="Arial" w:eastAsia="Arial" w:hAnsi="Arial"/>
            <w:sz w:val="17"/>
            <w:szCs w:val="17"/>
            <w:u w:val="single" w:color="auto"/>
            <w:color w:val="0000FF"/>
          </w:rPr>
          <w:t>Note J</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2020, the Company had $2.5 billion principal floating interest rate debt. A change of 0.25% in these floating interest rates would change annual interest expense by approximately $6 million before tax.</w:t>
      </w:r>
    </w:p>
    <w:p>
      <w:pPr>
        <w:spacing w:after="0" w:line="197"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In July 2017, the Financial Conduct Authority (the authority that regulates LIBOR) announced it intends to stop compelling banks to submit rates for the calculation of LIBOR after 2021. The U.S. Federal Reserve, in conjunction with the Alternative Reference Rate Committee has announced the replacement of U.S. dollar LIBOR rates with a new index calculated by short-term repurchase agreements backed by U.S. Treasury securities called the Secured Overnight Financing Rate (SOFR). The first publication of SOFR was released in April 2018. Whether or not SOFR attains market traction as a LIBOR replacement tool remains in question and the future of LIBOR at this time is uncertain. At June 30, 2020, the Company does have contracts that are indexed to LIBOR, including cross-currency swap contracts and certain of its term loan facilities, and continues to monitor this activity and evaluate the related risks. The discontinuation of LIBOR will require these arrangements to be modified in order to replace LIBOR with an alternative reference interest rate, which could impact the Company's cost of funds. The Company’s credit agreement includes a provision for the determination of a successor LIBOR rate when appropriate by reference to the then-prevailing market convention for determining an interest rate for syndicated loans in the United States, subject to a right of the lenders thereunder to reject the application of the determined rate by written notice.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10">
        <w:r>
          <w:rPr>
            <w:rFonts w:ascii="Arial" w:cs="Arial" w:eastAsia="Arial" w:hAnsi="Arial"/>
            <w:sz w:val="18"/>
            <w:szCs w:val="18"/>
            <w:u w:val="single" w:color="auto"/>
            <w:color w:val="0000FF"/>
          </w:rPr>
          <w:t>Note H</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2">
        <w:r>
          <w:rPr>
            <w:rFonts w:ascii="Arial" w:cs="Arial" w:eastAsia="Arial" w:hAnsi="Arial"/>
            <w:sz w:val="18"/>
            <w:szCs w:val="18"/>
            <w:u w:val="single" w:color="auto"/>
            <w:color w:val="0000FF"/>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2019 and in Item 1A of the Company's Quarterly Report on Form 10-Q for the period ended March 31, 2020. Such risks are not the only risks facing the Company. Additional risks and uncertainties not currently known to the Company or that the Company currently deems to be immaterial may also materially adversely effect the Company's business, financial condition and/or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ind w:left="660" w:right="2180"/>
        <w:spacing w:after="0" w:line="277" w:lineRule="auto"/>
        <w:rPr>
          <w:sz w:val="20"/>
          <w:szCs w:val="20"/>
          <w:color w:val="auto"/>
        </w:rPr>
      </w:pPr>
      <w:r>
        <w:rPr>
          <w:rFonts w:ascii="Arial" w:cs="Arial" w:eastAsia="Arial" w:hAnsi="Arial"/>
          <w:sz w:val="18"/>
          <w:szCs w:val="18"/>
          <w:color w:val="auto"/>
        </w:rPr>
        <w:t>There were 15,841 shares surrendered to cover taxes on the vesting of restricted stock during the three months ended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events required to be reported under Item 3 for the three months ended June 30, 2020.</w:t>
      </w:r>
    </w:p>
    <w:p>
      <w:pPr>
        <w:spacing w:after="0" w:line="248"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7" w:name="page38"/>
    <w:bookmarkEnd w:id="37"/>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67" w:lineRule="exact"/>
        <w:rPr>
          <w:sz w:val="20"/>
          <w:szCs w:val="20"/>
          <w:color w:val="auto"/>
        </w:rPr>
      </w:pPr>
    </w:p>
    <w:p>
      <w:pPr>
        <w:ind w:left="740" w:hanging="714"/>
        <w:spacing w:after="0"/>
        <w:tabs>
          <w:tab w:leader="none" w:pos="740" w:val="left"/>
        </w:tabs>
        <w:numPr>
          <w:ilvl w:val="0"/>
          <w:numId w:val="13"/>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List of Guarantor Subsidiaries</w:t>
        </w:r>
      </w:hyperlink>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0" w:type="dxa"/>
            <w:vAlign w:val="bottom"/>
            <w:vMerge w:val="restart"/>
          </w:tcPr>
          <w:p>
            <w:pPr>
              <w:spacing w:after="0"/>
              <w:rPr>
                <w:sz w:val="20"/>
                <w:szCs w:val="20"/>
                <w:color w:val="auto"/>
              </w:rPr>
            </w:pPr>
            <w:r>
              <w:rPr>
                <w:rFonts w:ascii="Arial" w:cs="Arial" w:eastAsia="Arial" w:hAnsi="Arial"/>
                <w:sz w:val="18"/>
                <w:szCs w:val="18"/>
                <w:color w:val="auto"/>
              </w:rPr>
              <w:t>3.2</w:t>
            </w:r>
          </w:p>
        </w:tc>
        <w:tc>
          <w:tcPr>
            <w:tcW w:w="9760" w:type="dxa"/>
            <w:vAlign w:val="bottom"/>
            <w:gridSpan w:val="4"/>
          </w:tcPr>
          <w:p>
            <w:pPr>
              <w:spacing w:after="0"/>
              <w:rPr>
                <w:rFonts w:ascii="Arial" w:cs="Arial" w:eastAsia="Arial" w:hAnsi="Arial"/>
                <w:sz w:val="18"/>
                <w:szCs w:val="18"/>
                <w:color w:val="0000FF"/>
                <w:w w:val="96"/>
              </w:rPr>
            </w:pPr>
            <w:hyperlink r:id="rId48">
              <w:r>
                <w:rPr>
                  <w:rFonts w:ascii="Arial" w:cs="Arial" w:eastAsia="Arial" w:hAnsi="Arial"/>
                  <w:sz w:val="18"/>
                  <w:szCs w:val="18"/>
                  <w:color w:val="0000FF"/>
                  <w:w w:val="96"/>
                </w:rPr>
                <w:t>By-Laws of Crown Holdings, Inc., Amended and Restated as of March 18, 2020 (incorporated by reference to Exhibit 3.ii of the</w:t>
              </w:r>
            </w:hyperlink>
          </w:p>
        </w:tc>
        <w:tc>
          <w:tcPr>
            <w:tcW w:w="0" w:type="dxa"/>
            <w:vAlign w:val="bottom"/>
          </w:tcPr>
          <w:p>
            <w:pPr>
              <w:spacing w:after="0"/>
              <w:rPr>
                <w:sz w:val="1"/>
                <w:szCs w:val="1"/>
                <w:color w:val="auto"/>
              </w:rPr>
            </w:pPr>
          </w:p>
        </w:tc>
      </w:tr>
      <w:tr>
        <w:trPr>
          <w:trHeight w:val="156"/>
        </w:trPr>
        <w:tc>
          <w:tcPr>
            <w:tcW w:w="720" w:type="dxa"/>
            <w:vAlign w:val="bottom"/>
            <w:vMerge w:val="continue"/>
          </w:tcPr>
          <w:p>
            <w:pPr>
              <w:spacing w:after="0"/>
              <w:rPr>
                <w:sz w:val="13"/>
                <w:szCs w:val="13"/>
                <w:color w:val="auto"/>
              </w:rPr>
            </w:pPr>
          </w:p>
        </w:tc>
        <w:tc>
          <w:tcPr>
            <w:tcW w:w="926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Registrant's Current Report on Form 8-K dated March 23 2020 (File No. 000-50189))</w:t>
              </w:r>
              <w:r>
                <w:rPr>
                  <w:rFonts w:ascii="Arial" w:cs="Arial" w:eastAsia="Arial" w:hAnsi="Arial"/>
                  <w:sz w:val="18"/>
                  <w:szCs w:val="18"/>
                  <w:u w:val="single" w:color="auto"/>
                  <w:color w:val="0000FF"/>
                </w:rPr>
                <w:t>.</w:t>
              </w:r>
            </w:hyperlink>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976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41">
              <w:r>
                <w:rPr>
                  <w:rFonts w:ascii="Arial" w:cs="Arial" w:eastAsia="Arial" w:hAnsi="Arial"/>
                  <w:sz w:val="18"/>
                  <w:szCs w:val="18"/>
                  <w:color w:val="0000FF"/>
                  <w:w w:val="93"/>
                </w:rPr>
                <w:t>Certification of Chief Executive Officer pursuant to Rule 13a-14(a) or 15d-14(a) of the Securities Exchange Act of 1934, as adopted</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760" w:type="dxa"/>
            <w:vAlign w:val="bottom"/>
            <w:gridSpan w:val="4"/>
          </w:tcPr>
          <w:p>
            <w:pPr>
              <w:spacing w:after="0" w:line="196" w:lineRule="exact"/>
              <w:rPr>
                <w:rFonts w:ascii="Arial" w:cs="Arial" w:eastAsia="Arial" w:hAnsi="Arial"/>
                <w:sz w:val="18"/>
                <w:szCs w:val="18"/>
                <w:color w:val="0000FF"/>
              </w:rPr>
            </w:pPr>
            <w:hyperlink w:anchor="page41">
              <w:r>
                <w:rPr>
                  <w:rFonts w:ascii="Arial" w:cs="Arial" w:eastAsia="Arial" w:hAnsi="Arial"/>
                  <w:sz w:val="18"/>
                  <w:szCs w:val="18"/>
                  <w:color w:val="0000FF"/>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976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42">
              <w:r>
                <w:rPr>
                  <w:rFonts w:ascii="Arial" w:cs="Arial" w:eastAsia="Arial" w:hAnsi="Arial"/>
                  <w:sz w:val="18"/>
                  <w:szCs w:val="18"/>
                  <w:color w:val="0000FF"/>
                  <w:w w:val="94"/>
                </w:rPr>
                <w:t>Certification of Chief Financial Officer pursuant to Rule 13a-14(a) or 15d-14(a) of the Securities Exchange Act of 1934, as adopted</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760" w:type="dxa"/>
            <w:vAlign w:val="bottom"/>
            <w:gridSpan w:val="4"/>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740" w:hanging="714"/>
        <w:spacing w:after="0" w:line="263" w:lineRule="auto"/>
        <w:tabs>
          <w:tab w:leader="none" w:pos="740" w:val="left"/>
        </w:tabs>
        <w:numPr>
          <w:ilvl w:val="0"/>
          <w:numId w:val="14"/>
        </w:numPr>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Timothy J. Donahue, President and Chief Executive Officer of Crown Holdings, Inc. and Thomas A. Kelly, Senior Vice President and</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Chief Financial Officer of Crown Holdings, Inc.</w:t>
        </w:r>
      </w:hyperlink>
    </w:p>
    <w:p>
      <w:pPr>
        <w:spacing w:after="0" w:line="238" w:lineRule="exact"/>
        <w:rPr>
          <w:rFonts w:ascii="Arial" w:cs="Arial" w:eastAsia="Arial" w:hAnsi="Arial"/>
          <w:sz w:val="18"/>
          <w:szCs w:val="18"/>
          <w:u w:val="single" w:color="auto"/>
          <w:color w:val="0000FF"/>
        </w:rPr>
      </w:pPr>
    </w:p>
    <w:p>
      <w:pPr>
        <w:jc w:val="both"/>
        <w:ind w:left="740" w:hanging="714"/>
        <w:spacing w:after="0" w:line="273"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June 30, 2020 formatted in inline XBRL (eXtensible Business Reporting Language): (i) Consolidated Statements of Operations for the three and six months ended June 30, 2020 and 2019, (ii) Consolidated Statements of Comprehensive Income for the three and six months ended June 30, 2020 and 2019, (iii) Consolidated Balance Sheets as of June 30, 2020 and December 31, 2019, (iv) Consolidated Statements of Cash Flows for the six months ended June 30, 2020 and 2019, (v) Consolidated Statements of Changes in Equity for the three and six months ended June 30, 2020 and 2019 and (vi) Notes to Consolidated Financial Statements.</w:t>
      </w:r>
    </w:p>
    <w:p>
      <w:pPr>
        <w:spacing w:after="0" w:line="232" w:lineRule="exact"/>
        <w:rPr>
          <w:rFonts w:ascii="Arial" w:cs="Arial" w:eastAsia="Arial" w:hAnsi="Arial"/>
          <w:sz w:val="18"/>
          <w:szCs w:val="18"/>
          <w:u w:val="single" w:color="auto"/>
          <w:color w:val="0000FF"/>
        </w:rPr>
      </w:pPr>
    </w:p>
    <w:p>
      <w:pPr>
        <w:ind w:left="740" w:hanging="71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121" w:right="1079" w:bottom="1440" w:gutter="0" w:footer="0" w:header="0"/>
        </w:sectPr>
      </w:pPr>
    </w:p>
    <w:bookmarkStart w:id="38" w:name="page39"/>
    <w:bookmarkEnd w:id="38"/>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8" w:lineRule="exact"/>
        <w:rPr>
          <w:sz w:val="20"/>
          <w:szCs w:val="20"/>
          <w:color w:val="auto"/>
        </w:rPr>
      </w:pPr>
    </w:p>
    <w:p>
      <w:pPr>
        <w:ind w:left="6600"/>
        <w:spacing w:after="0"/>
        <w:rPr>
          <w:sz w:val="20"/>
          <w:szCs w:val="20"/>
          <w:color w:val="auto"/>
        </w:rPr>
      </w:pPr>
      <w:r>
        <w:rPr>
          <w:rFonts w:ascii="Arial" w:cs="Arial" w:eastAsia="Arial" w:hAnsi="Arial"/>
          <w:sz w:val="18"/>
          <w:szCs w:val="18"/>
          <w:u w:val="single" w:color="auto"/>
          <w:color w:val="auto"/>
        </w:rPr>
        <w:t>Crown Holdings, Inc.</w:t>
      </w:r>
    </w:p>
    <w:p>
      <w:pPr>
        <w:ind w:left="6600"/>
        <w:spacing w:after="0"/>
        <w:rPr>
          <w:sz w:val="20"/>
          <w:szCs w:val="20"/>
          <w:color w:val="auto"/>
        </w:rPr>
      </w:pPr>
      <w:r>
        <w:rPr>
          <w:rFonts w:ascii="Arial" w:cs="Arial" w:eastAsia="Arial" w:hAnsi="Arial"/>
          <w:sz w:val="18"/>
          <w:szCs w:val="18"/>
          <w:color w:val="auto"/>
        </w:rPr>
        <w:t>Registrant</w:t>
      </w:r>
    </w:p>
    <w:p>
      <w:pPr>
        <w:spacing w:after="0" w:line="290" w:lineRule="exact"/>
        <w:rPr>
          <w:sz w:val="20"/>
          <w:szCs w:val="20"/>
          <w:color w:val="auto"/>
        </w:rPr>
      </w:pPr>
    </w:p>
    <w:p>
      <w:pPr>
        <w:ind w:left="5840"/>
        <w:spacing w:after="0"/>
        <w:tabs>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31750</wp:posOffset>
            </wp:positionV>
            <wp:extent cx="2674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David A. Beaver</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Vice President and Corporate Controller</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Accounting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80"/>
          </w:cols>
          <w:pgMar w:left="980" w:top="121" w:right="33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subsidiaries of Crown Holdings, Inc. (the "Company") were, as of June 30, 2020,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4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3640" w:type="dxa"/>
            <w:vAlign w:val="bottom"/>
            <w:tcBorders>
              <w:left w:val="single" w:sz="8" w:color="auto"/>
            </w:tcBorders>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20"/>
                <w:szCs w:val="20"/>
                <w:b w:val="1"/>
                <w:bCs w:val="1"/>
                <w:color w:val="auto"/>
              </w:rPr>
              <w:t>NAME</w:t>
            </w:r>
          </w:p>
        </w:tc>
        <w:tc>
          <w:tcPr>
            <w:tcW w:w="364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380" w:type="dxa"/>
            <w:vAlign w:val="bottom"/>
            <w:tcBorders>
              <w:right w:val="single" w:sz="8" w:color="auto"/>
            </w:tcBorders>
            <w:gridSpan w:val="2"/>
          </w:tcPr>
          <w:p>
            <w:pPr>
              <w:jc w:val="center"/>
              <w:ind w:right="800"/>
              <w:spacing w:after="0" w:line="169" w:lineRule="exact"/>
              <w:rPr>
                <w:sz w:val="20"/>
                <w:szCs w:val="20"/>
                <w:color w:val="auto"/>
              </w:rPr>
            </w:pPr>
            <w:r>
              <w:rPr>
                <w:rFonts w:ascii="Arial" w:cs="Arial" w:eastAsia="Arial" w:hAnsi="Arial"/>
                <w:sz w:val="19"/>
                <w:szCs w:val="19"/>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Pr>
          <w:p>
            <w:pPr>
              <w:spacing w:after="0"/>
              <w:rPr>
                <w:sz w:val="21"/>
                <w:szCs w:val="21"/>
                <w:color w:val="auto"/>
              </w:rPr>
            </w:pPr>
          </w:p>
        </w:tc>
        <w:tc>
          <w:tcPr>
            <w:tcW w:w="238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following subsidiaries of the Company were, as of June 30, 2020, guarantors of the Company's $1,000 principal 4.5% senior notes due 2023, $400 principal 4.25% senior notes due 2026, and $875 principal 4.75% senior notes due 2026: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4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3640" w:type="dxa"/>
            <w:vAlign w:val="bottom"/>
            <w:tcBorders>
              <w:left w:val="single" w:sz="8" w:color="auto"/>
            </w:tcBorders>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20"/>
                <w:szCs w:val="20"/>
                <w:b w:val="1"/>
                <w:bCs w:val="1"/>
                <w:color w:val="auto"/>
              </w:rPr>
              <w:t>NAME</w:t>
            </w:r>
          </w:p>
        </w:tc>
        <w:tc>
          <w:tcPr>
            <w:tcW w:w="364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181"/>
        </w:trPr>
        <w:tc>
          <w:tcPr>
            <w:tcW w:w="3640" w:type="dxa"/>
            <w:vAlign w:val="bottom"/>
            <w:tcBorders>
              <w:left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380" w:type="dxa"/>
            <w:vAlign w:val="bottom"/>
            <w:tcBorders>
              <w:right w:val="single" w:sz="8" w:color="auto"/>
            </w:tcBorders>
            <w:gridSpan w:val="2"/>
          </w:tcPr>
          <w:p>
            <w:pPr>
              <w:jc w:val="center"/>
              <w:ind w:right="800"/>
              <w:spacing w:after="0" w:line="169" w:lineRule="exact"/>
              <w:rPr>
                <w:sz w:val="20"/>
                <w:szCs w:val="20"/>
                <w:color w:val="auto"/>
              </w:rPr>
            </w:pPr>
            <w:r>
              <w:rPr>
                <w:rFonts w:ascii="Arial" w:cs="Arial" w:eastAsia="Arial" w:hAnsi="Arial"/>
                <w:sz w:val="19"/>
                <w:szCs w:val="19"/>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Pr>
          <w:p>
            <w:pPr>
              <w:spacing w:after="0"/>
              <w:rPr>
                <w:sz w:val="21"/>
                <w:szCs w:val="21"/>
                <w:color w:val="auto"/>
              </w:rPr>
            </w:pPr>
          </w:p>
        </w:tc>
        <w:tc>
          <w:tcPr>
            <w:tcW w:w="238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886" w:right="419" w:bottom="1440" w:gutter="0" w:footer="0" w:header="0"/>
        </w:sectPr>
      </w:pPr>
    </w:p>
    <w:bookmarkStart w:id="40" w:name="page41"/>
    <w:bookmarkEnd w:id="40"/>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100" w:hanging="332"/>
        <w:spacing w:after="0" w:line="256"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right="80" w:hanging="324"/>
        <w:spacing w:after="0" w:line="256"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right="80" w:hanging="324"/>
        <w:spacing w:after="0" w:line="256" w:lineRule="auto"/>
        <w:tabs>
          <w:tab w:leader="none" w:pos="8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91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Date: July 27, 2020</w:t>
      </w:r>
      <w:r>
        <w:rPr>
          <w:sz w:val="20"/>
          <w:szCs w:val="20"/>
          <w:color w:val="auto"/>
        </w:rPr>
        <w:tab/>
      </w:r>
      <w:r>
        <w:rPr>
          <w:rFonts w:ascii="Arial" w:cs="Arial" w:eastAsia="Arial" w:hAnsi="Arial"/>
          <w:sz w:val="17"/>
          <w:szCs w:val="17"/>
          <w:u w:val="single" w:color="auto"/>
          <w:color w:val="auto"/>
        </w:rPr>
        <w:t>/s/ Timothy J. Donahue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Timothy J. Donahue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20"/>
          </w:cols>
          <w:pgMar w:left="320" w:top="1129" w:right="6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52"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20" w:hanging="332"/>
        <w:spacing w:after="0" w:line="256"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hanging="324"/>
        <w:spacing w:after="0" w:line="256" w:lineRule="auto"/>
        <w:tabs>
          <w:tab w:leader="none" w:pos="9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hanging="324"/>
        <w:spacing w:after="0" w:line="256" w:lineRule="auto"/>
        <w:tabs>
          <w:tab w:leader="none" w:pos="89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90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Date: July 27, 2020</w:t>
      </w:r>
      <w:r>
        <w:rPr>
          <w:sz w:val="20"/>
          <w:szCs w:val="20"/>
          <w:color w:val="auto"/>
        </w:rPr>
        <w:tab/>
      </w:r>
      <w:r>
        <w:rPr>
          <w:rFonts w:ascii="Arial" w:cs="Arial" w:eastAsia="Arial" w:hAnsi="Arial"/>
          <w:sz w:val="18"/>
          <w:szCs w:val="18"/>
          <w:u w:val="single" w:color="auto"/>
          <w:color w:val="auto"/>
        </w:rPr>
        <w:t>/s/ Thomas A. Kelly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40"/>
          </w:cols>
          <w:pgMar w:left="320" w:top="1129" w:right="7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66" w:lineRule="exact"/>
        <w:rPr>
          <w:sz w:val="20"/>
          <w:szCs w:val="20"/>
          <w:color w:val="auto"/>
        </w:rPr>
      </w:pPr>
    </w:p>
    <w:p>
      <w:pPr>
        <w:jc w:val="both"/>
        <w:ind w:firstLine="588"/>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June 30, 2020 (the “Report”), each of the undersigned officers certify, pursuant to 18 U.S.C. § 1350, as adopted pursuant to § 906 of the Sarbanes-Oxley Act of 2002, that:</w:t>
      </w:r>
    </w:p>
    <w:p>
      <w:pPr>
        <w:spacing w:after="0" w:line="235" w:lineRule="exact"/>
        <w:rPr>
          <w:sz w:val="20"/>
          <w:szCs w:val="20"/>
          <w:color w:val="auto"/>
        </w:rPr>
      </w:pPr>
    </w:p>
    <w:p>
      <w:pPr>
        <w:ind w:right="20" w:firstLine="8"/>
        <w:spacing w:after="0" w:line="249" w:lineRule="auto"/>
        <w:tabs>
          <w:tab w:leader="none" w:pos="325"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31" w:lineRule="exact"/>
        <w:rPr>
          <w:rFonts w:ascii="Arial" w:cs="Arial" w:eastAsia="Arial" w:hAnsi="Arial"/>
          <w:sz w:val="22"/>
          <w:szCs w:val="22"/>
          <w:color w:val="auto"/>
        </w:rPr>
      </w:pPr>
    </w:p>
    <w:p>
      <w:pPr>
        <w:ind w:right="20" w:firstLine="8"/>
        <w:spacing w:after="0" w:line="249" w:lineRule="auto"/>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color w:val="auto"/>
        </w:rPr>
        <w:t>Date: July 27, 2020</w:t>
      </w:r>
      <w:r>
        <w:rPr>
          <w:sz w:val="20"/>
          <w:szCs w:val="20"/>
          <w:color w:val="auto"/>
        </w:rPr>
        <w:tab/>
      </w:r>
      <w:r>
        <w:rPr>
          <w:rFonts w:ascii="Arial" w:cs="Arial" w:eastAsia="Arial" w:hAnsi="Arial"/>
          <w:sz w:val="21"/>
          <w:szCs w:val="21"/>
          <w:u w:val="single" w:color="auto"/>
          <w:color w:val="auto"/>
        </w:rPr>
        <w:t>/s/ Timothy J. Donahue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Timothy J. Donahue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President and Chief Executive Officer</w:t>
      </w:r>
    </w:p>
    <w:p>
      <w:pPr>
        <w:spacing w:after="0" w:line="247"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color w:val="auto"/>
        </w:rPr>
        <w:t>Date: July 27, 2020</w:t>
      </w:r>
      <w:r>
        <w:rPr>
          <w:sz w:val="20"/>
          <w:szCs w:val="20"/>
          <w:color w:val="auto"/>
        </w:rPr>
        <w:tab/>
      </w:r>
      <w:r>
        <w:rPr>
          <w:rFonts w:ascii="Arial" w:cs="Arial" w:eastAsia="Arial" w:hAnsi="Arial"/>
          <w:sz w:val="21"/>
          <w:szCs w:val="21"/>
          <w:u w:val="single" w:color="auto"/>
          <w:color w:val="auto"/>
        </w:rPr>
        <w:t>/s/ Thomas A. Kelly</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Thomas A. Kelly</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and Chief Financial Officer</w:t>
      </w:r>
    </w:p>
    <w:p>
      <w:pPr>
        <w:spacing w:after="0" w:line="200" w:lineRule="exact"/>
        <w:rPr>
          <w:sz w:val="20"/>
          <w:szCs w:val="20"/>
          <w:color w:val="auto"/>
        </w:rPr>
      </w:pPr>
    </w:p>
    <w:p>
      <w:pPr>
        <w:spacing w:after="0" w:line="29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1."/>
      <w:numFmt w:val="upperLetter"/>
      <w:start w:val="5"/>
    </w:lvl>
  </w:abstractNum>
  <w:abstractNum w:abstractNumId="4">
    <w:nsid w:val="66EF438D"/>
    <w:multiLevelType w:val="hybridMultilevel"/>
    <w:lvl w:ilvl="0">
      <w:lvlJc w:val="left"/>
      <w:lvlText w:val="%1."/>
      <w:numFmt w:val="upperLetter"/>
      <w:start w:val="14"/>
    </w:lvl>
  </w:abstractNum>
  <w:abstractNum w:abstractNumId="5">
    <w:nsid w:val="140E0F76"/>
    <w:multiLevelType w:val="hybridMultilevel"/>
    <w:lvl w:ilvl="0">
      <w:lvlJc w:val="left"/>
      <w:lvlText w:val="%1."/>
      <w:numFmt w:val="upperLetter"/>
      <w:start w:val="15"/>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22"/>
    </w:lvl>
  </w:abstractNum>
  <w:abstractNum w:abstractNumId="13">
    <w:nsid w:val="4E6AFB66"/>
    <w:multiLevelType w:val="hybridMultilevel"/>
    <w:lvl w:ilvl="0">
      <w:lvlJc w:val="left"/>
      <w:lvlText w:val="%1"/>
      <w:numFmt w:val="decimal"/>
      <w:start w:val="32"/>
    </w:lvl>
  </w:abstractNum>
  <w:abstractNum w:abstractNumId="14">
    <w:nsid w:val="25E45D32"/>
    <w:multiLevelType w:val="hybridMultilevel"/>
    <w:lvl w:ilvl="0">
      <w:lvlJc w:val="left"/>
      <w:lvlText w:val="%1"/>
      <w:numFmt w:val="decimal"/>
      <w:start w:val="101"/>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8" Type="http://schemas.openxmlformats.org/officeDocument/2006/relationships/hyperlink" Target="http://www.sec.gov/Archives/edgar/data/1219601/000121960120000011/ex3mar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2020-07-27T12:24:13Z</dcterms:created>
  <dcterms:modified xsi:type="dcterms:W3CDTF">2020-07-27T12:24:13Z</dcterms:modified>
</cp:coreProperties>
</file>