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25,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60" w:type="dxa"/>
            <w:vAlign w:val="bottom"/>
          </w:tcPr>
          <w:p>
            <w:pPr>
              <w:jc w:val="center"/>
              <w:ind w:right="87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8"/>
                <w:szCs w:val="18"/>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92" w:gutter="0" w:footer="0" w:header="0"/>
        </w:sectPr>
      </w:pPr>
    </w:p>
    <w:bookmarkStart w:id="1" w:name="page2"/>
    <w:bookmarkEnd w:id="1"/>
    <w:p>
      <w:pPr>
        <w:spacing w:after="0" w:line="42" w:lineRule="exact"/>
        <w:rPr>
          <w:sz w:val="20"/>
          <w:szCs w:val="20"/>
          <w:color w:val="auto"/>
        </w:rPr>
      </w:pPr>
    </w:p>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October 25, 2021 Crown Holdings, Inc. issued a press release announcing its earnings for the third quarter ended September 30, 2021. A copy of the press release is attached hereto as Exhibit 99 and incorporated herein by reference.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October 25, 2021, issued by Crown Holdings, Inc.</w:t>
        </w:r>
      </w:hyperlink>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Beaver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October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2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332105</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CROWN HOLDINGS, INC. REPORTS STRONG THIRD QUARTER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82550</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Yardley, PA - October 25, 2021. </w:t>
      </w:r>
      <w:r>
        <w:rPr>
          <w:rFonts w:ascii="Arial" w:cs="Arial" w:eastAsia="Arial" w:hAnsi="Arial"/>
          <w:sz w:val="18"/>
          <w:szCs w:val="18"/>
          <w:color w:val="auto"/>
        </w:rPr>
        <w:t>Crown Holdings, Inc. (NYSE: CCK) today announced its financial results for the third quarter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Earnings per share $0.79 versus $1.59 in 2020</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Adjusted earnings per share increased to $2.03 over the $1.96 in 2020</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Global beverage can volumes grew 3%, 7% excluding Vietnam</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Repurchased $759 million in Company shares year to date through October 22</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Completed sale of European Tinplate business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Ranked #1 by Sustainalytics in metal and glass packaging sector for minimizing ESG risk</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Joined The Climate Pledge and committed to be carbon neutral by 2040, 10 years ahead of The Paris Agreement.</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sales in the third quarter were $2,920 million compared to $2,489 million in the third quarter of 2020 reflecting the pass through of higher material costs and increased beverage can and transit packaging sales unit volumes.</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from operations was $348 million in the third quarter compared to $315 million in the third quarter of 2020. Segment income was $379 million in the third quarter compared to $367 million in the prior year third quarter primarily due to increased sales unit volumes.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Commenting on the quarter, Timothy J. Donahue, President and Chief Executive Officer, stated, “The Company’s results in the quarter were solid despite certain anticipated global inflationary and supply chain pressures in addition to extensive lockdown measures in Vietnam to stem the spread of COVID. Crown remains on track for another record year in earnings. Strong performances in our North American beverage and food businesses combined with the Transit Packaging business more than offset weakness in Asia Pacific due to notably softer volumes in Vietnam. In addition, while volume in the country remains strong, the Brazil business faced a very difficult comparison as that market experienced a “V-shaped” pandemic recovery during the third quarter</w:t>
      </w:r>
    </w:p>
    <w:p>
      <w:pPr>
        <w:spacing w:after="0" w:line="1"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of 2020. As expected, the sale of our European Tinplate business to KPS Capital Partners was completed on August 31</w:t>
      </w:r>
      <w:r>
        <w:rPr>
          <w:rFonts w:ascii="Arial" w:cs="Arial" w:eastAsia="Arial" w:hAnsi="Arial"/>
          <w:sz w:val="23"/>
          <w:szCs w:val="23"/>
          <w:color w:val="auto"/>
          <w:vertAlign w:val="superscript"/>
        </w:rPr>
        <w:t>st</w:t>
      </w:r>
      <w:r>
        <w:rPr>
          <w:rFonts w:ascii="Arial" w:cs="Arial" w:eastAsia="Arial" w:hAnsi="Arial"/>
          <w:sz w:val="18"/>
          <w:szCs w:val="18"/>
          <w:color w:val="auto"/>
        </w:rPr>
        <w:t>. In addition to having implemented a quarterly dividend in March, the Company has repurchased $759 million of its shares through October 22</w:t>
      </w:r>
      <w:r>
        <w:rPr>
          <w:rFonts w:ascii="Arial" w:cs="Arial" w:eastAsia="Arial" w:hAnsi="Arial"/>
          <w:sz w:val="23"/>
          <w:szCs w:val="23"/>
          <w:color w:val="auto"/>
          <w:vertAlign w:val="superscript"/>
        </w:rPr>
        <w:t>nd</w:t>
      </w:r>
      <w:r>
        <w:rPr>
          <w:rFonts w:ascii="Arial" w:cs="Arial" w:eastAsia="Arial" w:hAnsi="Arial"/>
          <w:sz w:val="18"/>
          <w:szCs w:val="18"/>
          <w:color w:val="auto"/>
        </w:rPr>
        <w:t>, executing on our strategy of returning capital to shareholders.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“Beverage can demand growth continues to be very robust, and we expect this trend to continue in the coming years. Customers and consumers recognize and appreciate the inherent benefits of the aluminum can, including the fact that it is the most recycled beverage package in the world. Approximately 75% of new beverage products are now being introduced in cans, more than double the rate of just five years ago. To support the significant increase of current and future requirements, Crown is implementing several beverage can capacity expansion projects globally including both new facilities and additional lines in existing plants. Importantly, this new capacity, underpinned by multi-year supply agreements, will meet the needs of a diverse and balanced customer portfolio encompassing a wide array of both existing and new alcoholic and non-alcoholic beverage segments.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“During the quarter, we commercialized production on the second line at our new facility in Bowling Green, KY, began operations on the third line of the Olympia, WA plant and are currently commencing operations at our new plant in Vung Tau, Vietnam. These projects, in addition to the others that the Company has announced and is currently implementing, set the stage for continuing profitability growth in 2022 and beyond.</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continues to make tremendous strides on its sustainability journey. Crown again holds the top position for mitigating environmental, social and governmental (ESG) risk within the metal and glass packaging sector, following a new assessment by ESG ratings provider Sustainalytics. The organization also advanced Crown to the Negligible Risk category, a designation achieved by only 1% of the more than 12,000 global companies reviewed. In addition, our North American Beverage Packaging business recently ranked within the U.S. Environmental Protection Agency’s Top 25 Green Power Partners from the Fortune 500 list for demonstrating a commitment to advancing the green power market. Also during the quarter, the Company joined The Climate Pledge, a commitment to be net-zero carbon across our operations by 2040, ten years ahead of The Paris Agreement.”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11</w:t>
      </w:r>
    </w:p>
    <w:p>
      <w:pPr>
        <w:sectPr>
          <w:pgSz w:w="11900" w:h="16838" w:orient="portrait"/>
          <w:cols w:equalWidth="0" w:num="1">
            <w:col w:w="11240"/>
          </w:cols>
          <w:pgMar w:left="320" w:top="487"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$66 million in the third quarter of 2021 compared to $69 million in 2020 primarily due to lower outstanding debt balances.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Crown Holdings in the third quarter was $102 million compared to $214 million in the third quarter of 2020. Reported diluted</w:t>
      </w:r>
    </w:p>
    <w:p>
      <w:pPr>
        <w:spacing w:after="0" w:line="46"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earnings per share were $0.79 in the third quarter of 2021 compared to $1.59 in 2020. Adjusted diluted earnings per share increased to $2.03 over the $1.96 in 2020.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Results</w:t>
      </w:r>
    </w:p>
    <w:p>
      <w:pPr>
        <w:spacing w:after="0" w:line="2"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Net sales for the first nine months of 2021 increased to $8,340 million from $6,932 million in the first nine months of 2020, primarily due to the pass through of higher material costs and increased sales unit volumes.</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Income from operations was $1,060 million in the first nine months of 2021 compared to $741 million in the first nine months of 2020. Segment income in the first nine months of 2021 was $1,143 million versus $882 million in the prior year period primarily due to increased sales unit volumes.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$203 million for the first nine months of 2021 compared to $220 million in 2020 primarily due to lower outstanding debt balances.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nine months of 2021 was $441 million compared to $428 million in the first nine months of 2020.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$3.32 compared to $3.18 in 2020. Adjusted diluted earnings per share were $5.99 compared to $4.43 in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The Company currently expects fourth quarter adjusted earnings in the range of $1.50 to $1.55 per share, and full year adjusted earnings in the range of $7.50 to $7.55 per share.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Segment income, adjusted free cash flow, adjusted net leverage ratio, adjusted net income, the adjusted effective tax rate, adjusted diluted earnings per</w:t>
      </w:r>
    </w:p>
    <w:p>
      <w:pPr>
        <w:spacing w:after="0" w:line="3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and adjusted net leverage</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discretionary expenditures, such as mandatory debt service requirements, are not deducted from the measure. The amount of mandatory versus</w:t>
      </w: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discretionary expenditures can vary significantly between periods. Reconciliations of estimated adjusted diluted earnings per share for the fourth quarter and full year of 2021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w:t>
      </w:r>
    </w:p>
    <w:p>
      <w:pPr>
        <w:jc w:val="both"/>
        <w:spacing w:after="0" w:line="272" w:lineRule="auto"/>
        <w:rPr>
          <w:sz w:val="20"/>
          <w:szCs w:val="20"/>
          <w:color w:val="auto"/>
        </w:rPr>
      </w:pPr>
      <w:r>
        <w:rPr>
          <w:rFonts w:ascii="Arial" w:cs="Arial" w:eastAsia="Arial" w:hAnsi="Arial"/>
          <w:sz w:val="16"/>
          <w:szCs w:val="16"/>
          <w:color w:val="auto"/>
        </w:rPr>
        <w:t>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financing of acquisitions, debt repayments, share repurchases or dividends. Segment income, adjusted free cash flow, adjusted net leverage ratio, the adjusted effective tax rate, adjusted net income, adjusted diluted earnings per share and adjusted EBITDA are derived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11</w:t>
      </w:r>
    </w:p>
    <w:p>
      <w:pPr>
        <w:sectPr>
          <w:pgSz w:w="11900" w:h="16838" w:orient="portrait"/>
          <w:cols w:equalWidth="0" w:num="1">
            <w:col w:w="11240"/>
          </w:cols>
          <w:pgMar w:left="320" w:top="595"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tomorrow, October 26, 2021 at 9:00 a.m. (EDT) to discuss this news release. Forward-looking and other material</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information may be discussed on the conference call. The dial-in numbers for the conference call are 630-395-0194 or toll-free 888-324-8108 and the access password is “packaging.” A live webcast of the call will be made available to the public on the internet at the Company’s website,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0000FF"/>
        </w:rPr>
        <w:t>www.crowncork.com</w:t>
      </w:r>
      <w:r>
        <w:rPr>
          <w:rFonts w:ascii="Arial" w:cs="Arial" w:eastAsia="Arial" w:hAnsi="Arial"/>
          <w:sz w:val="18"/>
          <w:szCs w:val="18"/>
          <w:color w:val="000000"/>
        </w:rPr>
        <w:t>. A replay of the conference call will be available for a one-week period ending at midnight on November 2. The telephone numbers</w:t>
      </w:r>
      <w:r>
        <w:rPr>
          <w:rFonts w:ascii="Arial" w:cs="Arial" w:eastAsia="Arial" w:hAnsi="Arial"/>
          <w:sz w:val="18"/>
          <w:szCs w:val="18"/>
          <w:color w:val="0000FF"/>
        </w:rPr>
        <w:t xml:space="preserve"> </w:t>
      </w:r>
      <w:r>
        <w:rPr>
          <w:rFonts w:ascii="Arial" w:cs="Arial" w:eastAsia="Arial" w:hAnsi="Arial"/>
          <w:sz w:val="18"/>
          <w:szCs w:val="18"/>
          <w:color w:val="000000"/>
        </w:rPr>
        <w:t>for the replay are 203-369-1354 or toll free 866-461-2738.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2021, including consumer preference for beverage cans and increasing global beverage can demand; and the Company’s ability to successfully complete its previously announced capacity expansion projects and begin production within expected timelines, including any delays related to the pandemic, that may cause actual</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2020 and in subsequent filings made prior to or after the date</w:t>
      </w:r>
    </w:p>
    <w:p>
      <w:pPr>
        <w:spacing w:after="0"/>
        <w:rPr>
          <w:sz w:val="20"/>
          <w:szCs w:val="20"/>
          <w:color w:val="auto"/>
        </w:rPr>
      </w:pPr>
      <w:r>
        <w:rPr>
          <w:rFonts w:ascii="Arial" w:cs="Arial" w:eastAsia="Arial" w:hAnsi="Arial"/>
          <w:sz w:val="18"/>
          <w:szCs w:val="18"/>
          <w:color w:val="auto"/>
        </w:rPr>
        <w:t>hereof. The Company does not intend to review or revise any particular forward-looking statement in light of future events.</w:t>
      </w:r>
    </w:p>
    <w:p>
      <w:pPr>
        <w:spacing w:after="0" w:line="224"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ind w:right="4520"/>
        <w:spacing w:after="0" w:line="286"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11</w:t>
      </w:r>
    </w:p>
    <w:p>
      <w:pPr>
        <w:sectPr>
          <w:pgSz w:w="11900" w:h="16838" w:orient="portrait"/>
          <w:cols w:equalWidth="0" w:num="1">
            <w:col w:w="11240"/>
          </w:cols>
          <w:pgMar w:left="320" w:top="595"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-145415</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0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share and per share data)</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08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28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2,920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2,489</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6,932</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2,322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Selling and administrative expense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3"/>
                <w:szCs w:val="23"/>
                <w:b w:val="1"/>
                <w:bCs w:val="1"/>
                <w:color w:val="auto"/>
                <w:vertAlign w:val="superscript"/>
              </w:rPr>
              <w:t>(1)</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settlements and curtailments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Other pension and postretirement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disposal</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discontinued operations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from continuing operations attributable to</w:t>
            </w:r>
          </w:p>
        </w:tc>
        <w:tc>
          <w:tcPr>
            <w:tcW w:w="8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8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180"/>
              <w:spacing w:after="0" w:line="176" w:lineRule="exact"/>
              <w:rPr>
                <w:sz w:val="20"/>
                <w:szCs w:val="20"/>
                <w:color w:val="auto"/>
              </w:rPr>
            </w:pPr>
            <w:r>
              <w:rPr>
                <w:rFonts w:ascii="Arial" w:cs="Arial" w:eastAsia="Arial" w:hAnsi="Arial"/>
                <w:sz w:val="18"/>
                <w:szCs w:val="18"/>
                <w:color w:val="auto"/>
              </w:rPr>
              <w:t>Net income from discontinued operations attributable to</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noncontrolling interests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300" w:right="4580" w:hanging="4238"/>
        <w:spacing w:after="0" w:line="966" w:lineRule="auto"/>
        <w:tabs>
          <w:tab w:leader="none" w:pos="125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Reconciliation from income from operations to segment income follows. 4 of 11</w:t>
      </w:r>
    </w:p>
    <w:p>
      <w:pPr>
        <w:sectPr>
          <w:pgSz w:w="11900" w:h="16838" w:orient="portrait"/>
          <w:cols w:equalWidth="0" w:num="1">
            <w:col w:w="11060"/>
          </w:cols>
          <w:pgMar w:left="400" w:top="595" w:right="4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Earnings Per Share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780" w:type="dxa"/>
            <w:vAlign w:val="bottom"/>
            <w:gridSpan w:val="6"/>
          </w:tcPr>
          <w:p>
            <w:pPr>
              <w:ind w:left="60"/>
              <w:spacing w:after="0"/>
              <w:rPr>
                <w:sz w:val="20"/>
                <w:szCs w:val="20"/>
                <w:color w:val="auto"/>
              </w:rPr>
            </w:pPr>
            <w:r>
              <w:rPr>
                <w:rFonts w:ascii="Arial" w:cs="Arial" w:eastAsia="Arial" w:hAnsi="Arial"/>
                <w:sz w:val="18"/>
                <w:szCs w:val="18"/>
                <w:b w:val="1"/>
                <w:bCs w:val="1"/>
                <w:color w:val="auto"/>
                <w:w w:val="97"/>
              </w:rPr>
              <w:t>Three Months Ended September</w:t>
            </w:r>
          </w:p>
        </w:tc>
        <w:tc>
          <w:tcPr>
            <w:tcW w:w="100" w:type="dxa"/>
            <w:vAlign w:val="bottom"/>
          </w:tcPr>
          <w:p>
            <w:pPr>
              <w:spacing w:after="0"/>
              <w:rPr>
                <w:sz w:val="17"/>
                <w:szCs w:val="17"/>
                <w:color w:val="auto"/>
              </w:rPr>
            </w:pPr>
          </w:p>
        </w:tc>
        <w:tc>
          <w:tcPr>
            <w:tcW w:w="25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0"/>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19"/>
                <w:szCs w:val="19"/>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5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From discontinued operations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per share attributable to Crown Holdings: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Basic earnings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per share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Diluted earnings per common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128,725,626</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133,300,255</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131,854,039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133,546,285</w:t>
            </w: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380" w:type="dxa"/>
            <w:vAlign w:val="bottom"/>
          </w:tcPr>
          <w:p>
            <w:pPr>
              <w:jc w:val="right"/>
              <w:ind w:right="170"/>
              <w:spacing w:after="0"/>
              <w:rPr>
                <w:sz w:val="20"/>
                <w:szCs w:val="20"/>
                <w:color w:val="auto"/>
              </w:rPr>
            </w:pPr>
            <w:r>
              <w:rPr>
                <w:rFonts w:ascii="Arial" w:cs="Arial" w:eastAsia="Arial" w:hAnsi="Arial"/>
                <w:sz w:val="18"/>
                <w:szCs w:val="18"/>
                <w:color w:val="auto"/>
              </w:rPr>
              <w:t>129,707,246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134,355,476</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132,861,714</w:t>
            </w:r>
          </w:p>
        </w:tc>
        <w:tc>
          <w:tcPr>
            <w:tcW w:w="1160" w:type="dxa"/>
            <w:vAlign w:val="bottom"/>
          </w:tcPr>
          <w:p>
            <w:pPr>
              <w:jc w:val="right"/>
              <w:spacing w:after="0"/>
              <w:rPr>
                <w:sz w:val="20"/>
                <w:szCs w:val="20"/>
                <w:color w:val="auto"/>
              </w:rPr>
            </w:pPr>
            <w:r>
              <w:rPr>
                <w:rFonts w:ascii="Arial" w:cs="Arial" w:eastAsia="Arial" w:hAnsi="Arial"/>
                <w:sz w:val="18"/>
                <w:szCs w:val="18"/>
                <w:color w:val="auto"/>
              </w:rPr>
              <w:t>134,456,274</w:t>
            </w:r>
          </w:p>
        </w:tc>
      </w:tr>
      <w:tr>
        <w:trPr>
          <w:trHeight w:val="22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128,009,299</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134,763,007</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128,009,299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134,763,007</w:t>
            </w:r>
          </w:p>
        </w:tc>
      </w:tr>
    </w:tbl>
    <w:p>
      <w:pPr>
        <w:spacing w:after="0" w:line="299" w:lineRule="exact"/>
        <w:rPr>
          <w:sz w:val="20"/>
          <w:szCs w:val="20"/>
          <w:color w:val="auto"/>
        </w:rPr>
      </w:pPr>
    </w:p>
    <w:p>
      <w:pPr>
        <w:ind w:left="1320" w:hanging="178"/>
        <w:spacing w:after="0"/>
        <w:tabs>
          <w:tab w:leader="none" w:pos="1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Discontinued operations does not include any allocation of interest expense or indirect costs.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2" w:lineRule="exact"/>
        <w:rPr>
          <w:rFonts w:ascii="Arial" w:cs="Arial" w:eastAsia="Arial" w:hAnsi="Arial"/>
          <w:sz w:val="21"/>
          <w:szCs w:val="21"/>
          <w:color w:val="auto"/>
          <w:vertAlign w:val="superscript"/>
        </w:rPr>
      </w:pPr>
    </w:p>
    <w:p>
      <w:pPr>
        <w:ind w:left="5380"/>
        <w:spacing w:after="0"/>
        <w:rPr>
          <w:rFonts w:ascii="Arial" w:cs="Arial" w:eastAsia="Arial" w:hAnsi="Arial"/>
          <w:sz w:val="21"/>
          <w:szCs w:val="21"/>
          <w:color w:val="auto"/>
          <w:vertAlign w:val="superscript"/>
        </w:rPr>
      </w:pPr>
      <w:r>
        <w:rPr>
          <w:rFonts w:ascii="Arial" w:cs="Arial" w:eastAsia="Arial" w:hAnsi="Arial"/>
          <w:sz w:val="18"/>
          <w:szCs w:val="18"/>
          <w:color w:val="auto"/>
        </w:rPr>
        <w:t>5 of 11</w:t>
      </w:r>
    </w:p>
    <w:p>
      <w:pPr>
        <w:sectPr>
          <w:pgSz w:w="11900" w:h="16838" w:orient="portrait"/>
          <w:cols w:equalWidth="0" w:num="1">
            <w:col w:w="11240"/>
          </w:cols>
          <w:pgMar w:left="320" w:top="595" w:right="33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9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312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September</w:t>
            </w:r>
          </w:p>
        </w:tc>
        <w:tc>
          <w:tcPr>
            <w:tcW w:w="2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29"/>
        </w:trPr>
        <w:tc>
          <w:tcPr>
            <w:tcW w:w="27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7"/>
        </w:trPr>
        <w:tc>
          <w:tcPr>
            <w:tcW w:w="27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3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w:t>
            </w:r>
          </w:p>
        </w:tc>
        <w:tc>
          <w:tcPr>
            <w:tcW w:w="5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5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56"/>
        </w:trPr>
        <w:tc>
          <w:tcPr>
            <w:tcW w:w="2780" w:type="dxa"/>
            <w:vAlign w:val="bottom"/>
          </w:tcPr>
          <w:p>
            <w:pPr>
              <w:ind w:left="20"/>
              <w:spacing w:after="0"/>
              <w:rPr>
                <w:sz w:val="20"/>
                <w:szCs w:val="20"/>
                <w:color w:val="auto"/>
              </w:rPr>
            </w:pPr>
            <w:r>
              <w:rPr>
                <w:rFonts w:ascii="Arial" w:cs="Arial" w:eastAsia="Arial" w:hAnsi="Arial"/>
                <w:sz w:val="18"/>
                <w:szCs w:val="18"/>
                <w:color w:val="auto"/>
              </w:rPr>
              <w:t>Intangibles amortization</w:t>
            </w:r>
          </w:p>
        </w:tc>
        <w:tc>
          <w:tcPr>
            <w:tcW w:w="7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7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Segment income</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379</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1,143</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882</w:t>
            </w:r>
          </w:p>
        </w:tc>
      </w:tr>
      <w:tr>
        <w:trPr>
          <w:trHeight w:val="20"/>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Sales</w:t>
            </w:r>
          </w:p>
        </w:tc>
        <w:tc>
          <w:tcPr>
            <w:tcW w:w="3160" w:type="dxa"/>
            <w:vAlign w:val="bottom"/>
            <w:gridSpan w:val="9"/>
          </w:tcPr>
          <w:p>
            <w:pPr>
              <w:ind w:left="20"/>
              <w:spacing w:after="0"/>
              <w:rPr>
                <w:sz w:val="20"/>
                <w:szCs w:val="20"/>
                <w:color w:val="auto"/>
              </w:rPr>
            </w:pPr>
            <w:r>
              <w:rPr>
                <w:rFonts w:ascii="Arial" w:cs="Arial" w:eastAsia="Arial" w:hAnsi="Arial"/>
                <w:sz w:val="18"/>
                <w:szCs w:val="18"/>
                <w:b w:val="1"/>
                <w:bCs w:val="1"/>
                <w:color w:val="auto"/>
              </w:rPr>
              <w:t>Three Months Ended September</w:t>
            </w:r>
          </w:p>
        </w:tc>
        <w:tc>
          <w:tcPr>
            <w:tcW w:w="20" w:type="dxa"/>
            <w:vAlign w:val="bottom"/>
          </w:tcPr>
          <w:p>
            <w:pPr>
              <w:spacing w:after="0"/>
              <w:rPr>
                <w:sz w:val="17"/>
                <w:szCs w:val="17"/>
                <w:color w:val="auto"/>
              </w:rPr>
            </w:pPr>
          </w:p>
        </w:tc>
        <w:tc>
          <w:tcPr>
            <w:tcW w:w="25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w w:val="79"/>
              </w:rPr>
              <w:t>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gridSpan w:val="3"/>
          </w:tcPr>
          <w:p>
            <w:pPr>
              <w:jc w:val="right"/>
              <w:spacing w:after="0" w:line="189" w:lineRule="exact"/>
              <w:rPr>
                <w:sz w:val="20"/>
                <w:szCs w:val="20"/>
                <w:color w:val="auto"/>
              </w:rPr>
            </w:pPr>
            <w:r>
              <w:rPr>
                <w:rFonts w:ascii="Arial" w:cs="Arial" w:eastAsia="Arial" w:hAnsi="Arial"/>
                <w:sz w:val="18"/>
                <w:szCs w:val="18"/>
                <w:b w:val="1"/>
                <w:bCs w:val="1"/>
                <w:color w:val="auto"/>
                <w:w w:val="87"/>
              </w:rPr>
              <w:t>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Transit Packaging</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net sales</w:t>
            </w: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2,920</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2,489</w:t>
            </w: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27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0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5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Transit Packaging</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Corporate and other unallocated</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4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1,143</w:t>
            </w:r>
          </w:p>
        </w:tc>
        <w:tc>
          <w:tcPr>
            <w:tcW w:w="40" w:type="dxa"/>
            <w:vAlign w:val="bottom"/>
            <w:tcBorders>
              <w:bottom w:val="single" w:sz="8" w:color="auto"/>
            </w:tcBorders>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80" w:hanging="252"/>
        <w:spacing w:after="0" w:line="224"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8"/>
          <w:szCs w:val="18"/>
          <w:color w:val="auto"/>
        </w:rPr>
        <w:t>Includes the Company’s food can, aerosol can and closures businesses in North America, and beverage tooling and equipment operations in the U.S. and U.K.</w:t>
      </w:r>
    </w:p>
    <w:p>
      <w:pPr>
        <w:sectPr>
          <w:pgSz w:w="11900" w:h="16838" w:orient="portrait"/>
          <w:cols w:equalWidth="0" w:num="1">
            <w:col w:w="11240"/>
          </w:cols>
          <w:pgMar w:left="320" w:top="595" w:right="339" w:bottom="4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 of 11</w:t>
      </w:r>
    </w:p>
    <w:p>
      <w:pPr>
        <w:sectPr>
          <w:pgSz w:w="11900" w:h="16838" w:orient="portrait"/>
          <w:cols w:equalWidth="0" w:num="1">
            <w:col w:w="11240"/>
          </w:cols>
          <w:pgMar w:left="320" w:top="595" w:right="339" w:bottom="493"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58"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reported net income and diluted earnings per share attributable to the Company to adjusted net income and adjusted diluted</w:t>
      </w:r>
    </w:p>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earnings per share, as used elsewhere in this release. Some or all of each reconciling item is reported within discontinued operations in the Consolidated Statement of Operations.</w:t>
      </w:r>
    </w:p>
    <w:p>
      <w:pPr>
        <w:spacing w:after="0" w:line="200" w:lineRule="exact"/>
        <w:rPr>
          <w:sz w:val="20"/>
          <w:szCs w:val="20"/>
          <w:color w:val="auto"/>
        </w:rPr>
      </w:pP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11"/>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120" w:type="dxa"/>
            <w:vAlign w:val="bottom"/>
            <w:gridSpan w:val="10"/>
          </w:tcPr>
          <w:p>
            <w:pPr>
              <w:ind w:left="200"/>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8"/>
              </w:rPr>
              <w:t>Net income/diluted earnings per</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share</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b w:val="1"/>
                <w:bCs w:val="1"/>
                <w:color w:val="auto"/>
                <w:w w:val="95"/>
              </w:rPr>
              <w:t>attributable to Crown Holdings,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102</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0.79</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214</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1.59</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441</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3.32</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428</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3.18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240"/>
              <w:spacing w:after="0"/>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5"/>
              </w:rPr>
              <w:t>0.32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0.33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0.98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35"/>
              <w:spacing w:after="0"/>
              <w:rPr>
                <w:sz w:val="20"/>
                <w:szCs w:val="20"/>
                <w:color w:val="auto"/>
              </w:rPr>
            </w:pPr>
            <w:r>
              <w:rPr>
                <w:rFonts w:ascii="Arial" w:cs="Arial" w:eastAsia="Arial" w:hAnsi="Arial"/>
                <w:sz w:val="17"/>
                <w:szCs w:val="17"/>
                <w:color w:val="auto"/>
              </w:rPr>
              <w:t>134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0"/>
              </w:rPr>
              <w:t>1.00</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(0.30)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0.15</w:t>
            </w:r>
          </w:p>
        </w:tc>
        <w:tc>
          <w:tcPr>
            <w:tcW w:w="0" w:type="dxa"/>
            <w:vAlign w:val="bottom"/>
          </w:tcPr>
          <w:p>
            <w:pPr>
              <w:spacing w:after="0"/>
              <w:rPr>
                <w:sz w:val="1"/>
                <w:szCs w:val="1"/>
                <w:color w:val="auto"/>
              </w:rPr>
            </w:pPr>
          </w:p>
        </w:tc>
      </w:tr>
      <w:tr>
        <w:trPr>
          <w:trHeight w:val="176"/>
        </w:trPr>
        <w:tc>
          <w:tcPr>
            <w:tcW w:w="2740" w:type="dxa"/>
            <w:vAlign w:val="bottom"/>
          </w:tcPr>
          <w:p>
            <w:pPr>
              <w:ind w:left="240"/>
              <w:spacing w:after="0" w:line="176" w:lineRule="exact"/>
              <w:rPr>
                <w:sz w:val="20"/>
                <w:szCs w:val="20"/>
                <w:color w:val="auto"/>
              </w:rPr>
            </w:pPr>
            <w:r>
              <w:rPr>
                <w:rFonts w:ascii="Arial" w:cs="Arial" w:eastAsia="Arial" w:hAnsi="Arial"/>
                <w:sz w:val="18"/>
                <w:szCs w:val="18"/>
                <w:color w:val="auto"/>
              </w:rPr>
              <w:t>Pension settlements and</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1"/>
              </w:rPr>
              <w:t>0.04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curtailments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35"/>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0"/>
              </w:rPr>
              <w:t>0.45</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0.42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(0.35)</w:t>
            </w:r>
          </w:p>
        </w:tc>
        <w:tc>
          <w:tcPr>
            <w:tcW w:w="0" w:type="dxa"/>
            <w:vAlign w:val="bottom"/>
          </w:tcPr>
          <w:p>
            <w:pPr>
              <w:spacing w:after="0"/>
              <w:rPr>
                <w:sz w:val="1"/>
                <w:szCs w:val="1"/>
                <w:color w:val="auto"/>
              </w:rPr>
            </w:pPr>
          </w:p>
        </w:tc>
      </w:tr>
      <w:tr>
        <w:trPr>
          <w:trHeight w:val="175"/>
        </w:trPr>
        <w:tc>
          <w:tcPr>
            <w:tcW w:w="2740" w:type="dxa"/>
            <w:vAlign w:val="bottom"/>
          </w:tcPr>
          <w:p>
            <w:pPr>
              <w:ind w:left="240"/>
              <w:spacing w:after="0" w:line="176" w:lineRule="exact"/>
              <w:rPr>
                <w:sz w:val="20"/>
                <w:szCs w:val="20"/>
                <w:color w:val="auto"/>
              </w:rPr>
            </w:pPr>
            <w:r>
              <w:rPr>
                <w:rFonts w:ascii="Arial" w:cs="Arial" w:eastAsia="Arial" w:hAnsi="Arial"/>
                <w:sz w:val="18"/>
                <w:szCs w:val="18"/>
                <w:color w:val="auto"/>
              </w:rPr>
              <w:t>Loss from discontinued</w:t>
            </w:r>
          </w:p>
        </w:tc>
        <w:tc>
          <w:tcPr>
            <w:tcW w:w="180" w:type="dxa"/>
            <w:vAlign w:val="bottom"/>
          </w:tcPr>
          <w:p>
            <w:pPr>
              <w:spacing w:after="0"/>
              <w:rPr>
                <w:sz w:val="15"/>
                <w:szCs w:val="15"/>
                <w:color w:val="auto"/>
              </w:rPr>
            </w:pP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5"/>
              </w:rPr>
              <w:t>0.95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199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1.49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3"/>
                <w:szCs w:val="23"/>
                <w:color w:val="auto"/>
                <w:vertAlign w:val="superscript"/>
              </w:rPr>
              <w:t>(6)</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0.08</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net income/diluted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263</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2.03</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264</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1.96</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796</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5.99</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595</w:t>
            </w: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4.43</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earnings per share</w:t>
            </w: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Effective tax rate as reported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56.8 %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9"/>
              </w:rPr>
              <w:t>27.2 %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42.9 %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26.8 %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9"/>
        </w:trPr>
        <w:tc>
          <w:tcPr>
            <w:tcW w:w="2740" w:type="dxa"/>
            <w:vAlign w:val="bottom"/>
          </w:tcPr>
          <w:p>
            <w:pPr>
              <w:ind w:left="20"/>
              <w:spacing w:after="0"/>
              <w:rPr>
                <w:sz w:val="20"/>
                <w:szCs w:val="20"/>
                <w:color w:val="auto"/>
              </w:rPr>
            </w:pPr>
            <w:r>
              <w:rPr>
                <w:rFonts w:ascii="Arial" w:cs="Arial" w:eastAsia="Arial" w:hAnsi="Arial"/>
                <w:sz w:val="18"/>
                <w:szCs w:val="18"/>
                <w:color w:val="auto"/>
              </w:rPr>
              <w:t xml:space="preserve">Adjusted effective tax rate </w:t>
            </w:r>
            <w:r>
              <w:rPr>
                <w:rFonts w:ascii="Arial" w:cs="Arial" w:eastAsia="Arial" w:hAnsi="Arial"/>
                <w:sz w:val="23"/>
                <w:szCs w:val="23"/>
                <w:color w:val="auto"/>
                <w:vertAlign w:val="superscript"/>
              </w:rPr>
              <w:t>(7)</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22.4 %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9"/>
              </w:rPr>
              <w:t>25.6 %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23.6 %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25.8 %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2" w:lineRule="exact"/>
        <w:rPr>
          <w:sz w:val="20"/>
          <w:szCs w:val="20"/>
          <w:color w:val="auto"/>
        </w:rPr>
      </w:pPr>
    </w:p>
    <w:p>
      <w:pPr>
        <w:ind w:left="340" w:right="60" w:hanging="332"/>
        <w:spacing w:after="0" w:line="256"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third quarter and first nine months of 2021, the Company recorded charges of $42 million ($33 million net of tax) and $130 million ($99 million net of tax) for intangibles amortization arising from prior acquisitions. In the third quarter and first nine months of 2020, the Company recorded charges of $45 million ($33 million net of tax) and $134 million ($101 million net of tax) for intangibles amortization.</w:t>
      </w:r>
    </w:p>
    <w:p>
      <w:pPr>
        <w:spacing w:after="0" w:line="228" w:lineRule="exact"/>
        <w:rPr>
          <w:rFonts w:ascii="Arial" w:cs="Arial" w:eastAsia="Arial" w:hAnsi="Arial"/>
          <w:sz w:val="18"/>
          <w:szCs w:val="18"/>
          <w:color w:val="auto"/>
        </w:rPr>
      </w:pPr>
    </w:p>
    <w:p>
      <w:pPr>
        <w:ind w:left="340" w:right="40" w:hanging="332"/>
        <w:spacing w:after="0" w:line="249" w:lineRule="auto"/>
        <w:tabs>
          <w:tab w:leader="none" w:pos="33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third quarter and first nine months of 2021, the Company recorded net restructuring and other gains of $9 million ($6 million net of tax) and $40 million ($27 million net of tax), including a second quarter gain of $30 million arising from a favorable court ruling in Brazil related to overcharges of indirect taxes paid in prior years. In the third quarter and first nine months of 2020, the Company recorded net restructuring and other charges of $10 million ($8 million net of tax) and $20 million ($16 million net of tax) primarily related to business reorganization activities.</w:t>
      </w:r>
    </w:p>
    <w:p>
      <w:pPr>
        <w:spacing w:after="0" w:line="1" w:lineRule="exact"/>
        <w:rPr>
          <w:rFonts w:ascii="Arial" w:cs="Arial" w:eastAsia="Arial" w:hAnsi="Arial"/>
          <w:sz w:val="17"/>
          <w:szCs w:val="17"/>
          <w:color w:val="auto"/>
        </w:rPr>
      </w:pPr>
    </w:p>
    <w:p>
      <w:pPr>
        <w:ind w:left="340" w:hanging="332"/>
        <w:spacing w:after="0" w:line="233"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third quarter and first nine months of 2020, the Company recorded charges of $5 million ($4 million net of tax) and $61 million ($49 million net of tax) arising from pension plan settlements.</w:t>
      </w:r>
    </w:p>
    <w:p>
      <w:pPr>
        <w:spacing w:after="0" w:line="203" w:lineRule="exact"/>
        <w:rPr>
          <w:rFonts w:ascii="Arial" w:cs="Arial" w:eastAsia="Arial" w:hAnsi="Arial"/>
          <w:sz w:val="18"/>
          <w:szCs w:val="18"/>
          <w:color w:val="auto"/>
        </w:rPr>
      </w:pPr>
    </w:p>
    <w:p>
      <w:pPr>
        <w:ind w:left="340" w:right="140" w:hanging="332"/>
        <w:spacing w:after="0" w:line="290" w:lineRule="auto"/>
        <w:tabs>
          <w:tab w:leader="none" w:pos="33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third quarter and first nine months of 2021, the Company recorded income tax benefits of $6 million and $18 million related to the items described above. The Company also recorded benefits of $8 million in the first six months of 2021 related to tax law changes in the U.K. and India; a charge of $40 million in the second quarter of 2021 for deferred tax valuation adjustments in France; and charges of $31 million and $11 million, respectively, in the second and third quarter of 2021 for tax costs arising from reorganizations and other transactions required to prepare its European Tinplate business for sale. In the third quarter and first nine months of 2020, the Company recorded benefits of $15 million and $49 million related to the items described above. Also in the third quarter of 2020, the Company recorded tax charges of $5 million primarily related to tax</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 of 11</w:t>
      </w:r>
    </w:p>
    <w:p>
      <w:pPr>
        <w:sectPr>
          <w:pgSz w:w="11900" w:h="16838" w:orient="portrait"/>
          <w:cols w:equalWidth="0" w:num="1">
            <w:col w:w="11240"/>
          </w:cols>
          <w:pgMar w:left="320" w:top="595" w:right="339" w:bottom="1440" w:gutter="0" w:footer="0" w:header="0"/>
          <w:type w:val="continuous"/>
        </w:sectPr>
      </w:pPr>
    </w:p>
    <w:bookmarkStart w:id="11" w:name="page12"/>
    <w:bookmarkEnd w:id="11"/>
    <w:p>
      <w:pPr>
        <w:ind w:left="7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-145415</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72"/>
        <w:spacing w:after="0"/>
        <w:rPr>
          <w:sz w:val="20"/>
          <w:szCs w:val="20"/>
          <w:color w:val="auto"/>
        </w:rPr>
      </w:pPr>
      <w:r>
        <w:rPr>
          <w:rFonts w:ascii="Arial" w:cs="Arial" w:eastAsia="Arial" w:hAnsi="Arial"/>
          <w:sz w:val="14"/>
          <w:szCs w:val="14"/>
          <w:color w:val="auto"/>
        </w:rPr>
        <w:t>Corporate Headquarters</w:t>
      </w:r>
    </w:p>
    <w:p>
      <w:pPr>
        <w:ind w:left="72"/>
        <w:spacing w:after="0" w:line="201" w:lineRule="auto"/>
        <w:rPr>
          <w:sz w:val="20"/>
          <w:szCs w:val="20"/>
          <w:color w:val="auto"/>
        </w:rPr>
      </w:pPr>
      <w:r>
        <w:rPr>
          <w:rFonts w:ascii="Arial" w:cs="Arial" w:eastAsia="Arial" w:hAnsi="Arial"/>
          <w:sz w:val="14"/>
          <w:szCs w:val="14"/>
          <w:color w:val="auto"/>
        </w:rPr>
        <w:t>770 Township Line Road</w:t>
      </w:r>
    </w:p>
    <w:p>
      <w:pPr>
        <w:ind w:left="72"/>
        <w:spacing w:after="0"/>
        <w:rPr>
          <w:sz w:val="20"/>
          <w:szCs w:val="20"/>
          <w:color w:val="auto"/>
        </w:rPr>
      </w:pPr>
      <w:r>
        <w:rPr>
          <w:rFonts w:ascii="Arial" w:cs="Arial" w:eastAsia="Arial" w:hAnsi="Arial"/>
          <w:sz w:val="14"/>
          <w:szCs w:val="14"/>
          <w:color w:val="auto"/>
        </w:rPr>
        <w:t>Yardley, PA 19067</w:t>
      </w:r>
    </w:p>
    <w:p>
      <w:pPr>
        <w:spacing w:after="0" w:line="3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law changes in the U.K. In the first quarter of 2020, the Company recorded benefits of $4 million arising from tax law changes in India.</w:t>
      </w:r>
    </w:p>
    <w:p>
      <w:pPr>
        <w:spacing w:after="0" w:line="225" w:lineRule="exact"/>
        <w:rPr>
          <w:sz w:val="20"/>
          <w:szCs w:val="20"/>
          <w:color w:val="auto"/>
        </w:rPr>
      </w:pPr>
    </w:p>
    <w:p>
      <w:pPr>
        <w:ind w:left="332" w:right="580" w:hanging="332"/>
        <w:spacing w:after="0" w:line="274" w:lineRule="auto"/>
        <w:tabs>
          <w:tab w:leader="none" w:pos="32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third quarter and first nine months of 2021, the Company recorded after-tax charges of $123 million and $199 million (primarily due to cumulative translation adjustments and tax charges) in connection with the sale of its European Tinplate operations.</w:t>
      </w:r>
    </w:p>
    <w:p>
      <w:pPr>
        <w:spacing w:after="0" w:line="174" w:lineRule="exact"/>
        <w:rPr>
          <w:rFonts w:ascii="Arial" w:cs="Arial" w:eastAsia="Arial" w:hAnsi="Arial"/>
          <w:sz w:val="17"/>
          <w:szCs w:val="17"/>
          <w:color w:val="auto"/>
        </w:rPr>
      </w:pPr>
    </w:p>
    <w:p>
      <w:pPr>
        <w:ind w:left="312" w:hanging="312"/>
        <w:spacing w:after="0"/>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second quarter of 2021, the Company recorded noncontrolling interest charges of $10 million related to the items described above.</w:t>
      </w:r>
    </w:p>
    <w:p>
      <w:pPr>
        <w:spacing w:after="0" w:line="236" w:lineRule="exact"/>
        <w:rPr>
          <w:rFonts w:ascii="Arial" w:cs="Arial" w:eastAsia="Arial" w:hAnsi="Arial"/>
          <w:sz w:val="17"/>
          <w:szCs w:val="17"/>
          <w:color w:val="auto"/>
        </w:rPr>
      </w:pPr>
    </w:p>
    <w:p>
      <w:pPr>
        <w:ind w:left="332" w:hanging="332"/>
        <w:spacing w:after="0" w:line="246"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reported and adjusted effective tax rates include income from discontinued operations, which is reported net of tax in the statement of operations. 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8 of 11</w:t>
      </w:r>
    </w:p>
    <w:p>
      <w:pPr>
        <w:sectPr>
          <w:pgSz w:w="11900" w:h="16838" w:orient="portrait"/>
          <w:cols w:equalWidth="0" w:num="1">
            <w:col w:w="11092"/>
          </w:cols>
          <w:pgMar w:left="328" w:top="595" w:right="47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80" w:type="dxa"/>
            <w:vAlign w:val="bottom"/>
          </w:tcPr>
          <w:p>
            <w:pPr>
              <w:spacing w:after="0"/>
              <w:rPr>
                <w:sz w:val="20"/>
                <w:szCs w:val="20"/>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6,105</w:t>
            </w:r>
          </w:p>
        </w:tc>
        <w:tc>
          <w:tcPr>
            <w:tcW w:w="7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4,353</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4,671</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4,826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1,392</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c>
          <w:tcPr>
            <w:tcW w:w="1480" w:type="dxa"/>
            <w:vAlign w:val="bottom"/>
          </w:tcPr>
          <w:p>
            <w:pPr>
              <w:spacing w:after="0"/>
              <w:rPr>
                <w:sz w:val="23"/>
                <w:szCs w:val="23"/>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16,006</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15,650</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5,535</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3,648</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held for sale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Crown Holdings shareholders' equity</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1,906</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c>
          <w:tcPr>
            <w:tcW w:w="1480" w:type="dxa"/>
            <w:vAlign w:val="bottom"/>
          </w:tcPr>
          <w:p>
            <w:pPr>
              <w:spacing w:after="0"/>
              <w:rPr>
                <w:sz w:val="21"/>
                <w:szCs w:val="21"/>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16,006</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15,650</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3"/>
        </w:trPr>
        <w:tc>
          <w:tcPr>
            <w:tcW w:w="1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310" w:lineRule="exact"/>
        <w:rPr>
          <w:sz w:val="20"/>
          <w:szCs w:val="20"/>
          <w:color w:val="auto"/>
        </w:rPr>
      </w:pPr>
    </w:p>
    <w:p>
      <w:pPr>
        <w:jc w:val="both"/>
        <w:ind w:left="340" w:hanging="332"/>
        <w:spacing w:after="0" w:line="253" w:lineRule="auto"/>
        <w:tabs>
          <w:tab w:leader="none" w:pos="33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October 2021, the Company used $1,837 million of its cash balance to repay the principal and make interest and make-whole premium payments on its €650 million notes originally due July 2022 and its $1.0 billion notes originally due January 2023. The Company expects to record a charge of approximately $67 million in the fourth quarter for the premium payments and the write-off of deferred financing costs.</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 of 11</w:t>
      </w:r>
    </w:p>
    <w:p>
      <w:pPr>
        <w:sectPr>
          <w:pgSz w:w="11900" w:h="16838" w:orient="portrait"/>
          <w:cols w:equalWidth="0" w:num="1">
            <w:col w:w="11240"/>
          </w:cols>
          <w:pgMar w:left="320" w:top="595" w:right="339"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c>
          <w:tcPr>
            <w:tcW w:w="4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disposal of discontinued operations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contributions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tcPr>
          <w:p>
            <w:pPr>
              <w:ind w:left="460"/>
              <w:spacing w:after="0" w:line="236" w:lineRule="exact"/>
              <w:rPr>
                <w:sz w:val="20"/>
                <w:szCs w:val="20"/>
                <w:color w:val="auto"/>
              </w:rPr>
            </w:pPr>
            <w:r>
              <w:rPr>
                <w:rFonts w:ascii="Arial" w:cs="Arial" w:eastAsia="Arial" w:hAnsi="Arial"/>
                <w:sz w:val="18"/>
                <w:szCs w:val="18"/>
                <w:b w:val="1"/>
                <w:bCs w:val="1"/>
                <w:color w:val="auto"/>
              </w:rPr>
              <w:t xml:space="preserve">Net cash provided by for operating activities </w:t>
            </w:r>
            <w:r>
              <w:rPr>
                <w:rFonts w:ascii="Arial" w:cs="Arial" w:eastAsia="Arial" w:hAnsi="Arial"/>
                <w:sz w:val="23"/>
                <w:szCs w:val="23"/>
                <w:b w:val="1"/>
                <w:bCs w:val="1"/>
                <w:color w:val="auto"/>
                <w:vertAlign w:val="superscript"/>
              </w:rPr>
              <w:t>(1)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business, net of cash</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920" w:type="dxa"/>
            <w:vAlign w:val="bottom"/>
          </w:tcPr>
          <w:p>
            <w:pPr>
              <w:spacing w:after="0"/>
              <w:rPr>
                <w:sz w:val="22"/>
                <w:szCs w:val="22"/>
                <w:color w:val="auto"/>
              </w:rPr>
            </w:pPr>
          </w:p>
        </w:tc>
      </w:tr>
      <w:tr>
        <w:trPr>
          <w:trHeight w:val="236"/>
        </w:trPr>
        <w:tc>
          <w:tcPr>
            <w:tcW w:w="1940" w:type="dxa"/>
            <w:vAlign w:val="bottom"/>
          </w:tcPr>
          <w:p>
            <w:pPr>
              <w:spacing w:after="0"/>
              <w:rPr>
                <w:sz w:val="20"/>
                <w:szCs w:val="20"/>
                <w:color w:val="auto"/>
              </w:rPr>
            </w:pPr>
          </w:p>
        </w:tc>
        <w:tc>
          <w:tcPr>
            <w:tcW w:w="4620" w:type="dxa"/>
            <w:vAlign w:val="bottom"/>
          </w:tcPr>
          <w:p>
            <w:pPr>
              <w:ind w:left="460"/>
              <w:spacing w:after="0"/>
              <w:rPr>
                <w:sz w:val="20"/>
                <w:szCs w:val="20"/>
                <w:color w:val="auto"/>
              </w:rPr>
            </w:pPr>
            <w:r>
              <w:rPr>
                <w:rFonts w:ascii="Arial" w:cs="Arial" w:eastAsia="Arial" w:hAnsi="Arial"/>
                <w:sz w:val="18"/>
                <w:szCs w:val="18"/>
                <w:b w:val="1"/>
                <w:bCs w:val="1"/>
                <w:color w:val="auto"/>
                <w:w w:val="94"/>
              </w:rPr>
              <w:t>Net cash provided by/(used for) investing 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1,791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change in debt</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stockholders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920" w:type="dxa"/>
            <w:vAlign w:val="bottom"/>
          </w:tcPr>
          <w:p>
            <w:pPr>
              <w:spacing w:after="0"/>
              <w:rPr>
                <w:sz w:val="22"/>
                <w:szCs w:val="22"/>
                <w:color w:val="auto"/>
              </w:rPr>
            </w:pPr>
          </w:p>
        </w:tc>
      </w:tr>
      <w:tr>
        <w:trPr>
          <w:trHeight w:val="236"/>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94"/>
              </w:rPr>
              <w:t>Net cash provided by/(used for) financing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4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Cash and cash equivalents at September 30 </w:t>
            </w:r>
            <w:r>
              <w:rPr>
                <w:rFonts w:ascii="Arial" w:cs="Arial" w:eastAsia="Arial" w:hAnsi="Arial"/>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c>
          <w:tcPr>
            <w:tcW w:w="19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19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7" w:lineRule="exact"/>
        <w:rPr>
          <w:sz w:val="20"/>
          <w:szCs w:val="20"/>
          <w:color w:val="auto"/>
        </w:rPr>
      </w:pPr>
    </w:p>
    <w:p>
      <w:pPr>
        <w:ind w:left="420" w:right="40" w:hanging="331"/>
        <w:spacing w:after="0" w:line="235" w:lineRule="auto"/>
        <w:tabs>
          <w:tab w:leader="none" w:pos="4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free cash flow is defined by the Company as net cash used for operating activities less capital expenditures and certain other items. A reconciliation from net cash used for operating activities to adjusted free cash flow for the three and nine months ended September 30, 2021 and 2020 follows.</w:t>
      </w:r>
    </w:p>
    <w:p>
      <w:pPr>
        <w:spacing w:after="0" w:line="201" w:lineRule="exact"/>
        <w:rPr>
          <w:rFonts w:ascii="Arial" w:cs="Arial" w:eastAsia="Arial" w:hAnsi="Arial"/>
          <w:sz w:val="18"/>
          <w:szCs w:val="18"/>
          <w:color w:val="auto"/>
        </w:rPr>
      </w:pPr>
    </w:p>
    <w:p>
      <w:pPr>
        <w:ind w:left="400" w:hanging="311"/>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includes $66 and $75 of restricted cash at September 30, 2021 and 2020.</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 of 11</w:t>
      </w:r>
    </w:p>
    <w:p>
      <w:pPr>
        <w:sectPr>
          <w:pgSz w:w="11900" w:h="16838" w:orient="portrait"/>
          <w:cols w:equalWidth="0" w:num="1">
            <w:col w:w="11240"/>
          </w:cols>
          <w:pgMar w:left="320" w:top="595"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18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5"/>
              </w:rPr>
              <w:t>Nine Months Ended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18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44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440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U.K. pension settlement </w:t>
            </w:r>
            <w:r>
              <w:rPr>
                <w:rFonts w:ascii="Arial" w:cs="Arial" w:eastAsia="Arial" w:hAnsi="Arial"/>
                <w:sz w:val="23"/>
                <w:szCs w:val="23"/>
                <w:color w:val="auto"/>
                <w:vertAlign w:val="superscript"/>
              </w:rPr>
              <w:t>(3)</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Interest included in investing activities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23"/>
                <w:szCs w:val="23"/>
                <w:color w:val="auto"/>
                <w:vertAlign w:val="superscript"/>
              </w:rPr>
              <w:t>(5)</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60" w:type="dxa"/>
            <w:vAlign w:val="bottom"/>
            <w:gridSpan w:val="2"/>
            <w:vMerge w:val="restart"/>
          </w:tcPr>
          <w:p>
            <w:pPr>
              <w:spacing w:after="0" w:line="317" w:lineRule="exact"/>
              <w:rPr>
                <w:sz w:val="20"/>
                <w:szCs w:val="20"/>
                <w:color w:val="auto"/>
              </w:rPr>
            </w:pPr>
            <w:r>
              <w:rPr>
                <w:rFonts w:ascii="Arial" w:cs="Arial" w:eastAsia="Arial" w:hAnsi="Arial"/>
                <w:sz w:val="35"/>
                <w:szCs w:val="35"/>
                <w:b w:val="1"/>
                <w:bCs w:val="1"/>
                <w:color w:val="auto"/>
                <w:vertAlign w:val="subscript"/>
              </w:rPr>
              <w:t>Adjusted Free Cash Flow</w:t>
            </w:r>
            <w:r>
              <w:rPr>
                <w:rFonts w:ascii="Arial" w:cs="Arial" w:eastAsia="Arial" w:hAnsi="Arial"/>
                <w:sz w:val="18"/>
                <w:szCs w:val="18"/>
                <w:b w:val="1"/>
                <w:bCs w:val="1"/>
                <w:color w:val="auto"/>
              </w:rPr>
              <w:t>Adjusted 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3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426</w:t>
            </w:r>
          </w:p>
        </w:tc>
        <w:tc>
          <w:tcPr>
            <w:tcW w:w="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w:t>
            </w:r>
          </w:p>
        </w:tc>
        <w:tc>
          <w:tcPr>
            <w:tcW w:w="3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3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auto"/>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In September 2021, the Company made a contribution of $271 million to its U.K. defined benefit pension plan in anticipation of a full settlement of</w:t>
      </w:r>
    </w:p>
    <w:p>
      <w:pPr>
        <w:spacing w:after="0" w:line="23" w:lineRule="exact"/>
        <w:rPr>
          <w:sz w:val="20"/>
          <w:szCs w:val="20"/>
          <w:color w:val="auto"/>
        </w:rPr>
      </w:pPr>
    </w:p>
    <w:p>
      <w:pPr>
        <w:ind w:left="420" w:right="20"/>
        <w:spacing w:after="0" w:line="245" w:lineRule="auto"/>
        <w:rPr>
          <w:sz w:val="20"/>
          <w:szCs w:val="20"/>
          <w:color w:val="auto"/>
        </w:rPr>
      </w:pPr>
      <w:r>
        <w:rPr>
          <w:rFonts w:ascii="Arial" w:cs="Arial" w:eastAsia="Arial" w:hAnsi="Arial"/>
          <w:sz w:val="18"/>
          <w:szCs w:val="18"/>
          <w:color w:val="auto"/>
        </w:rPr>
        <w:t>the plan’s obligations in November 2021, as previously announced. The Company expects $175 million of this contribution to be repaid as the plan sells its remaining illiquid assets during 2021 and 2022.</w:t>
      </w:r>
    </w:p>
    <w:p>
      <w:pPr>
        <w:spacing w:after="0" w:line="198" w:lineRule="exact"/>
        <w:rPr>
          <w:sz w:val="20"/>
          <w:szCs w:val="20"/>
          <w:color w:val="auto"/>
        </w:rPr>
      </w:pPr>
    </w:p>
    <w:p>
      <w:pPr>
        <w:ind w:left="400" w:hanging="3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benefit of cross currency swaps included in investing activities.</w:t>
      </w:r>
    </w:p>
    <w:p>
      <w:pPr>
        <w:spacing w:after="0" w:line="225" w:lineRule="exact"/>
        <w:rPr>
          <w:rFonts w:ascii="Arial" w:cs="Arial" w:eastAsia="Arial" w:hAnsi="Arial"/>
          <w:sz w:val="18"/>
          <w:szCs w:val="18"/>
          <w:color w:val="auto"/>
        </w:rPr>
      </w:pPr>
    </w:p>
    <w:p>
      <w:pPr>
        <w:ind w:left="400" w:hanging="3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 fees and costs related to the sale of the Company’s European Tinplate business.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Reconciliation of Adjusted EBITDA</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Twelve Months</w:t>
            </w: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gridSpan w:val="3"/>
          </w:tcPr>
          <w:p>
            <w:pPr>
              <w:ind w:left="20"/>
              <w:spacing w:after="0" w:line="181" w:lineRule="exact"/>
              <w:rPr>
                <w:sz w:val="20"/>
                <w:szCs w:val="20"/>
                <w:color w:val="auto"/>
              </w:rPr>
            </w:pPr>
            <w:r>
              <w:rPr>
                <w:rFonts w:ascii="Arial" w:cs="Arial" w:eastAsia="Arial" w:hAnsi="Arial"/>
                <w:sz w:val="18"/>
                <w:szCs w:val="18"/>
                <w:b w:val="1"/>
                <w:bCs w:val="1"/>
                <w:color w:val="auto"/>
              </w:rPr>
              <w:t>September YTD</w:t>
            </w:r>
          </w:p>
        </w:tc>
        <w:tc>
          <w:tcPr>
            <w:tcW w:w="140" w:type="dxa"/>
            <w:vAlign w:val="bottom"/>
          </w:tcPr>
          <w:p>
            <w:pPr>
              <w:spacing w:after="0"/>
              <w:rPr>
                <w:sz w:val="15"/>
                <w:szCs w:val="15"/>
                <w:color w:val="auto"/>
              </w:rPr>
            </w:pPr>
          </w:p>
        </w:tc>
        <w:tc>
          <w:tcPr>
            <w:tcW w:w="126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September</w:t>
            </w:r>
          </w:p>
        </w:tc>
        <w:tc>
          <w:tcPr>
            <w:tcW w:w="15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Full Year 2020</w:t>
            </w:r>
          </w:p>
        </w:tc>
        <w:tc>
          <w:tcPr>
            <w:tcW w:w="17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9"/>
              </w:rPr>
              <w:t>September 30, 2021</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2020</w:t>
            </w:r>
          </w:p>
        </w:tc>
        <w:tc>
          <w:tcPr>
            <w:tcW w:w="15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1,367</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Add:</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amortization</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other</w:t>
            </w: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w:t>
            </w: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debt at September 30</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leverage ratio</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w w:val="91"/>
              </w:rPr>
              <w:t>3.2x</w:t>
            </w:r>
          </w:p>
        </w:tc>
        <w:tc>
          <w:tcPr>
            <w:tcW w:w="0" w:type="dxa"/>
            <w:vAlign w:val="bottom"/>
          </w:tcPr>
          <w:p>
            <w:pPr>
              <w:spacing w:after="0"/>
              <w:rPr>
                <w:sz w:val="1"/>
                <w:szCs w:val="1"/>
                <w:color w:val="auto"/>
              </w:rPr>
            </w:pPr>
          </w:p>
        </w:tc>
      </w:tr>
      <w:tr>
        <w:trPr>
          <w:trHeight w:val="904"/>
        </w:trPr>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11 of 11</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2021-10-25T15:33:24Z</dcterms:created>
  <dcterms:modified xsi:type="dcterms:W3CDTF">2021-10-25T15:33:24Z</dcterms:modified>
</cp:coreProperties>
</file>