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Bourque Robert H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 Transit Packaging</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0000FF"/>
              </w:rPr>
              <w:t>232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01/09/2020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12,984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54"/>
              <w:spacing w:after="0"/>
              <w:rPr>
                <w:sz w:val="20"/>
                <w:szCs w:val="20"/>
                <w:color w:val="auto"/>
              </w:rPr>
            </w:pPr>
            <w:r>
              <w:rPr>
                <w:rFonts w:ascii="Arial" w:cs="Arial" w:eastAsia="Arial" w:hAnsi="Arial"/>
                <w:sz w:val="18"/>
                <w:szCs w:val="18"/>
                <w:color w:val="0000FF"/>
                <w:w w:val="83"/>
              </w:rPr>
              <w:t>59,009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73"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12,984 shares of Restricted Common Stock under the 2013 Stock-Based Compensation Plan. 4,433 time-vested restricted shares vest over a three year period as follows: 1,478 time-vested restricted shares on January 11, 2021 and January 10, 2022, respectively and 1,477 time-vested restricted shares on January 9, 2023. 4,118 performance-based restricted shares are targeted to vest on January 9, 2023 based on the Company's Total Shareholder Return versus a defined peer group of companies, with the final number of performance-based vested shares varying from 0 to 200% of 4,118. 4,433 performance-based restricted shares are targeted to vest on January 9, 2023 based on the Return on Invested Capital achieved by the Company compared to the ROIC target, with the final number of performance-based vested shares varying from 0 to 200% of 4,433.</w:t>
      </w:r>
    </w:p>
    <w:p>
      <w:pPr>
        <w:spacing w:after="0" w:line="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01/13/2020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913"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2020-01-13T08:51:27Z</dcterms:created>
  <dcterms:modified xsi:type="dcterms:W3CDTF">2020-01-13T08:51:27Z</dcterms:modified>
</cp:coreProperties>
</file>