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2022</w:t>
      </w:r>
    </w:p>
    <w:p>
      <w:pPr>
        <w:spacing w:after="0" w:line="220"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122,942,067 shares of Common Stock outstanding as of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1480" w:type="dxa"/>
        <w:tblCellMar>
          <w:top w:w="0" w:type="dxa"/>
          <w:left w:w="0" w:type="dxa"/>
          <w:bottom w:w="0" w:type="dxa"/>
          <w:right w:w="0" w:type="dxa"/>
        </w:tblCellMar>
      </w:tblPr>
      <w:tr>
        <w:trPr>
          <w:trHeight w:val="234"/>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Crown Holdings, Inc.</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280" w:type="dxa"/>
            <w:vAlign w:val="bottom"/>
            <w:gridSpan w:val="2"/>
          </w:tcPr>
          <w:p>
            <w:pPr>
              <w:jc w:val="center"/>
              <w:ind w:left="19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6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89"/>
              </w:rPr>
              <w:t>Income from continuing operations before taxes and equity in net earnings of</w:t>
            </w: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affiliates</w:t>
            </w: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earnings of affiliates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Net income from continuing operations attributable to noncontrolling interests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6"/>
        </w:trPr>
        <w:tc>
          <w:tcPr>
            <w:tcW w:w="6000" w:type="dxa"/>
            <w:vAlign w:val="bottom"/>
          </w:tcPr>
          <w:p>
            <w:pPr>
              <w:ind w:left="340"/>
              <w:spacing w:after="0" w:line="176" w:lineRule="exact"/>
              <w:rPr>
                <w:sz w:val="20"/>
                <w:szCs w:val="20"/>
                <w:color w:val="auto"/>
              </w:rPr>
            </w:pPr>
            <w:r>
              <w:rPr>
                <w:rFonts w:ascii="Arial" w:cs="Arial" w:eastAsia="Arial" w:hAnsi="Arial"/>
                <w:sz w:val="18"/>
                <w:szCs w:val="18"/>
                <w:color w:val="auto"/>
              </w:rPr>
              <w:t>Net income from discontinued operations attributable to noncontrolling</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Net income from discontinued operations attributable to Crown Holdings</w:t>
            </w: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1480" w:type="dxa"/>
        <w:tblCellMar>
          <w:top w:w="0" w:type="dxa"/>
          <w:left w:w="0" w:type="dxa"/>
          <w:bottom w:w="0" w:type="dxa"/>
          <w:right w:w="0" w:type="dxa"/>
        </w:tblCellMar>
      </w:tblPr>
      <w:tr>
        <w:trPr>
          <w:trHeight w:val="234"/>
        </w:trPr>
        <w:tc>
          <w:tcPr>
            <w:tcW w:w="602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Crown Holdings, Inc.</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913"/>
        </w:trPr>
        <w:tc>
          <w:tcPr>
            <w:tcW w:w="728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3"/>
              </w:rPr>
              <w:t>(In millions)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602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2"/>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0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Crown Holdings, Inc.</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13"/>
        </w:trPr>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3"/>
              </w:rPr>
              <w:t>(In millions)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(Unaudited)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2"/>
              </w:rPr>
              <w:t>December 31,</w:t>
            </w:r>
          </w:p>
        </w:tc>
      </w:tr>
      <w:tr>
        <w:trPr>
          <w:trHeight w:val="229"/>
        </w:trPr>
        <w:tc>
          <w:tcPr>
            <w:tcW w:w="29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3540" w:type="dxa"/>
            <w:vAlign w:val="bottom"/>
            <w:gridSpan w:val="3"/>
          </w:tcPr>
          <w:p>
            <w:pPr>
              <w:ind w:left="360"/>
              <w:spacing w:after="0"/>
              <w:rPr>
                <w:sz w:val="20"/>
                <w:szCs w:val="20"/>
                <w:color w:val="auto"/>
              </w:rPr>
            </w:pPr>
            <w:r>
              <w:rPr>
                <w:rFonts w:ascii="Arial" w:cs="Arial" w:eastAsia="Arial" w:hAnsi="Arial"/>
                <w:sz w:val="18"/>
                <w:szCs w:val="18"/>
                <w:color w:val="auto"/>
                <w:w w:val="92"/>
              </w:rPr>
              <w:t>Prepaid expenses and other current assets</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3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r>
      <w:tr>
        <w:trPr>
          <w:trHeight w:val="250"/>
        </w:trPr>
        <w:tc>
          <w:tcPr>
            <w:tcW w:w="2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4,036</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3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3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48"/>
        </w:trPr>
        <w:tc>
          <w:tcPr>
            <w:tcW w:w="35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3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Current maturities of long-term debt</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2"/>
              </w:rPr>
              <w:t>Current portion of operating lease liabilities</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2,901</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35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Current liabilities held for sale</w:t>
            </w:r>
          </w:p>
        </w:tc>
        <w:tc>
          <w:tcPr>
            <w:tcW w:w="3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5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50"/>
        </w:trPr>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Long-term debt, excluding current maturities</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Postretirement and pension liabilities</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Non-current portion of operating lease liabilities</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10"/>
        </w:trPr>
        <w:tc>
          <w:tcPr>
            <w:tcW w:w="3540" w:type="dxa"/>
            <w:vAlign w:val="bottom"/>
            <w:gridSpan w:val="3"/>
            <w:shd w:val="clear" w:color="auto" w:fill="CCEEFF"/>
          </w:tcPr>
          <w:p>
            <w:pPr>
              <w:ind w:left="20"/>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Commitments and contingent liabilities </w:t>
            </w:r>
            <w:r>
              <w:rPr>
                <w:rFonts w:ascii="Arial" w:cs="Arial" w:eastAsia="Arial" w:hAnsi="Arial"/>
                <w:sz w:val="18"/>
                <w:szCs w:val="18"/>
                <w:i w:val="1"/>
                <w:iCs w:val="1"/>
                <w:color w:val="auto"/>
                <w:w w:val="94"/>
              </w:rPr>
              <w:t>(</w:t>
            </w:r>
            <w:hyperlink w:anchor="page11">
              <w:r>
                <w:rPr>
                  <w:rFonts w:ascii="Arial" w:cs="Arial" w:eastAsia="Arial" w:hAnsi="Arial"/>
                  <w:sz w:val="18"/>
                  <w:szCs w:val="18"/>
                  <w:i w:val="1"/>
                  <w:iCs w:val="1"/>
                  <w:color w:val="0000FF"/>
                  <w:w w:val="94"/>
                </w:rPr>
                <w:t>Note</w:t>
              </w:r>
              <w:r>
                <w:rPr>
                  <w:rFonts w:ascii="Arial" w:cs="Arial" w:eastAsia="Arial" w:hAnsi="Arial"/>
                  <w:sz w:val="18"/>
                  <w:szCs w:val="18"/>
                  <w:color w:val="auto"/>
                  <w:w w:val="94"/>
                </w:rPr>
                <w:t xml:space="preserve"> </w:t>
              </w:r>
            </w:hyperlink>
            <w:r>
              <w:rPr>
                <w:rFonts w:ascii="Arial" w:cs="Arial" w:eastAsia="Arial" w:hAnsi="Arial"/>
                <w:sz w:val="18"/>
                <w:szCs w:val="18"/>
                <w:i w:val="1"/>
                <w:iCs w:val="1"/>
                <w:color w:val="auto"/>
                <w:w w:val="94"/>
              </w:rPr>
              <w:t>I)</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440</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3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3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48"/>
        </w:trPr>
        <w:tc>
          <w:tcPr>
            <w:tcW w:w="35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3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Crown Holdings, Inc.</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846"/>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Arial" w:cs="Arial" w:eastAsia="Arial" w:hAnsi="Arial"/>
                <w:sz w:val="18"/>
                <w:szCs w:val="18"/>
                <w:b w:val="1"/>
                <w:bCs w:val="1"/>
                <w:color w:val="auto"/>
                <w:w w:val="93"/>
              </w:rPr>
              <w:t>(In millions)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2"/>
        </w:trPr>
        <w:tc>
          <w:tcPr>
            <w:tcW w:w="8200" w:type="dxa"/>
            <w:vAlign w:val="bottom"/>
          </w:tcPr>
          <w:p>
            <w:pPr>
              <w:spacing w:after="0"/>
              <w:rPr>
                <w:sz w:val="21"/>
                <w:szCs w:val="21"/>
                <w:color w:val="auto"/>
              </w:rPr>
            </w:pPr>
          </w:p>
        </w:tc>
        <w:tc>
          <w:tcPr>
            <w:tcW w:w="284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246</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Restructuring and other</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Working capital changes and 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(699)</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operating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(301)</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(117)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Acquisition of business, net of cash acquired</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discontinued operations, net of cash disposed</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Bond issuance costs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7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finance leases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shareholders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Common stock issued</w:t>
            </w:r>
          </w:p>
        </w:tc>
        <w:tc>
          <w:tcPr>
            <w:tcW w:w="7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repurchased</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(350)</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provided by / (used for) financing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(133)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March 31</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8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noncontrolling interests</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Restricted stock awarded</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Common stock issued</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2022 and the results of its operations for the three months ended March 31, 2022 and 2021 and of its cash flows for the three months ended March 31, 2022 and 2021.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2021.</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Divestitures</w:t>
      </w:r>
    </w:p>
    <w:p>
      <w:pPr>
        <w:spacing w:after="0" w:line="256"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Other. The Company received pre-tax proceeds of approximately €1.9 billion ($2.3 billion) from the Transaction and received a 20% minority interest in the Business. For the year ended December 31, 2021, the Company recorded a pre-tax loss of $101 and tax charges of $81 related to taxable gains on the sale of the Business.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net income from discontinued operations for the three months ended March 31, 2021 were as follows:</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Three Months Ended</w:t>
            </w:r>
          </w:p>
        </w:tc>
      </w:tr>
      <w:tr>
        <w:trPr>
          <w:trHeight w:val="230"/>
        </w:trPr>
        <w:tc>
          <w:tcPr>
            <w:tcW w:w="5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March 31,</w:t>
            </w:r>
          </w:p>
        </w:tc>
      </w:tr>
      <w:tr>
        <w:trPr>
          <w:trHeight w:val="223"/>
        </w:trPr>
        <w:tc>
          <w:tcPr>
            <w:tcW w:w="59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Net income from discontinued operations attributable to noncontrolling interests</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attributable to Crown Holdings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accounted for the minority interest received in the Business under the equity method. The Company's share of income of the Business was $15 for the three months ended March 31, 2022 and is reported in Equity in net earnings of affiliates in the Consolidated Statement of Operations.</w:t>
      </w:r>
    </w:p>
    <w:p>
      <w:pPr>
        <w:spacing w:after="0" w:line="211"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October 2021, the Company signed an agreement to sell Transit Packaging's Kiwiplan business for approximately $182. The transaction is subject to customary regulatory approvals and is expected to close in the second quarter of 2022. In 2021, the business had net sales of $39. The Company expects to record an after tax gain of approximately $100 related to the transaction. The assets and liabilities of this business were classified as held for sale as of December 31, 2021. The transaction will not represent a strategic shift that will have a major effect on the Company's operations and financial results, and therefore does not qualify for reporting as a discontinued operation.</w:t>
      </w: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2021</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5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4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8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March 31, 2022</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2021</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4"/>
          </w:tcPr>
          <w:p>
            <w:pPr>
              <w:spacing w:after="0"/>
              <w:rPr>
                <w:sz w:val="20"/>
                <w:szCs w:val="20"/>
                <w:color w:val="auto"/>
              </w:rPr>
            </w:pPr>
            <w:r>
              <w:rPr>
                <w:rFonts w:ascii="Arial" w:cs="Arial" w:eastAsia="Arial" w:hAnsi="Arial"/>
                <w:sz w:val="18"/>
                <w:szCs w:val="18"/>
                <w:b w:val="1"/>
                <w:bCs w:val="1"/>
                <w:color w:val="auto"/>
              </w:rPr>
              <w:t>E.  Inventories</w:t>
            </w:r>
          </w:p>
        </w:tc>
        <w:tc>
          <w:tcPr>
            <w:tcW w:w="2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20" w:type="dxa"/>
            <w:vAlign w:val="bottom"/>
            <w:gridSpan w:val="2"/>
            <w:vMerge w:val="restart"/>
          </w:tcPr>
          <w:p>
            <w:pPr>
              <w:ind w:left="2120"/>
              <w:spacing w:after="0"/>
              <w:rPr>
                <w:sz w:val="20"/>
                <w:szCs w:val="20"/>
                <w:color w:val="auto"/>
              </w:rPr>
            </w:pPr>
            <w:r>
              <w:rPr>
                <w:rFonts w:ascii="Arial" w:cs="Arial" w:eastAsia="Arial" w:hAnsi="Arial"/>
                <w:sz w:val="18"/>
                <w:szCs w:val="18"/>
                <w:color w:val="auto"/>
                <w:w w:val="94"/>
              </w:rPr>
              <w:t>March 31, 2022</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w w:val="99"/>
              </w:rPr>
              <w:t>December 31, 2021</w:t>
            </w:r>
          </w:p>
        </w:tc>
        <w:tc>
          <w:tcPr>
            <w:tcW w:w="0" w:type="dxa"/>
            <w:vAlign w:val="bottom"/>
          </w:tcPr>
          <w:p>
            <w:pPr>
              <w:spacing w:after="0" w:line="20" w:lineRule="exact"/>
              <w:rPr>
                <w:sz w:val="1"/>
                <w:szCs w:val="1"/>
                <w:color w:val="auto"/>
              </w:rPr>
            </w:pPr>
          </w:p>
        </w:tc>
      </w:tr>
      <w:tr>
        <w:trPr>
          <w:trHeight w:val="520"/>
        </w:trPr>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rPr>
              <w:t>Raw materials and supplies</w:t>
            </w:r>
          </w:p>
        </w:tc>
        <w:tc>
          <w:tcPr>
            <w:tcW w:w="3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gridSpan w:val="4"/>
            <w:vMerge w:val="continue"/>
          </w:tcPr>
          <w:p>
            <w:pPr>
              <w:spacing w:after="0"/>
              <w:rPr>
                <w:sz w:val="19"/>
                <w:szCs w:val="19"/>
                <w:color w:val="auto"/>
              </w:rPr>
            </w:pPr>
          </w:p>
        </w:tc>
        <w:tc>
          <w:tcPr>
            <w:tcW w:w="2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1,241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3520" w:type="dxa"/>
            <w:vAlign w:val="bottom"/>
            <w:gridSpan w:val="4"/>
          </w:tcPr>
          <w:p>
            <w:pPr>
              <w:ind w:left="20"/>
              <w:spacing w:after="0"/>
              <w:rPr>
                <w:sz w:val="20"/>
                <w:szCs w:val="20"/>
                <w:color w:val="auto"/>
              </w:rPr>
            </w:pPr>
            <w:r>
              <w:rPr>
                <w:rFonts w:ascii="Arial" w:cs="Arial" w:eastAsia="Arial" w:hAnsi="Arial"/>
                <w:sz w:val="18"/>
                <w:szCs w:val="18"/>
                <w:color w:val="auto"/>
              </w:rPr>
              <w:t>Work in process</w:t>
            </w:r>
          </w:p>
        </w:tc>
        <w:tc>
          <w:tcPr>
            <w:tcW w:w="2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91"/>
              </w:rPr>
              <w:t>Finished</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goods</w:t>
            </w:r>
          </w:p>
        </w:tc>
        <w:tc>
          <w:tcPr>
            <w:tcW w:w="2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2,063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-633730</wp:posOffset>
            </wp:positionV>
            <wp:extent cx="57861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2"/>
              </w:rPr>
              <w:t>March 31, 2022</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2021</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income from continuing operations for the three months ended March 31, 2022 and 2021 included amortization expense of $40, and $42, respectively.</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10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97"/>
              </w:rPr>
              <w:t>March 31,</w:t>
            </w:r>
          </w:p>
        </w:tc>
        <w:tc>
          <w:tcPr>
            <w:tcW w:w="32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 / (income)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Asset impairments and sales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6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March 31, 2022, asset impairments and sales related to various land and building sales in the Company's Asia-Pacific segment which were closed as part of prior restructuring actions.</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the Company paid $3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2021,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w:t>
      </w: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42 %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2022.</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2022, the Company’s accrual for pending and future asbestos-related claims and related legal costs was $234, including $192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2021),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$6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and is unable to estimate the range of any potential loss in excess of its accrual.</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7520" w:hanging="652"/>
        <w:spacing w:after="0" w:line="566" w:lineRule="auto"/>
        <w:tabs>
          <w:tab w:leader="none" w:pos="32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Derivative and Other Financial Instruments </w:t>
      </w:r>
      <w:r>
        <w:rPr>
          <w:rFonts w:ascii="Arial" w:cs="Arial" w:eastAsia="Arial" w:hAnsi="Arial"/>
          <w:sz w:val="17"/>
          <w:szCs w:val="17"/>
          <w:u w:val="single" w:color="auto"/>
          <w:color w:val="auto"/>
        </w:rPr>
        <w:t>Fair Value Measurements</w:t>
      </w:r>
    </w:p>
    <w:p>
      <w:pPr>
        <w:jc w:val="both"/>
        <w:ind w:left="660"/>
        <w:spacing w:after="0" w:line="296" w:lineRule="auto"/>
        <w:rPr>
          <w:sz w:val="20"/>
          <w:szCs w:val="20"/>
          <w:color w:val="auto"/>
        </w:rPr>
      </w:pPr>
      <w:r>
        <w:rPr>
          <w:rFonts w:ascii="Arial" w:cs="Arial" w:eastAsia="Arial" w:hAnsi="Arial"/>
          <w:sz w:val="16"/>
          <w:szCs w:val="16"/>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88"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7">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2022 mature between one and thirty-one months.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480" w:right="2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primarily aluminum, and these exposures are hedged by a central treasury unit.</w:t>
      </w:r>
    </w:p>
    <w:p>
      <w:pPr>
        <w:spacing w:after="0" w:line="197"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generally hedged together with the related commodity price risk.</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ectPr>
          <w:pgSz w:w="11900" w:h="16838" w:orient="portrait"/>
          <w:cols w:equalWidth="0" w:num="1">
            <w:col w:w="11060"/>
          </w:cols>
          <w:pgMar w:left="5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Derivatives in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29210</wp:posOffset>
            </wp:positionV>
            <wp:extent cx="327469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15430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14605</wp:posOffset>
            </wp:positionV>
            <wp:extent cx="327469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14541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Commodities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5540"/>
        <w:spacing w:after="0"/>
        <w:rPr>
          <w:sz w:val="20"/>
          <w:szCs w:val="20"/>
          <w:color w:val="auto"/>
        </w:rPr>
      </w:pPr>
      <w:r>
        <w:rPr>
          <w:rFonts w:ascii="Arial" w:cs="Arial" w:eastAsia="Arial" w:hAnsi="Arial"/>
          <w:sz w:val="18"/>
          <w:szCs w:val="18"/>
          <w:color w:val="auto"/>
        </w:rPr>
        <w:t>Amount of gain/(loss)</w:t>
      </w:r>
    </w:p>
    <w:p>
      <w:pPr>
        <w:jc w:val="center"/>
        <w:ind w:right="5540"/>
        <w:spacing w:after="0"/>
        <w:rPr>
          <w:sz w:val="20"/>
          <w:szCs w:val="20"/>
          <w:color w:val="auto"/>
        </w:rPr>
      </w:pPr>
      <w:r>
        <w:rPr>
          <w:rFonts w:ascii="Arial" w:cs="Arial" w:eastAsia="Arial" w:hAnsi="Arial"/>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05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jc w:val="center"/>
        <w:ind w:right="5540"/>
        <w:spacing w:after="0"/>
        <w:rPr>
          <w:sz w:val="20"/>
          <w:szCs w:val="20"/>
          <w:color w:val="auto"/>
        </w:rPr>
      </w:pPr>
      <w:r>
        <w:rPr>
          <w:rFonts w:ascii="Arial" w:cs="Arial" w:eastAsia="Arial" w:hAnsi="Arial"/>
          <w:sz w:val="17"/>
          <w:szCs w:val="17"/>
          <w:color w:val="auto"/>
        </w:rPr>
        <w:t>Three Months Ended March</w:t>
      </w:r>
    </w:p>
    <w:p>
      <w:pPr>
        <w:jc w:val="center"/>
        <w:ind w:righ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340"/>
        <w:spacing w:after="0"/>
        <w:tabs>
          <w:tab w:leader="none" w:pos="14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36" w:lineRule="exact"/>
        <w:rPr>
          <w:sz w:val="20"/>
          <w:szCs w:val="20"/>
          <w:color w:val="auto"/>
        </w:rPr>
      </w:pPr>
    </w:p>
    <w:p>
      <w:pPr>
        <w:spacing w:after="0"/>
        <w:tabs>
          <w:tab w:leader="none" w:pos="780" w:val="left"/>
          <w:tab w:leader="none" w:pos="1160" w:val="left"/>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w:t>
        <w:tab/>
        <w:t>$</w:t>
      </w:r>
      <w:r>
        <w:rPr>
          <w:sz w:val="20"/>
          <w:szCs w:val="20"/>
          <w:color w:val="auto"/>
        </w:rPr>
        <w:tab/>
      </w:r>
      <w:r>
        <w:rPr>
          <w:rFonts w:ascii="Arial" w:cs="Arial" w:eastAsia="Arial" w:hAnsi="Arial"/>
          <w:sz w:val="18"/>
          <w:szCs w:val="18"/>
          <w:color w:val="auto"/>
        </w:rPr>
        <w:t>(1)</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50</w:t>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 w:lineRule="exact"/>
        <w:rPr>
          <w:sz w:val="20"/>
          <w:szCs w:val="20"/>
          <w:color w:val="auto"/>
        </w:rPr>
      </w:pPr>
    </w:p>
    <w:p>
      <w:pPr>
        <w:spacing w:after="0"/>
        <w:tabs>
          <w:tab w:leader="none" w:pos="780" w:val="left"/>
          <w:tab w:leader="none" w:pos="1160" w:val="left"/>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45</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058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342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800" w:space="520"/>
            <w:col w:w="7740"/>
          </w:cols>
          <w:pgMar w:left="500" w:top="121" w:right="339" w:bottom="1440" w:gutter="0" w:footer="0" w:header="0"/>
          <w:type w:val="continuous"/>
        </w:sectPr>
      </w:pPr>
    </w:p>
    <w:p>
      <w:pPr>
        <w:jc w:val="center"/>
        <w:ind w:right="2240"/>
        <w:spacing w:after="0"/>
        <w:rPr>
          <w:sz w:val="20"/>
          <w:szCs w:val="20"/>
          <w:color w:val="auto"/>
        </w:rPr>
      </w:pPr>
      <w:r>
        <w:rPr>
          <w:rFonts w:ascii="Arial" w:cs="Arial" w:eastAsia="Arial" w:hAnsi="Arial"/>
          <w:sz w:val="18"/>
          <w:szCs w:val="18"/>
          <w:color w:val="auto"/>
        </w:rPr>
        <w:t>Amount of gain/(loss)</w:t>
      </w:r>
    </w:p>
    <w:p>
      <w:pPr>
        <w:jc w:val="center"/>
        <w:ind w:right="2240"/>
        <w:spacing w:after="0" w:line="203" w:lineRule="auto"/>
        <w:rPr>
          <w:sz w:val="20"/>
          <w:szCs w:val="20"/>
          <w:color w:val="auto"/>
        </w:rPr>
      </w:pPr>
      <w:r>
        <w:rPr>
          <w:rFonts w:ascii="Arial" w:cs="Arial" w:eastAsia="Arial" w:hAnsi="Arial"/>
          <w:sz w:val="18"/>
          <w:szCs w:val="18"/>
          <w:color w:val="auto"/>
        </w:rPr>
        <w:t>reclassified from AOCI into</w:t>
      </w:r>
    </w:p>
    <w:p>
      <w:pPr>
        <w:jc w:val="center"/>
        <w:ind w:right="2240"/>
        <w:spacing w:after="0"/>
        <w:rPr>
          <w:sz w:val="20"/>
          <w:szCs w:val="20"/>
          <w:color w:val="auto"/>
        </w:rPr>
      </w:pPr>
      <w:r>
        <w:rPr>
          <w:rFonts w:ascii="Arial" w:cs="Arial" w:eastAsia="Arial" w:hAnsi="Arial"/>
          <w:sz w:val="18"/>
          <w:szCs w:val="18"/>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4445</wp:posOffset>
            </wp:positionV>
            <wp:extent cx="1405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jc w:val="center"/>
        <w:ind w:right="2240"/>
        <w:spacing w:after="0"/>
        <w:rPr>
          <w:sz w:val="20"/>
          <w:szCs w:val="20"/>
          <w:color w:val="auto"/>
        </w:rPr>
      </w:pPr>
      <w:r>
        <w:rPr>
          <w:rFonts w:ascii="Arial" w:cs="Arial" w:eastAsia="Arial" w:hAnsi="Arial"/>
          <w:sz w:val="18"/>
          <w:szCs w:val="18"/>
          <w:color w:val="auto"/>
        </w:rPr>
        <w:t>Three Months Ended March</w:t>
      </w:r>
    </w:p>
    <w:p>
      <w:pPr>
        <w:jc w:val="center"/>
        <w:ind w:right="2240"/>
        <w:spacing w:after="0"/>
        <w:rPr>
          <w:sz w:val="20"/>
          <w:szCs w:val="20"/>
          <w:color w:val="auto"/>
        </w:rPr>
      </w:pPr>
      <w:r>
        <w:rPr>
          <w:rFonts w:ascii="Arial" w:cs="Arial" w:eastAsia="Arial" w:hAnsi="Arial"/>
          <w:sz w:val="18"/>
          <w:szCs w:val="18"/>
          <w:color w:val="auto"/>
        </w:rPr>
        <w:t>31,</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Pr>
          <w:p>
            <w:pPr>
              <w:ind w:left="200"/>
              <w:spacing w:after="0" w:line="156" w:lineRule="exact"/>
              <w:rPr>
                <w:sz w:val="20"/>
                <w:szCs w:val="20"/>
                <w:color w:val="auto"/>
              </w:rPr>
            </w:pPr>
            <w:r>
              <w:rPr>
                <w:rFonts w:ascii="Arial" w:cs="Arial" w:eastAsia="Arial" w:hAnsi="Arial"/>
                <w:sz w:val="18"/>
                <w:szCs w:val="18"/>
                <w:color w:val="auto"/>
                <w:w w:val="98"/>
              </w:rPr>
              <w:t>Affected line items in the Statement of</w:t>
            </w:r>
          </w:p>
        </w:tc>
        <w:tc>
          <w:tcPr>
            <w:tcW w:w="0" w:type="dxa"/>
            <w:vAlign w:val="bottom"/>
          </w:tcPr>
          <w:p>
            <w:pPr>
              <w:spacing w:after="0"/>
              <w:rPr>
                <w:sz w:val="1"/>
                <w:szCs w:val="1"/>
                <w:color w:val="auto"/>
              </w:rPr>
            </w:pPr>
          </w:p>
        </w:tc>
      </w:tr>
      <w:tr>
        <w:trPr>
          <w:trHeight w:val="229"/>
        </w:trPr>
        <w:tc>
          <w:tcPr>
            <w:tcW w:w="2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ind w:left="120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155"/>
        </w:trPr>
        <w:tc>
          <w:tcPr>
            <w:tcW w:w="2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3"/>
                <w:szCs w:val="13"/>
                <w:color w:val="auto"/>
              </w:rPr>
            </w:pPr>
          </w:p>
        </w:tc>
        <w:tc>
          <w:tcPr>
            <w:tcW w:w="3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Income from continuing operations before</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Net income from discontinued operations</w:t>
            </w:r>
          </w:p>
        </w:tc>
        <w:tc>
          <w:tcPr>
            <w:tcW w:w="0" w:type="dxa"/>
            <w:vAlign w:val="bottom"/>
          </w:tcPr>
          <w:p>
            <w:pPr>
              <w:spacing w:after="0"/>
              <w:rPr>
                <w:sz w:val="1"/>
                <w:szCs w:val="1"/>
                <w:color w:val="auto"/>
              </w:rPr>
            </w:pPr>
          </w:p>
        </w:tc>
      </w:tr>
      <w:tr>
        <w:trPr>
          <w:trHeight w:val="248"/>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80" w:right="220"/>
        <w:spacing w:after="0" w:line="235" w:lineRule="auto"/>
        <w:rPr>
          <w:sz w:val="20"/>
          <w:szCs w:val="20"/>
          <w:color w:val="auto"/>
        </w:rPr>
      </w:pPr>
      <w:r>
        <w:rPr>
          <w:rFonts w:ascii="Arial" w:cs="Arial" w:eastAsia="Arial" w:hAnsi="Arial"/>
          <w:sz w:val="18"/>
          <w:szCs w:val="18"/>
          <w:color w:val="auto"/>
        </w:rPr>
        <w:t>For the twelve-month period ending March 31, 2023, a net gain of $71 ($58, net of tax) is expected to be reclassified to earnings for commodity and foreign exchange contracts. No material amounts were reclassified during the three months ended March 31, 2022 and 2021 in connection with anticipated transactions that were considered probable of not occurring.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14" w:name="page15"/>
    <w:bookmarkEnd w:id="1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March 31, 2022 and 2021, the Company recorded a loss of $21 and a gain of $7 from foreign exchange contracts designated as fair value hedges. These adjustments were reported within foreign exchange in the Consolidated Statements of Operations.</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7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Pre-tax amounts of gain/(loss)</w:t>
      </w:r>
    </w:p>
    <w:p>
      <w:pPr>
        <w:jc w:val="center"/>
        <w:ind w:right="1980"/>
        <w:spacing w:after="0" w:line="203" w:lineRule="auto"/>
        <w:rPr>
          <w:sz w:val="20"/>
          <w:szCs w:val="20"/>
          <w:color w:val="auto"/>
        </w:rPr>
      </w:pPr>
      <w:r>
        <w:rPr>
          <w:rFonts w:ascii="Arial" w:cs="Arial" w:eastAsia="Arial" w:hAnsi="Arial"/>
          <w:sz w:val="18"/>
          <w:szCs w:val="18"/>
          <w:color w:val="auto"/>
        </w:rPr>
        <w:t>recognized in income on</w:t>
      </w:r>
    </w:p>
    <w:p>
      <w:pPr>
        <w:jc w:val="center"/>
        <w:ind w:right="1980"/>
        <w:spacing w:after="0"/>
        <w:rPr>
          <w:sz w:val="20"/>
          <w:szCs w:val="20"/>
          <w:color w:val="auto"/>
        </w:rPr>
      </w:pPr>
      <w:r>
        <w:rPr>
          <w:rFonts w:ascii="Arial" w:cs="Arial" w:eastAsia="Arial" w:hAnsi="Arial"/>
          <w:sz w:val="18"/>
          <w:szCs w:val="18"/>
          <w:color w:val="auto"/>
        </w:rPr>
        <w:t>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4445</wp:posOffset>
            </wp:positionV>
            <wp:extent cx="1440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jc w:val="center"/>
        <w:ind w:right="1980"/>
        <w:spacing w:after="0"/>
        <w:rPr>
          <w:sz w:val="20"/>
          <w:szCs w:val="20"/>
          <w:color w:val="auto"/>
        </w:rPr>
      </w:pPr>
      <w:r>
        <w:rPr>
          <w:rFonts w:ascii="Arial" w:cs="Arial" w:eastAsia="Arial" w:hAnsi="Arial"/>
          <w:sz w:val="18"/>
          <w:szCs w:val="18"/>
          <w:color w:val="auto"/>
        </w:rPr>
        <w:t>Three Months Ended March</w:t>
      </w:r>
    </w:p>
    <w:p>
      <w:pPr>
        <w:jc w:val="center"/>
        <w:ind w:right="1980"/>
        <w:spacing w:after="0"/>
        <w:rPr>
          <w:sz w:val="20"/>
          <w:szCs w:val="20"/>
          <w:color w:val="auto"/>
        </w:rPr>
      </w:pPr>
      <w:r>
        <w:rPr>
          <w:rFonts w:ascii="Arial" w:cs="Arial" w:eastAsia="Arial" w:hAnsi="Arial"/>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3"/>
                <w:szCs w:val="13"/>
                <w:color w:val="auto"/>
              </w:rPr>
            </w:pPr>
          </w:p>
        </w:tc>
        <w:tc>
          <w:tcPr>
            <w:tcW w:w="2400" w:type="dxa"/>
            <w:vAlign w:val="bottom"/>
          </w:tcPr>
          <w:p>
            <w:pPr>
              <w:ind w:left="320"/>
              <w:spacing w:after="0" w:line="156" w:lineRule="exact"/>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29"/>
        </w:trPr>
        <w:tc>
          <w:tcPr>
            <w:tcW w:w="3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2022, the Company recorded a gain of $17 ($10, net of tax) in other comprehensive income for certain debt instruments that are designated as hedges of its net investment in a euro-based subsidiary. During the three months ended March 31, 2021, the Company recorded a gain of $54 ($54, net of tax) in other comprehensive income for these net investment hedges. As of March 31, 2022 and December 31, 2021, cumulative gains of $86 ($102, net of tax) and gains of $69 ($92, net of tax) were recognized in accumulated other comprehensive income related to these net investment hedges and the carrying amount of the hedged net investment was €551 ($610) at March 31, 2022.</w:t>
      </w:r>
    </w:p>
    <w:p>
      <w:pPr>
        <w:spacing w:after="0" w:line="219" w:lineRule="exact"/>
        <w:rPr>
          <w:sz w:val="20"/>
          <w:szCs w:val="20"/>
          <w:color w:val="auto"/>
        </w:rPr>
      </w:pPr>
    </w:p>
    <w:p>
      <w:pPr>
        <w:ind w:left="6680" w:right="200" w:hanging="6683"/>
        <w:spacing w:after="0" w:line="330" w:lineRule="auto"/>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 Amount of gain / (loss) recognized in AOCI</w:t>
      </w: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auto"/>
              <w:bottom w:val="single" w:sz="8" w:color="auto"/>
            </w:tcBorders>
            <w:gridSpan w:val="4"/>
          </w:tcPr>
          <w:p>
            <w:pPr>
              <w:jc w:val="right"/>
              <w:ind w:right="30"/>
              <w:spacing w:after="0" w:line="204" w:lineRule="exact"/>
              <w:rPr>
                <w:sz w:val="20"/>
                <w:szCs w:val="20"/>
                <w:color w:val="auto"/>
              </w:rPr>
            </w:pPr>
            <w:r>
              <w:rPr>
                <w:rFonts w:ascii="Arial" w:cs="Arial" w:eastAsia="Arial" w:hAnsi="Arial"/>
                <w:sz w:val="18"/>
                <w:szCs w:val="18"/>
                <w:color w:val="auto"/>
              </w:rPr>
              <w:t>Three Months Ended March 31,</w:t>
            </w:r>
          </w:p>
        </w:tc>
        <w:tc>
          <w:tcPr>
            <w:tcW w:w="360" w:type="dxa"/>
            <w:vAlign w:val="bottom"/>
            <w:tcBorders>
              <w:top w:val="single" w:sz="8" w:color="auto"/>
              <w:bottom w:val="single" w:sz="8" w:color="auto"/>
            </w:tcBorders>
          </w:tcPr>
          <w:p>
            <w:pPr>
              <w:spacing w:after="0"/>
              <w:rPr>
                <w:sz w:val="17"/>
                <w:szCs w:val="17"/>
                <w:color w:val="auto"/>
              </w:rPr>
            </w:pP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5" w:name="page16"/>
    <w:bookmarkEnd w:id="15"/>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March 31, 2022 and December 31, 2021, respectively. The fair values of these financial instruments were reported under Level 2 of the fair value hierarchy.</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920" w:type="dxa"/>
            <w:vAlign w:val="bottom"/>
            <w:gridSpan w:val="2"/>
          </w:tcPr>
          <w:p>
            <w:pPr>
              <w:ind w:left="400"/>
              <w:spacing w:after="0"/>
              <w:rPr>
                <w:sz w:val="20"/>
                <w:szCs w:val="20"/>
                <w:color w:val="auto"/>
              </w:rPr>
            </w:pPr>
            <w:r>
              <w:rPr>
                <w:rFonts w:ascii="Arial" w:cs="Arial" w:eastAsia="Arial" w:hAnsi="Arial"/>
                <w:sz w:val="18"/>
                <w:szCs w:val="18"/>
                <w:color w:val="auto"/>
              </w:rPr>
              <w:t>Balance Sheet</w:t>
            </w:r>
          </w:p>
        </w:tc>
        <w:tc>
          <w:tcPr>
            <w:tcW w:w="1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Balance Sheet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tcPr>
          <w:p>
            <w:pPr>
              <w:ind w:left="4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7"/>
                <w:szCs w:val="17"/>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920" w:type="dxa"/>
            <w:vAlign w:val="bottom"/>
            <w:gridSpan w:val="2"/>
          </w:tcPr>
          <w:p>
            <w:pPr>
              <w:ind w:left="44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classification</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18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Derivatives designated as</w:t>
            </w:r>
          </w:p>
        </w:tc>
        <w:tc>
          <w:tcPr>
            <w:tcW w:w="18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hedging instruments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20" w:type="dxa"/>
            <w:vAlign w:val="bottom"/>
          </w:tcPr>
          <w:p>
            <w:pPr>
              <w:ind w:left="20"/>
              <w:spacing w:after="0" w:line="169" w:lineRule="exact"/>
              <w:rPr>
                <w:sz w:val="20"/>
                <w:szCs w:val="20"/>
                <w:color w:val="auto"/>
              </w:rPr>
            </w:pPr>
            <w:r>
              <w:rPr>
                <w:rFonts w:ascii="Arial" w:cs="Arial" w:eastAsia="Arial" w:hAnsi="Arial"/>
                <w:sz w:val="18"/>
                <w:szCs w:val="18"/>
                <w:color w:val="auto"/>
                <w:w w:val="99"/>
              </w:rPr>
              <w:t>Prepaid expenses and</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720" w:type="dxa"/>
            <w:vAlign w:val="bottom"/>
            <w:gridSpan w:val="5"/>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5"/>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720" w:type="dxa"/>
            <w:vAlign w:val="bottom"/>
            <w:gridSpan w:val="5"/>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fair value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5"/>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Commodities contracts</w:t>
            </w: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1720" w:type="dxa"/>
            <w:vAlign w:val="bottom"/>
            <w:gridSpan w:val="5"/>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cash flow</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spacing w:after="0"/>
              <w:rPr>
                <w:sz w:val="15"/>
                <w:szCs w:val="15"/>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4"/>
              </w:rPr>
              <w:t>Other non-current assets</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non-current</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19"/>
                <w:szCs w:val="19"/>
                <w:color w:val="auto"/>
              </w:rPr>
            </w:pPr>
          </w:p>
        </w:tc>
        <w:tc>
          <w:tcPr>
            <w:tcW w:w="1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Net investment hedge</w:t>
            </w: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Other non-current assets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13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0"/>
              </w:rPr>
              <w:t>Other non-current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3760" w:type="dxa"/>
            <w:vAlign w:val="bottom"/>
            <w:gridSpan w:val="3"/>
          </w:tcPr>
          <w:p>
            <w:pPr>
              <w:ind w:left="20"/>
              <w:spacing w:after="0"/>
              <w:rPr>
                <w:sz w:val="20"/>
                <w:szCs w:val="20"/>
                <w:color w:val="auto"/>
              </w:rPr>
            </w:pPr>
            <w:r>
              <w:rPr>
                <w:rFonts w:ascii="Arial" w:cs="Arial" w:eastAsia="Arial" w:hAnsi="Arial"/>
                <w:sz w:val="18"/>
                <w:szCs w:val="18"/>
                <w:color w:val="auto"/>
                <w:w w:val="92"/>
              </w:rPr>
              <w:t>Derivatives not designated as hedging instruments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Prepaid expenses and</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gridSpan w:val="5"/>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5"/>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2"/>
          </w:tcPr>
          <w:p>
            <w:pPr>
              <w:jc w:val="center"/>
              <w:ind w:right="690"/>
              <w:spacing w:after="0"/>
              <w:rPr>
                <w:sz w:val="20"/>
                <w:szCs w:val="20"/>
                <w:color w:val="auto"/>
              </w:rPr>
            </w:pPr>
            <w:r>
              <w:rPr>
                <w:rFonts w:ascii="Arial" w:cs="Arial" w:eastAsia="Arial" w:hAnsi="Arial"/>
                <w:sz w:val="18"/>
                <w:szCs w:val="18"/>
                <w:color w:val="auto"/>
                <w:w w:val="89"/>
              </w:rPr>
              <w:t>Carrying amount of the hedged assets /</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8"/>
          </w:tcPr>
          <w:p>
            <w:pPr>
              <w:jc w:val="center"/>
              <w:ind w:right="620"/>
              <w:spacing w:after="0"/>
              <w:rPr>
                <w:sz w:val="20"/>
                <w:szCs w:val="20"/>
                <w:color w:val="auto"/>
              </w:rPr>
            </w:pPr>
            <w:r>
              <w:rPr>
                <w:rFonts w:ascii="Arial" w:cs="Arial" w:eastAsia="Arial" w:hAnsi="Arial"/>
                <w:sz w:val="18"/>
                <w:szCs w:val="18"/>
                <w:color w:val="auto"/>
                <w:w w:val="96"/>
              </w:rPr>
              <w:t>liabilities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980" w:type="dxa"/>
            <w:vAlign w:val="bottom"/>
            <w:gridSpan w:val="6"/>
            <w:vMerge w:val="restart"/>
          </w:tcPr>
          <w:p>
            <w:pPr>
              <w:ind w:left="20"/>
              <w:spacing w:after="0"/>
              <w:rPr>
                <w:sz w:val="20"/>
                <w:szCs w:val="20"/>
                <w:color w:val="auto"/>
              </w:rPr>
            </w:pPr>
            <w:r>
              <w:rPr>
                <w:rFonts w:ascii="Arial" w:cs="Arial" w:eastAsia="Arial" w:hAnsi="Arial"/>
                <w:sz w:val="18"/>
                <w:szCs w:val="18"/>
                <w:color w:val="auto"/>
                <w:w w:val="91"/>
              </w:rPr>
              <w:t>Line item in the Balance Sheet in which the hedged item is included</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left="150"/>
              <w:spacing w:after="0" w:line="182" w:lineRule="exact"/>
              <w:rPr>
                <w:sz w:val="20"/>
                <w:szCs w:val="20"/>
                <w:color w:val="auto"/>
              </w:rPr>
            </w:pPr>
            <w:r>
              <w:rPr>
                <w:rFonts w:ascii="Arial" w:cs="Arial" w:eastAsia="Arial" w:hAnsi="Arial"/>
                <w:sz w:val="18"/>
                <w:szCs w:val="18"/>
                <w:color w:val="auto"/>
                <w:w w:val="92"/>
              </w:rPr>
              <w:t>March 31,</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6"/>
          </w:tcPr>
          <w:p>
            <w:pPr>
              <w:jc w:val="center"/>
              <w:ind w:right="670"/>
              <w:spacing w:after="0" w:line="182"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498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gridSpan w:val="3"/>
          </w:tcPr>
          <w:p>
            <w:pPr>
              <w:jc w:val="right"/>
              <w:ind w:right="15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gridSpan w:val="3"/>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480" w:right="20"/>
        <w:spacing w:after="0" w:line="277" w:lineRule="auto"/>
        <w:rPr>
          <w:sz w:val="20"/>
          <w:szCs w:val="20"/>
          <w:color w:val="auto"/>
        </w:rPr>
      </w:pPr>
      <w:r>
        <w:rPr>
          <w:rFonts w:ascii="Arial" w:cs="Arial" w:eastAsia="Arial" w:hAnsi="Arial"/>
          <w:sz w:val="18"/>
          <w:szCs w:val="18"/>
          <w:color w:val="auto"/>
        </w:rPr>
        <w:t>As of March 31, 2022 and December 31, 2021, the cumulative amount of fair value hedging adjustments included in the carrying amount of the hedged assets and liabilities were net gains of $5 and $1.</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6" w:name="page17"/>
    <w:bookmarkEnd w:id="16"/>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ind w:left="1320"/>
              <w:spacing w:after="0"/>
              <w:rPr>
                <w:sz w:val="20"/>
                <w:szCs w:val="20"/>
                <w:color w:val="auto"/>
              </w:rPr>
            </w:pPr>
            <w:r>
              <w:rPr>
                <w:rFonts w:ascii="Arial" w:cs="Arial" w:eastAsia="Arial" w:hAnsi="Arial"/>
                <w:sz w:val="18"/>
                <w:szCs w:val="18"/>
                <w:b w:val="1"/>
                <w:bCs w:val="1"/>
                <w:color w:val="auto"/>
                <w:w w:val="92"/>
              </w:rPr>
              <w:t>Crown Holdings, Inc.</w:t>
            </w:r>
          </w:p>
        </w:tc>
        <w:tc>
          <w:tcPr>
            <w:tcW w:w="2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jc w:val="center"/>
              <w:ind w:left="430"/>
              <w:spacing w:after="0"/>
              <w:rPr>
                <w:sz w:val="20"/>
                <w:szCs w:val="20"/>
                <w:color w:val="auto"/>
              </w:rPr>
            </w:pPr>
            <w:r>
              <w:rPr>
                <w:rFonts w:ascii="Arial" w:cs="Arial" w:eastAsia="Arial" w:hAnsi="Arial"/>
                <w:sz w:val="18"/>
                <w:szCs w:val="18"/>
                <w:color w:val="auto"/>
                <w:w w:val="89"/>
              </w:rPr>
              <w:t>Gross amounts recognized in the</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89"/>
              </w:rPr>
              <w:t>Gross amounts not offset in the</w:t>
            </w:r>
          </w:p>
        </w:tc>
        <w:tc>
          <w:tcPr>
            <w:tcW w:w="1480" w:type="dxa"/>
            <w:vAlign w:val="bottom"/>
            <w:vMerge w:val="restart"/>
          </w:tcPr>
          <w:p>
            <w:pPr>
              <w:ind w:left="24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7"/>
              </w:rPr>
              <w:t>Balance Sheet</w:t>
            </w:r>
          </w:p>
        </w:tc>
        <w:tc>
          <w:tcPr>
            <w:tcW w:w="2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Balance Sheet</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March 31, 2022</w:t>
            </w: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0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$185</w:t>
            </w:r>
          </w:p>
        </w:tc>
        <w:tc>
          <w:tcPr>
            <w:tcW w:w="25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$44</w:t>
            </w: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3000" w:type="dxa"/>
            <w:vAlign w:val="bottom"/>
          </w:tcPr>
          <w:p>
            <w:pPr>
              <w:jc w:val="center"/>
              <w:ind w:left="410"/>
              <w:spacing w:after="0"/>
              <w:rPr>
                <w:sz w:val="20"/>
                <w:szCs w:val="20"/>
                <w:color w:val="auto"/>
              </w:rPr>
            </w:pPr>
            <w:r>
              <w:rPr>
                <w:rFonts w:ascii="Arial" w:cs="Arial" w:eastAsia="Arial" w:hAnsi="Arial"/>
                <w:sz w:val="18"/>
                <w:szCs w:val="18"/>
                <w:color w:val="auto"/>
                <w:w w:val="89"/>
              </w:rPr>
              <w:t>60</w:t>
            </w:r>
          </w:p>
        </w:tc>
        <w:tc>
          <w:tcPr>
            <w:tcW w:w="2520" w:type="dxa"/>
            <w:vAlign w:val="bottom"/>
          </w:tcPr>
          <w:p>
            <w:pPr>
              <w:jc w:val="center"/>
              <w:ind w:right="90"/>
              <w:spacing w:after="0"/>
              <w:rPr>
                <w:sz w:val="20"/>
                <w:szCs w:val="20"/>
                <w:color w:val="auto"/>
              </w:rPr>
            </w:pPr>
            <w:r>
              <w:rPr>
                <w:rFonts w:ascii="Arial" w:cs="Arial" w:eastAsia="Arial" w:hAnsi="Arial"/>
                <w:sz w:val="18"/>
                <w:szCs w:val="18"/>
                <w:color w:val="auto"/>
                <w:w w:val="89"/>
              </w:rPr>
              <w:t>44</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2021</w:t>
            </w:r>
          </w:p>
        </w:tc>
        <w:tc>
          <w:tcPr>
            <w:tcW w:w="30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0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6"/>
              </w:rPr>
              <w:t>111</w:t>
            </w:r>
          </w:p>
        </w:tc>
        <w:tc>
          <w:tcPr>
            <w:tcW w:w="25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19</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3000" w:type="dxa"/>
            <w:vAlign w:val="bottom"/>
          </w:tcPr>
          <w:p>
            <w:pPr>
              <w:jc w:val="center"/>
              <w:ind w:left="410"/>
              <w:spacing w:after="0"/>
              <w:rPr>
                <w:sz w:val="20"/>
                <w:szCs w:val="20"/>
                <w:color w:val="auto"/>
              </w:rPr>
            </w:pPr>
            <w:r>
              <w:rPr>
                <w:rFonts w:ascii="Arial" w:cs="Arial" w:eastAsia="Arial" w:hAnsi="Arial"/>
                <w:sz w:val="18"/>
                <w:szCs w:val="18"/>
                <w:color w:val="auto"/>
                <w:w w:val="89"/>
              </w:rPr>
              <w:t>33</w:t>
            </w:r>
          </w:p>
        </w:tc>
        <w:tc>
          <w:tcPr>
            <w:tcW w:w="2520" w:type="dxa"/>
            <w:vAlign w:val="bottom"/>
          </w:tcPr>
          <w:p>
            <w:pPr>
              <w:jc w:val="center"/>
              <w:ind w:right="90"/>
              <w:spacing w:after="0"/>
              <w:rPr>
                <w:sz w:val="20"/>
                <w:szCs w:val="20"/>
                <w:color w:val="auto"/>
              </w:rPr>
            </w:pPr>
            <w:r>
              <w:rPr>
                <w:rFonts w:ascii="Arial" w:cs="Arial" w:eastAsia="Arial" w:hAnsi="Arial"/>
                <w:sz w:val="18"/>
                <w:szCs w:val="18"/>
                <w:color w:val="auto"/>
                <w:w w:val="89"/>
              </w:rPr>
              <w:t>19</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March 31, 2022 and December 31, 2021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2021</w:t>
            </w:r>
          </w:p>
        </w:tc>
      </w:tr>
      <w:tr>
        <w:trPr>
          <w:trHeight w:val="209"/>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760" w:type="dxa"/>
            <w:vAlign w:val="bottom"/>
          </w:tcPr>
          <w:p>
            <w:pPr>
              <w:spacing w:after="0"/>
              <w:rPr>
                <w:sz w:val="19"/>
                <w:szCs w:val="19"/>
                <w:color w:val="auto"/>
              </w:rPr>
            </w:pPr>
          </w:p>
        </w:tc>
      </w:tr>
      <w:tr>
        <w:trPr>
          <w:trHeight w:val="851"/>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7"/>
          </w:tcPr>
          <w:p>
            <w:pPr>
              <w:spacing w:after="0"/>
              <w:rPr>
                <w:sz w:val="20"/>
                <w:szCs w:val="20"/>
                <w:color w:val="auto"/>
              </w:rPr>
            </w:pPr>
            <w:r>
              <w:rPr>
                <w:rFonts w:ascii="Arial" w:cs="Arial" w:eastAsia="Arial" w:hAnsi="Arial"/>
                <w:sz w:val="18"/>
                <w:szCs w:val="18"/>
                <w:b w:val="1"/>
                <w:bCs w:val="1"/>
                <w:color w:val="auto"/>
              </w:rPr>
              <w:t>K.  Debt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660" w:type="dxa"/>
            <w:vAlign w:val="bottom"/>
            <w:gridSpan w:val="7"/>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20" w:type="dxa"/>
            <w:vAlign w:val="bottom"/>
            <w:gridSpan w:val="5"/>
          </w:tcPr>
          <w:p>
            <w:pPr>
              <w:ind w:left="620"/>
              <w:spacing w:after="0"/>
              <w:rPr>
                <w:sz w:val="20"/>
                <w:szCs w:val="20"/>
                <w:color w:val="auto"/>
              </w:rPr>
            </w:pPr>
            <w:r>
              <w:rPr>
                <w:rFonts w:ascii="Arial" w:cs="Arial" w:eastAsia="Arial" w:hAnsi="Arial"/>
                <w:sz w:val="18"/>
                <w:szCs w:val="18"/>
                <w:color w:val="auto"/>
              </w:rPr>
              <w:t>March 31, 2022</w:t>
            </w:r>
          </w:p>
        </w:tc>
        <w:tc>
          <w:tcPr>
            <w:tcW w:w="420" w:type="dxa"/>
            <w:vAlign w:val="bottom"/>
          </w:tcPr>
          <w:p>
            <w:pPr>
              <w:spacing w:after="0"/>
              <w:rPr>
                <w:sz w:val="22"/>
                <w:szCs w:val="22"/>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Carrying</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6"/>
              </w:rPr>
              <w:t>Carrying</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amount</w:t>
            </w: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96</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3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U.S. dollar due 2024</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660"/>
              <w:spacing w:after="0" w:line="230" w:lineRule="exact"/>
              <w:rPr>
                <w:sz w:val="20"/>
                <w:szCs w:val="20"/>
                <w:color w:val="auto"/>
              </w:rPr>
            </w:pPr>
            <w:r>
              <w:rPr>
                <w:rFonts w:ascii="Arial" w:cs="Arial" w:eastAsia="Arial" w:hAnsi="Arial"/>
                <w:sz w:val="18"/>
                <w:szCs w:val="18"/>
                <w:color w:val="auto"/>
              </w:rPr>
              <w:t>Euro due 2024</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€335 at 2.25% due 2023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€550 at 0.75% due 2023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2.875%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5.25% due 2030</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7.50% due 2096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long-term debt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current maturities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340" w:type="dxa"/>
            <w:vAlign w:val="bottom"/>
            <w:gridSpan w:val="3"/>
            <w:shd w:val="clear" w:color="auto" w:fill="CCEEFF"/>
          </w:tcPr>
          <w:p>
            <w:pPr>
              <w:ind w:left="660"/>
              <w:spacing w:after="0" w:line="156" w:lineRule="exact"/>
              <w:rPr>
                <w:sz w:val="20"/>
                <w:szCs w:val="20"/>
                <w:color w:val="auto"/>
              </w:rPr>
            </w:pPr>
            <w:r>
              <w:rPr>
                <w:rFonts w:ascii="Arial" w:cs="Arial" w:eastAsia="Arial" w:hAnsi="Arial"/>
                <w:sz w:val="18"/>
                <w:szCs w:val="18"/>
                <w:color w:val="auto"/>
              </w:rPr>
              <w:t>Total long-term debt, less current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3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2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maturities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€297 and €303 at March 31, 2022 and December 31, 2021</w:t>
      </w:r>
    </w:p>
    <w:p>
      <w:pPr>
        <w:spacing w:after="0" w:line="2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$6,967 at March 31, 2022 and $6,548 at December 31, 2021.</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March 2022, the Company issued $500 principal amount of 5.250% senior unsecured notes due 2030. The notes were issued at par by Crown Americas LLC, a subsidiary of the Company, and are unconditionally guaranteed by the Company and substantially all of its U.S. subsidiaries. The Company paid $7 in issuance costs that will be amortized over the term of the notes.</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months ended March 31, 2022 and 2021 were as follows:</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right"/>
              <w:ind w:right="35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00" w:type="dxa"/>
            <w:vAlign w:val="bottom"/>
            <w:gridSpan w:val="2"/>
          </w:tcPr>
          <w:p>
            <w:pPr>
              <w:spacing w:after="0" w:line="182" w:lineRule="exact"/>
              <w:rPr>
                <w:sz w:val="20"/>
                <w:szCs w:val="20"/>
                <w:color w:val="auto"/>
              </w:rPr>
            </w:pPr>
            <w:r>
              <w:rPr>
                <w:rFonts w:ascii="Arial" w:cs="Arial" w:eastAsia="Arial" w:hAnsi="Arial"/>
                <w:sz w:val="18"/>
                <w:szCs w:val="18"/>
                <w:color w:val="auto"/>
              </w:rPr>
              <w:t>Pension benefits – U.S. plans</w:t>
            </w: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tbl>
      <w:tblPr>
        <w:tblLayout w:type="fixed"/>
        <w:tblInd w:w="65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40" w:type="dxa"/>
            <w:vAlign w:val="bottom"/>
            <w:gridSpan w:val="4"/>
          </w:tcPr>
          <w:p>
            <w:pPr>
              <w:ind w:left="820"/>
              <w:spacing w:after="0"/>
              <w:rPr>
                <w:sz w:val="20"/>
                <w:szCs w:val="20"/>
                <w:color w:val="auto"/>
              </w:rPr>
            </w:pPr>
            <w:r>
              <w:rPr>
                <w:rFonts w:ascii="Arial" w:cs="Arial" w:eastAsia="Arial" w:hAnsi="Arial"/>
                <w:sz w:val="18"/>
                <w:szCs w:val="18"/>
                <w:b w:val="1"/>
                <w:bCs w:val="1"/>
                <w:color w:val="auto"/>
              </w:rPr>
              <w:t>Crown Holdings, Inc.</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0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51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Recognized net loss</w:t>
            </w:r>
          </w:p>
        </w:tc>
        <w:tc>
          <w:tcPr>
            <w:tcW w:w="1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79"/>
              </w:rPr>
              <w:t>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7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47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52"/>
        <w:spacing w:after="0" w:line="242" w:lineRule="auto"/>
        <w:rPr>
          <w:sz w:val="20"/>
          <w:szCs w:val="20"/>
          <w:color w:val="auto"/>
        </w:rPr>
      </w:pPr>
      <w:r>
        <w:rPr>
          <w:rFonts w:ascii="Arial" w:cs="Arial" w:eastAsia="Arial" w:hAnsi="Arial"/>
          <w:sz w:val="17"/>
          <w:szCs w:val="17"/>
          <w:color w:val="auto"/>
        </w:rPr>
        <w:t>In October 2021, the trustees of the Company's U.K. defined benefit pension plan (the "Plan") entered into a transaction to fully insure all of its U.K. pension liabilities. In 2021, the Company made a cash contribution of $271 to enable the Plan to purchase a bulk annuity insurance contract for the benefit of the Plan participants. The Company recorded a settlement charge of $1,511 in the fourth quarter of 2021, upon irrevocable transfer of the Plan's obligations. The Company expects $175 of the cash contribution to be repaid as the Plan sells its remaining illiquid assets. The Company was reimbursed $55 in the fourth quarter of 2021 and $24 in the first quarter of 2022.</w:t>
      </w:r>
    </w:p>
    <w:p>
      <w:pPr>
        <w:spacing w:after="0" w:line="216"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ind w:left="172"/>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52"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4"/>
          </w:tcPr>
          <w:p>
            <w:pPr>
              <w:jc w:val="center"/>
              <w:ind w:left="17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Details about accumulated other</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color w:val="auto"/>
                <w:w w:val="92"/>
              </w:rPr>
              <w:t>March 31,</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vMerge w:val="restart"/>
          </w:tcPr>
          <w:p>
            <w:pPr>
              <w:ind w:left="260"/>
              <w:spacing w:after="0"/>
              <w:rPr>
                <w:sz w:val="20"/>
                <w:szCs w:val="20"/>
                <w:color w:val="auto"/>
              </w:rPr>
            </w:pPr>
            <w:r>
              <w:rPr>
                <w:rFonts w:ascii="Arial" w:cs="Arial" w:eastAsia="Arial" w:hAnsi="Arial"/>
                <w:sz w:val="18"/>
                <w:szCs w:val="18"/>
                <w:color w:val="auto"/>
              </w:rPr>
              <w:t>Affected line items in the</w:t>
            </w:r>
          </w:p>
        </w:tc>
        <w:tc>
          <w:tcPr>
            <w:tcW w:w="0" w:type="dxa"/>
            <w:vAlign w:val="bottom"/>
          </w:tcPr>
          <w:p>
            <w:pPr>
              <w:spacing w:after="0"/>
              <w:rPr>
                <w:sz w:val="1"/>
                <w:szCs w:val="1"/>
                <w:color w:val="auto"/>
              </w:rPr>
            </w:pPr>
          </w:p>
        </w:tc>
      </w:tr>
      <w:tr>
        <w:trPr>
          <w:trHeight w:val="155"/>
        </w:trPr>
        <w:tc>
          <w:tcPr>
            <w:tcW w:w="3160" w:type="dxa"/>
            <w:vAlign w:val="bottom"/>
            <w:gridSpan w:val="2"/>
            <w:vMerge w:val="continue"/>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comprehensive income components</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169"/>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Prior service credit</w:t>
            </w:r>
          </w:p>
        </w:tc>
        <w:tc>
          <w:tcPr>
            <w:tcW w:w="6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90"/>
              </w:rPr>
              <w:t>(7)</w:t>
            </w:r>
          </w:p>
        </w:tc>
        <w:tc>
          <w:tcPr>
            <w:tcW w:w="140" w:type="dxa"/>
            <w:vAlign w:val="bottom"/>
          </w:tcPr>
          <w:p>
            <w:pPr>
              <w:spacing w:after="0"/>
              <w:rPr>
                <w:sz w:val="15"/>
                <w:szCs w:val="15"/>
                <w:color w:val="auto"/>
              </w:rPr>
            </w:pPr>
          </w:p>
        </w:tc>
        <w:tc>
          <w:tcPr>
            <w:tcW w:w="2320" w:type="dxa"/>
            <w:vAlign w:val="bottom"/>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3"/>
                <w:szCs w:val="13"/>
                <w:color w:val="auto"/>
              </w:rPr>
            </w:pPr>
          </w:p>
        </w:tc>
        <w:tc>
          <w:tcPr>
            <w:tcW w:w="2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from continuing</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before taxes</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(3)</w:t>
            </w: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155"/>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6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3"/>
                <w:szCs w:val="13"/>
                <w:color w:val="auto"/>
              </w:rPr>
            </w:pPr>
          </w:p>
        </w:tc>
        <w:tc>
          <w:tcPr>
            <w:tcW w:w="2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from continuing</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gridSpan w:val="2"/>
            <w:vMerge w:val="continue"/>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92" w:hanging="392"/>
        <w:spacing w:after="0"/>
        <w:tabs>
          <w:tab w:leader="none" w:pos="39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jc w:val="both"/>
        <w:ind w:left="652"/>
        <w:spacing w:after="0" w:line="272" w:lineRule="auto"/>
        <w:rPr>
          <w:sz w:val="20"/>
          <w:szCs w:val="20"/>
          <w:color w:val="auto"/>
        </w:rPr>
      </w:pPr>
      <w:r>
        <w:rPr>
          <w:rFonts w:ascii="Arial" w:cs="Arial" w:eastAsia="Arial" w:hAnsi="Arial"/>
          <w:sz w:val="17"/>
          <w:szCs w:val="17"/>
          <w:color w:val="auto"/>
        </w:rPr>
        <w:t>On December 9, 2021, the Company's Board of Directors authorized the repurchase of an aggregate amount of $3,000 of Company common stock through the end of 2024. The new authorization supersedes the previous authorization announced in February 2021, which authorized the repurchase of an aggregate amount of $1,500 of Company common stock through the end of 2023.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$350 of its shares during the three months ended March 31, 2022 and $950 of its shares during the twelve months ended December 31, 2021.</w:t>
      </w: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19" w:name="page20"/>
    <w:bookmarkEnd w:id="19"/>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52" w:right="20"/>
        <w:spacing w:after="0" w:line="342" w:lineRule="auto"/>
        <w:rPr>
          <w:sz w:val="20"/>
          <w:szCs w:val="20"/>
          <w:color w:val="auto"/>
        </w:rPr>
      </w:pPr>
      <w:r>
        <w:rPr>
          <w:rFonts w:ascii="Arial" w:cs="Arial" w:eastAsia="Arial" w:hAnsi="Arial"/>
          <w:sz w:val="16"/>
          <w:szCs w:val="16"/>
          <w:color w:val="auto"/>
        </w:rPr>
        <w:t>For the three months ended March 31, 2022, the Company declared and paid cash dividends of $0.22 per share. Additionally, on April 28, 2022, the Company's Board of Directors declared a dividend of $0.22 per share payable on May 26, 2022 to shareholders of record as of May 12, 2022.</w:t>
      </w:r>
    </w:p>
    <w:p>
      <w:pPr>
        <w:spacing w:after="0" w:line="390" w:lineRule="exact"/>
        <w:rPr>
          <w:sz w:val="20"/>
          <w:szCs w:val="20"/>
          <w:color w:val="auto"/>
        </w:rPr>
      </w:pPr>
    </w:p>
    <w:p>
      <w:pPr>
        <w:ind w:left="352" w:hanging="352"/>
        <w:spacing w:after="0"/>
        <w:tabs>
          <w:tab w:leader="none" w:pos="3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262" w:lineRule="exact"/>
        <w:rPr>
          <w:sz w:val="20"/>
          <w:szCs w:val="20"/>
          <w:color w:val="auto"/>
        </w:rPr>
      </w:pPr>
    </w:p>
    <w:tbl>
      <w:tblPr>
        <w:tblLayout w:type="fixed"/>
        <w:tblInd w:w="652"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8">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21" w:lineRule="exact"/>
        <w:rPr>
          <w:sz w:val="20"/>
          <w:szCs w:val="20"/>
          <w:color w:val="auto"/>
        </w:rPr>
      </w:pPr>
    </w:p>
    <w:p>
      <w:pPr>
        <w:ind w:left="412" w:hanging="412"/>
        <w:spacing w:after="0"/>
        <w:tabs>
          <w:tab w:leader="none" w:pos="4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For the three months ended March 31, 2022 and 2021, the Company recognized revenue as follows:</w:t>
      </w:r>
    </w:p>
    <w:p>
      <w:pPr>
        <w:spacing w:after="0" w:line="225"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652" w:type="dxa"/>
        <w:tblCellMar>
          <w:top w:w="0" w:type="dxa"/>
          <w:left w:w="0" w:type="dxa"/>
          <w:bottom w:w="0" w:type="dxa"/>
          <w:right w:w="0" w:type="dxa"/>
        </w:tblCellMar>
      </w:tblP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1">
        <w:r>
          <w:rPr>
            <w:rFonts w:ascii="Arial" w:cs="Arial" w:eastAsia="Arial" w:hAnsi="Arial"/>
            <w:sz w:val="18"/>
            <w:szCs w:val="18"/>
            <w:u w:val="single" w:color="auto"/>
            <w:color w:val="0000FF"/>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jc w:val="both"/>
        <w:ind w:left="652"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jc w:val="both"/>
        <w:ind w:left="652"/>
        <w:spacing w:after="0" w:line="257"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$33 and $23 as of March 31, 2022 and December 31, 2021 included in prepaid and other current assets. During the three months ended March 31, 2022, the Company satisfied performance obligations related to contract assets at December 31, 2021 and also recorded new contract assets primarily related to work in process for the equipment business.</w:t>
      </w: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computations of basic and diluted earnings per share attributable to the Company.</w:t>
      </w:r>
    </w:p>
    <w:p>
      <w:pPr>
        <w:spacing w:after="0" w:line="7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9"/>
                <w:szCs w:val="19"/>
                <w:color w:val="auto"/>
              </w:rPr>
            </w:pPr>
          </w:p>
        </w:tc>
      </w:tr>
      <w:tr>
        <w:trPr>
          <w:trHeight w:val="230"/>
        </w:trPr>
        <w:tc>
          <w:tcPr>
            <w:tcW w:w="6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4"/>
              </w:rPr>
              <w:t>March 31,</w:t>
            </w:r>
          </w:p>
        </w:tc>
        <w:tc>
          <w:tcPr>
            <w:tcW w:w="40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19"/>
                <w:szCs w:val="19"/>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from discontinued operations attributable to Crown Holdings</w:t>
            </w: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558038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0380" cy="14605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55803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0380" cy="14605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Dilutive stock options and restricted stock</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22860</wp:posOffset>
            </wp:positionV>
            <wp:extent cx="55803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0380" cy="163195"/>
                    </a:xfrm>
                    <a:prstGeom prst="rect">
                      <a:avLst/>
                    </a:prstGeom>
                    <a:noFill/>
                  </pic:spPr>
                </pic:pic>
              </a:graphicData>
            </a:graphic>
          </wp:anchor>
        </w:drawing>
      </w:r>
    </w:p>
    <w:p>
      <w:pPr>
        <w:spacing w:after="0" w:line="272" w:lineRule="exact"/>
        <w:rPr>
          <w:sz w:val="20"/>
          <w:szCs w:val="20"/>
          <w:color w:val="auto"/>
        </w:rPr>
      </w:pPr>
    </w:p>
    <w:p>
      <w:pPr>
        <w:ind w:left="680" w:right="920"/>
        <w:spacing w:after="0" w:line="275" w:lineRule="auto"/>
        <w:rPr>
          <w:sz w:val="20"/>
          <w:szCs w:val="20"/>
          <w:color w:val="auto"/>
        </w:rPr>
      </w:pPr>
      <w:r>
        <w:rPr>
          <w:rFonts w:ascii="Arial" w:cs="Arial" w:eastAsia="Arial" w:hAnsi="Arial"/>
          <w:sz w:val="18"/>
          <w:szCs w:val="18"/>
          <w:color w:val="auto"/>
        </w:rPr>
        <w:t>Earnings per common share attributable to Crown Holdings: Basic earnings per common share from continuing operations Basic earnings per common share from discontinued operations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-455295</wp:posOffset>
            </wp:positionV>
            <wp:extent cx="55803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0380" cy="1460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-163830</wp:posOffset>
            </wp:positionV>
            <wp:extent cx="55803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0380" cy="171450"/>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Diluted earnings per common share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-115570</wp:posOffset>
            </wp:positionV>
            <wp:extent cx="55803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0380" cy="14541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Diluted earnings per common share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55803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0380" cy="17145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Diluted earnings per share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714"/>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52"/>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720"/>
            <w:col w:w="4340"/>
          </w:cols>
          <w:pgMar w:left="320" w:top="121" w:right="339" w:bottom="1440" w:gutter="0" w:footer="0" w:header="0"/>
          <w:type w:val="continuous"/>
        </w:sectPr>
      </w:pPr>
    </w:p>
    <w:p>
      <w:pPr>
        <w:spacing w:after="0" w:line="12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three months ended March 31, 2022, 0.1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The Company evaluates performance and allocates resources based on segment income, which is not a defined term under GAAP. The Company defines segment income as income from operations adjusted to exclude intangibles amortization charges, Restructuring and Other and the impact of fair value adjustments to inventory acquired in an acquisition. Segment income should not be considered in isolation or as a substitute for net income prepared in accordance with GAAP and may not be comparable to calculations of similarly titled measures by other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9"/>
              </w:rPr>
              <w:t>External Sales</w:t>
            </w:r>
          </w:p>
        </w:tc>
      </w:tr>
      <w:tr>
        <w:trPr>
          <w:trHeight w:val="222"/>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sources of revenue included in Other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320" w:type="dxa"/>
            <w:vAlign w:val="bottom"/>
            <w:tcBorders>
              <w:bottom w:val="single" w:sz="8" w:color="auto"/>
            </w:tcBorders>
          </w:tcPr>
          <w:p>
            <w:pPr>
              <w:spacing w:after="0"/>
              <w:rPr>
                <w:sz w:val="20"/>
                <w:szCs w:val="20"/>
                <w:color w:val="auto"/>
              </w:rPr>
            </w:pPr>
          </w:p>
        </w:tc>
      </w:tr>
      <w:tr>
        <w:trPr>
          <w:trHeight w:val="222"/>
        </w:trPr>
        <w:tc>
          <w:tcPr>
            <w:tcW w:w="4600" w:type="dxa"/>
            <w:vAlign w:val="bottom"/>
          </w:tcPr>
          <w:p>
            <w:pPr>
              <w:spacing w:after="0"/>
              <w:rPr>
                <w:sz w:val="19"/>
                <w:szCs w:val="19"/>
                <w:color w:val="auto"/>
              </w:rPr>
            </w:pPr>
          </w:p>
        </w:tc>
        <w:tc>
          <w:tcPr>
            <w:tcW w:w="210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92"/>
              </w:rPr>
              <w:t>March 31,</w:t>
            </w:r>
          </w:p>
        </w:tc>
        <w:tc>
          <w:tcPr>
            <w:tcW w:w="32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cans, ends and parts and equipment used in the manufacturing process.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0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9"/>
              </w:rPr>
              <w:t>Segment Income</w:t>
            </w:r>
          </w:p>
        </w:tc>
        <w:tc>
          <w:tcPr>
            <w:tcW w:w="360" w:type="dxa"/>
            <w:vAlign w:val="bottom"/>
            <w:tcBorders>
              <w:bottom w:val="single" w:sz="8" w:color="auto"/>
            </w:tcBorders>
          </w:tcPr>
          <w:p>
            <w:pPr>
              <w:spacing w:after="0"/>
              <w:rPr>
                <w:sz w:val="20"/>
                <w:szCs w:val="20"/>
                <w:color w:val="auto"/>
              </w:rPr>
            </w:pPr>
          </w:p>
        </w:tc>
      </w:tr>
      <w:tr>
        <w:trPr>
          <w:trHeight w:val="222"/>
        </w:trPr>
        <w:tc>
          <w:tcPr>
            <w:tcW w:w="4600" w:type="dxa"/>
            <w:vAlign w:val="bottom"/>
          </w:tcPr>
          <w:p>
            <w:pPr>
              <w:spacing w:after="0"/>
              <w:rPr>
                <w:sz w:val="19"/>
                <w:szCs w:val="19"/>
                <w:color w:val="auto"/>
              </w:rPr>
            </w:pPr>
          </w:p>
        </w:tc>
        <w:tc>
          <w:tcPr>
            <w:tcW w:w="206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50"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March 31,</w:t>
      </w:r>
    </w:p>
    <w:p>
      <w:pPr>
        <w:sectPr>
          <w:pgSz w:w="11900" w:h="16838" w:orient="portrait"/>
          <w:cols w:equalWidth="0" w:num="1">
            <w:col w:w="10580"/>
          </w:cols>
          <w:pgMar w:left="980" w:top="121" w:right="339" w:bottom="1440" w:gutter="0" w:footer="0" w:header="0"/>
        </w:sectPr>
      </w:pPr>
    </w:p>
    <w:p>
      <w:pPr>
        <w:spacing w:after="0" w:line="265" w:lineRule="exact"/>
        <w:rPr>
          <w:sz w:val="20"/>
          <w:szCs w:val="20"/>
          <w:color w:val="auto"/>
        </w:rPr>
      </w:pPr>
    </w:p>
    <w:p>
      <w:pPr>
        <w:ind w:left="660" w:right="100"/>
        <w:spacing w:after="0" w:line="274" w:lineRule="auto"/>
        <w:rPr>
          <w:sz w:val="20"/>
          <w:szCs w:val="20"/>
          <w:color w:val="auto"/>
        </w:rPr>
      </w:pPr>
      <w:r>
        <w:rPr>
          <w:rFonts w:ascii="Arial" w:cs="Arial" w:eastAsia="Arial" w:hAnsi="Arial"/>
          <w:sz w:val="18"/>
          <w:szCs w:val="18"/>
          <w:color w:val="auto"/>
        </w:rPr>
        <w:t>Segment income of reportable segments Segment income of other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items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and other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intangibles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pension and postretirement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ind w:left="20" w:firstLine="648"/>
        <w:spacing w:after="0" w:line="288" w:lineRule="auto"/>
        <w:rPr>
          <w:sz w:val="20"/>
          <w:szCs w:val="20"/>
          <w:color w:val="auto"/>
        </w:rPr>
      </w:pPr>
      <w:r>
        <w:rPr>
          <w:rFonts w:ascii="Arial" w:cs="Arial" w:eastAsia="Arial" w:hAnsi="Arial"/>
          <w:sz w:val="16"/>
          <w:szCs w:val="16"/>
          <w:color w:val="auto"/>
        </w:rPr>
        <w:t>Income from continuing operations before taxes and equity in net earnings of affiliates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2"/>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68"/>
        </w:trPr>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-1593850</wp:posOffset>
            </wp:positionV>
            <wp:extent cx="47320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32020" cy="1543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-1293495</wp:posOffset>
            </wp:positionV>
            <wp:extent cx="47320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320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-1002030</wp:posOffset>
            </wp:positionV>
            <wp:extent cx="47320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320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-710565</wp:posOffset>
            </wp:positionV>
            <wp:extent cx="47320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320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-419100</wp:posOffset>
            </wp:positionV>
            <wp:extent cx="47320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32020" cy="14541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3660" w:space="40"/>
            <w:col w:w="6880"/>
          </w:cols>
          <w:pgMar w:left="980" w:top="121" w:right="339" w:bottom="1440" w:gutter="0" w:footer="0" w:header="0"/>
          <w:type w:val="continuous"/>
        </w:sectPr>
      </w:pP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2022 and 2021, intercompany profits of $4 and $2 were eliminated within segment income of other segments.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months ended March 31, 2022 compared to 2021 and changes in financial condition and liquidity from December 31, 2021. This discussion should be read in conjunction with the consolidated financial statements and notes thereto included in the Company's Annual Report on Form 10-K for the year ended December 31, 2021,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capital allocation strategy also focuses on reducing leverage and returning capital to shareholders in the form of dividends and the repurchase of Company shares. In December 2021, the Board of Directors authorized the repurchase of $3.0 billion in Company common stock through the end of 2024.</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continues to actively elevate its commitment to sustainability, which is a core value of the Company. In 2020, the Company debuted Twentyby30, a robust program that outlines twenty measurable, science based, environmental, social and governance goals to be completed by 2030 or sooner. In September 2021, the Company joined The Climate Pledge, a commitment to be net-zero carbon across business operations by 2040.</w:t>
      </w:r>
    </w:p>
    <w:p>
      <w:pPr>
        <w:spacing w:after="0" w:line="21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response to the ongoing COVID-19 pandemic, the Company continues to maintain safety measures in its manufacturing facilities to protect its employees and the products they produce. 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201"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To date the war between Russia and the Ukraine has not had a material impact on the Company's business, financial condition or results of operations. However, the Company may experience shortages in materials and increased costs for transportation, energy, and raw material due in part to the negative impact of the Russia-Ukraine war on the global economy.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Beverage segment, the Chinese renminbi and the Thai baht in the Company's Asia Pacific segment and the euro in the Company's Transit Packaging segment. The Company calculates the impact of foreign currency translation by multiplying or dividing, as appropriate, current year U.S. dollar results by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4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current year average foreign exchange rates and then multiplying or dividing, as appropriate, those amounts by the applicable prior year average exchange rates.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54"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4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r>
    </w:tbl>
    <w:p>
      <w:pPr>
        <w:spacing w:after="0" w:line="200" w:lineRule="exact"/>
        <w:rPr>
          <w:sz w:val="20"/>
          <w:szCs w:val="20"/>
          <w:color w:val="auto"/>
        </w:rPr>
      </w:pPr>
    </w:p>
    <w:p>
      <w:pPr>
        <w:spacing w:after="0" w:line="36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primarily due to the pass-through of higher material costs across each of the Company's businesses and higher sales unit volumes in the Company's European and Asia Pacific beverage can businesses, partially offset by $42 from the impact of unfavorable foreign currency translation for the three months ended March 31, 2022.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at a new two-line plant in Bowling Green, Kentucky in the second quarter of 2021 and on a third line at its Olympia, Washington plant in the third quarter of 2021. The Company also announced construction of a new two-line plant in Martinsville, Virginia which is expected to commence operations late in 2022 and a new two-line plant in Mesquite, Nevada which is expected to commence operations in 2023.</w:t>
      </w:r>
    </w:p>
    <w:p>
      <w:pPr>
        <w:spacing w:after="0" w:line="20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December 2021, the Bowling Green plant sustained tornado damage, resulting in curtailment of operations of the plant. The Company resumed operations in March 2022. However, it will continue to incur incremental costs, including freight and warehousing expenses, to meet customer demand as the plant returns to full operational capacity and during a shut-down period expected in the back half of 2022 to complete final repairs to the plant. The Company has property and business interruption insurance policies for weather related events that include these incremental expenses. The Company recognizes insurance recoveries for incremental costs incurred as the recoveries become probable. The plant is expected to be at full operational capacity by the end of the fourth quarter 2022.</w:t>
      </w:r>
    </w:p>
    <w:p>
      <w:pPr>
        <w:spacing w:after="0" w:line="20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To meet volume requirements in these markets, the Company began commercial production on a second line at its Rio Verde, Brazil facility in 2021. The Company has also begun construction of a two-line facility in Uberaba, Brazil which is expected to begin production in 2022. Additionally, production on a second line at the Company's Monterrey, Mexico facility started in April 2022.</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r>
    </w:tbl>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Net sales increased primarily due to the pass-through of higher aluminum costs, partially offset by 23% lower sales unit volumes in Brazil.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lower sales unit volumes in Brazil, operating costs that were not fully passed through in selling price, and approximately $20 from incremental costs and lost profits associated with the Bowling Green tornado during the three months ended March 31, 2022 and $4 of increased depreciation associated with recent capacity additions.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The Company has announced construction of a new plant in Peterborough, U.K. and a new can line in the Agoncillo, Spain plant which are expected to commence operations during the first quarter of 2023.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32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and 6% higher sales unit volumes partially offset by $16 from the impact of unfavorable foreign currency translation.</w:t>
      </w:r>
    </w:p>
    <w:p>
      <w:pPr>
        <w:spacing w:after="0" w:line="19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Segment income decreased primarily due to inflation on operating costs that were not fully passed through in selling price and $3 from the impact of unfavorable foreign currency translation, partially offset by higher sales unit volumes.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48"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The Company began commercial production at a new beverage can plant in Vung Tau, Vietnam during the third quarter of 2021 and on a second line in the Hanoi, Vietnam beverage can plant in 2021. Additionally, the Company expects to commercialize production on a fifth line across two plants in Phnom Penh, Cambodia during 2022.</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32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due to the pass-through of higher raw material costs and 20% higher sales unit volumes in Vietnam as coronavirus pandemic restrictions ease, partially offset by $8 from the impact of unfavorable foreign currency translation.</w:t>
      </w:r>
    </w:p>
    <w:p>
      <w:pPr>
        <w:spacing w:after="0" w:line="19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Segment income was comparable as higher sales unit volumes were partially offset by higher operating costs that were not fully passed through in selling price.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Transit Packaging segment includes the Company's global industrial and protective solutions and equipment and tools businesses. Industrial and protective solutions includes steel strap, plastic strap and industrial film and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30" w:lineRule="auto"/>
        <w:rPr>
          <w:sz w:val="20"/>
          <w:szCs w:val="20"/>
          <w:color w:val="auto"/>
        </w:rPr>
      </w:pPr>
      <w:r>
        <w:rPr>
          <w:rFonts w:ascii="Arial" w:cs="Arial" w:eastAsia="Arial" w:hAnsi="Arial"/>
          <w:sz w:val="18"/>
          <w:szCs w:val="18"/>
          <w:color w:val="auto"/>
        </w:rPr>
        <w:t>related products that are used in a wide range of industries, and transit protection products used for a wide range of industrial and consumer products. Equipment and tools includes manual, semi-automatic and automatic equipment and tools used in end-of-line operations to apply industrial solutions consumables.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32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Net sales increased primarily due to the pass-through of higher raw material costs and higher sales unit volumes partially offset by $19 from the impact of unfavorable foreign currency translation.</w:t>
      </w:r>
    </w:p>
    <w:p>
      <w:pPr>
        <w:spacing w:after="0" w:line="197"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Segment income decreased primarily due to inflation on operating costs that were not fully passed through in selling price and $3 from the unfavorable impact of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w:t>
      </w:r>
    </w:p>
    <w:p>
      <w:pPr>
        <w:spacing w:after="0" w:line="25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Other includes the Company's food can, aerosol can and closures businesses in North America, and beverage tooling and equipment operations in the U.S. and U.K. In 2021, the Company commenced operations at a new food can plant in Dubuque, Iowa and on a new food can line in its Hanover, Pennsylvania plant. Additionally, the Company will add a third two-piece food can line to its Owatonna, Minnesota plant in 2022.</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sales and segment income in Other were as follows: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99"/>
        </w:trPr>
        <w:tc>
          <w:tcPr>
            <w:tcW w:w="4620" w:type="dxa"/>
            <w:vAlign w:val="bottom"/>
          </w:tcPr>
          <w:p>
            <w:pPr>
              <w:spacing w:after="0"/>
              <w:rPr>
                <w:sz w:val="24"/>
                <w:szCs w:val="24"/>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4"/>
                <w:szCs w:val="24"/>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30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tinplate costs in the Company's North America food can, aerosol can and closures businesses in North America.</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increased primarily due to increased profitability in the Company's North America food can, aerosol can and closures businesses due to higher self-made two-piece food can sales unit volumes, inflationary price increases and $35 arising from lower cost inventory from prior year-end.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Corporate and unallocated</w:t>
      </w:r>
    </w:p>
    <w:p>
      <w:pPr>
        <w:spacing w:after="0" w:line="297"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14605</wp:posOffset>
            </wp:positionV>
            <wp:extent cx="1491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 w:lineRule="exact"/>
        <w:rPr>
          <w:sz w:val="20"/>
          <w:szCs w:val="20"/>
          <w:color w:val="auto"/>
        </w:rPr>
      </w:pPr>
    </w:p>
    <w:p>
      <w:pPr>
        <w:ind w:left="5560"/>
        <w:spacing w:after="0"/>
        <w:tabs>
          <w:tab w:leader="none" w:pos="684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438023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3" w:lineRule="exact"/>
        <w:rPr>
          <w:sz w:val="20"/>
          <w:szCs w:val="20"/>
          <w:color w:val="auto"/>
        </w:rPr>
      </w:pPr>
    </w:p>
    <w:p>
      <w:pPr>
        <w:ind w:left="680"/>
        <w:spacing w:after="0"/>
        <w:tabs>
          <w:tab w:leader="none" w:pos="5200" w:val="left"/>
          <w:tab w:leader="none" w:pos="5940" w:val="left"/>
          <w:tab w:leader="none" w:pos="6520" w:val="left"/>
          <w:tab w:leader="none" w:pos="7200" w:val="left"/>
        </w:tabs>
        <w:rPr>
          <w:sz w:val="20"/>
          <w:szCs w:val="20"/>
          <w:color w:val="auto"/>
        </w:rPr>
      </w:pPr>
      <w:r>
        <w:rPr>
          <w:rFonts w:ascii="Arial" w:cs="Arial" w:eastAsia="Arial" w:hAnsi="Arial"/>
          <w:sz w:val="18"/>
          <w:szCs w:val="18"/>
          <w:color w:val="auto"/>
        </w:rPr>
        <w:t>Corporate and unallocated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(39)</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for the three months ended March 31, 2022 compared to 2021.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months ended March 31, 2022 compared to 2021, interest expense decreased from $69 to $54 due to lower outstanding debt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Equity in net earnings of affiliates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months ended March 31, 2022 compared to 2021, equity in net earnings of affiliates increased from $2 to $17. In August 2021, the Company completed the sale of its European Tinplate business and received a 20% ownership interest in the business which is reported in equity in net earnings of affiliates.</w:t>
      </w:r>
    </w:p>
    <w:p>
      <w:pPr>
        <w:spacing w:after="0" w:line="207"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Cash used for operating activities decreased from $385 for the three months ended March 31, 2021 to $301 for the three months ended March 31, 2022. The decrease in cash used for operating activities was primarily due to changes in working capital and $24 received for partial reimbursement of the contribution made in 2021 to fully settle the U.K. pension plan obligation. See </w:t>
      </w:r>
      <w:hyperlink w:anchor="page18">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regarding the settlement of the U.K. pension plan obligation.</w:t>
      </w:r>
    </w:p>
    <w:p>
      <w:pPr>
        <w:spacing w:after="0" w:line="21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increased from 37 days as of March 31, 2021 to 41 days as of March 31,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turnover increased from 58 days at March 31, 2021 to 65 days at March 31,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 outstanding for trade payables increased from 82 days at March 31, 2021 to 97 days at March 31, 2022.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for investing activities was comparable for the three months ended March 31, 2022 compared to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2022 to be approximately $1 billion.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Financing activities used cash of $55 for the three months ended March 31, 2021 and provided cash of $321 for the three months ended March 31, 2022.</w:t>
      </w:r>
    </w:p>
    <w:p>
      <w:pPr>
        <w:spacing w:after="0" w:line="197"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 had higher net borrowings in 2022 primarily from the issuance of $500 principal amount of 5.250% senior unsecured notes due 2030. See </w:t>
      </w:r>
      <w:hyperlink w:anchor="page17">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Additionally, during the three months ended March 31, 2022, the Company repurchased $350 of common stock.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March 31, 2022, the Company had cash and cash equivalents of $389. As of March 31, 2022, $335 of the Company's $389 of cash and cash equivalents was located outside the U.S. The Company funds its cash needs in the</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$287 was held by subsidiaries for which earnings are considered indefinitely reinvested.</w:t>
      </w:r>
    </w:p>
    <w:p>
      <w:pPr>
        <w:spacing w:after="0" w:line="211"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As of March 31, 2022, the Company had $1,403 of borrowing capacity available under its revolving credit facility, equal to the total facility of $1,650 less outstanding standby letters of credit of $68 and $179 of credit facility borrowings. The Company could have borrowed this amount at March 31, 2022 and still have been in compliance with its leverage ratio covenants. The Company's net total leverage ratio, as defined by the credit agreement, of 3.35 to 1.0 at March 31, 2022 was in compliance with the covenant requiring a ratio of no greater than 5.0 to 1.0. The required net total leverage ratio under the agreement reduces to 4.5 to 1.0 at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4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March 31, 2022, the Company's €335 ($371) 2.25% senior notes and its €550 ($609) 0.75% senior notes both due in February 2023 were classified as current maturities of long-term debt. The Company expects to have sufficient liquidity to refinance the senior notes or repay them at maturity.</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2022, the Company amended its securitization facility to increase the program limit from $500 to $700. This securitization facility expires in July 2023.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2022, the Company had approximately $126 of capital commitments primarily related to its Americas Beverage segment. The Company expects to fund these commitments primarily through cash flows from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2021,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w:t>
      </w:r>
    </w:p>
    <w:p>
      <w:pPr>
        <w:spacing w:after="0" w:line="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LLC, Crown Americas Capital Corp. IV, Crown Americas Capital Corp. V, Crown Americas Capital Corp. VI, the Parent, and substantially all of the Company’s subsidiaries in the United States.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4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8"/>
                <w:szCs w:val="18"/>
                <w:color w:val="auto"/>
                <w:w w:val="92"/>
              </w:rPr>
              <w:t>March 31, 2022</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(14)</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Net income attributable to Crown Holdings</w:t>
            </w:r>
            <w:r>
              <w:rPr>
                <w:rFonts w:ascii="Arial" w:cs="Arial" w:eastAsia="Arial" w:hAnsi="Arial"/>
                <w:sz w:val="23"/>
                <w:szCs w:val="23"/>
                <w:color w:val="auto"/>
                <w:w w:val="96"/>
                <w:vertAlign w:val="superscript"/>
              </w:rPr>
              <w:t>1</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6380" w:type="dxa"/>
            <w:vAlign w:val="bottom"/>
            <w:gridSpan w:val="6"/>
          </w:tcPr>
          <w:p>
            <w:pPr>
              <w:spacing w:after="0"/>
              <w:rPr>
                <w:sz w:val="20"/>
                <w:szCs w:val="20"/>
                <w:color w:val="auto"/>
              </w:rPr>
            </w:pPr>
            <w:r>
              <w:rPr>
                <w:rFonts w:ascii="Arial" w:cs="Arial" w:eastAsia="Arial" w:hAnsi="Arial"/>
                <w:sz w:val="14"/>
                <w:szCs w:val="14"/>
                <w:color w:val="auto"/>
              </w:rPr>
              <w:t>(1) Includes $11 of expense related to intercompany interest with non-guarantor subsidiaries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1"/>
        </w:trPr>
        <w:tc>
          <w:tcPr>
            <w:tcW w:w="6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gridSpan w:val="3"/>
          </w:tcPr>
          <w:p>
            <w:pPr>
              <w:ind w:left="160"/>
              <w:spacing w:after="0"/>
              <w:rPr>
                <w:sz w:val="20"/>
                <w:szCs w:val="20"/>
                <w:color w:val="auto"/>
              </w:rPr>
            </w:pPr>
            <w:r>
              <w:rPr>
                <w:rFonts w:ascii="Arial" w:cs="Arial" w:eastAsia="Arial" w:hAnsi="Arial"/>
                <w:sz w:val="18"/>
                <w:szCs w:val="18"/>
                <w:color w:val="auto"/>
              </w:rPr>
              <w:t>March 31, 2022</w:t>
            </w:r>
          </w:p>
        </w:tc>
        <w:tc>
          <w:tcPr>
            <w:tcW w:w="260" w:type="dxa"/>
            <w:vAlign w:val="bottom"/>
          </w:tcPr>
          <w:p>
            <w:pPr>
              <w:spacing w:after="0"/>
              <w:rPr>
                <w:sz w:val="24"/>
                <w:szCs w:val="24"/>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23"/>
        </w:trPr>
        <w:tc>
          <w:tcPr>
            <w:tcW w:w="640" w:type="dxa"/>
            <w:vAlign w:val="bottom"/>
            <w:vMerge w:val="continue"/>
          </w:tcPr>
          <w:p>
            <w:pPr>
              <w:spacing w:after="0"/>
              <w:rPr>
                <w:sz w:val="19"/>
                <w:szCs w:val="19"/>
                <w:color w:val="auto"/>
              </w:rPr>
            </w:pPr>
          </w:p>
        </w:tc>
        <w:tc>
          <w:tcPr>
            <w:tcW w:w="3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00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800" w:type="dxa"/>
            <w:vAlign w:val="bottom"/>
          </w:tcPr>
          <w:p>
            <w:pPr>
              <w:spacing w:after="0"/>
              <w:rPr>
                <w:sz w:val="19"/>
                <w:szCs w:val="19"/>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Current</w:t>
            </w: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000" w:type="dxa"/>
            <w:vAlign w:val="bottom"/>
            <w:gridSpan w:val="3"/>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80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5,679</w:t>
            </w:r>
          </w:p>
        </w:tc>
        <w:tc>
          <w:tcPr>
            <w:tcW w:w="140" w:type="dxa"/>
            <w:vAlign w:val="bottom"/>
          </w:tcPr>
          <w:p>
            <w:pPr>
              <w:spacing w:after="0"/>
              <w:rPr>
                <w:sz w:val="24"/>
                <w:szCs w:val="24"/>
                <w:color w:val="auto"/>
              </w:rPr>
            </w:pP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Includes payables of $4,916 and $4,560 due to non-guarantor subsidiaries as of March 31, 2022 and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05"/>
        </w:trPr>
        <w:tc>
          <w:tcPr>
            <w:tcW w:w="6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Crown Americas Obligor Group</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9"/>
        </w:trPr>
        <w:tc>
          <w:tcPr>
            <w:tcW w:w="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color w:val="auto"/>
                <w:w w:val="97"/>
              </w:rPr>
              <w:t>Three Months Ended</w:t>
            </w:r>
          </w:p>
        </w:tc>
      </w:tr>
      <w:tr>
        <w:trPr>
          <w:trHeight w:val="230"/>
        </w:trPr>
        <w:tc>
          <w:tcPr>
            <w:tcW w:w="660" w:type="dxa"/>
            <w:vAlign w:val="bottom"/>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March 31, 2022</w:t>
            </w:r>
          </w:p>
        </w:tc>
      </w:tr>
      <w:tr>
        <w:trPr>
          <w:trHeight w:val="223"/>
        </w:trPr>
        <w:tc>
          <w:tcPr>
            <w:tcW w:w="660" w:type="dxa"/>
            <w:vAlign w:val="bottom"/>
          </w:tcPr>
          <w:p>
            <w:pPr>
              <w:spacing w:after="0"/>
              <w:rPr>
                <w:sz w:val="19"/>
                <w:szCs w:val="19"/>
                <w:color w:val="auto"/>
              </w:rPr>
            </w:pPr>
          </w:p>
        </w:tc>
        <w:tc>
          <w:tcPr>
            <w:tcW w:w="46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30"/>
        </w:trPr>
        <w:tc>
          <w:tcPr>
            <w:tcW w:w="660" w:type="dxa"/>
            <w:vAlign w:val="bottom"/>
          </w:tcPr>
          <w:p>
            <w:pPr>
              <w:spacing w:after="0"/>
              <w:rPr>
                <w:sz w:val="19"/>
                <w:szCs w:val="19"/>
                <w:color w:val="auto"/>
              </w:rPr>
            </w:pPr>
          </w:p>
        </w:tc>
        <w:tc>
          <w:tcPr>
            <w:tcW w:w="4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660" w:type="dxa"/>
            <w:vAlign w:val="bottom"/>
          </w:tcPr>
          <w:p>
            <w:pPr>
              <w:spacing w:after="0"/>
              <w:rPr>
                <w:sz w:val="19"/>
                <w:szCs w:val="19"/>
                <w:color w:val="auto"/>
              </w:rPr>
            </w:pPr>
          </w:p>
        </w:tc>
        <w:tc>
          <w:tcPr>
            <w:tcW w:w="4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60" w:type="dxa"/>
            <w:vAlign w:val="bottom"/>
          </w:tcPr>
          <w:p>
            <w:pPr>
              <w:spacing w:after="0"/>
              <w:rPr>
                <w:sz w:val="19"/>
                <w:szCs w:val="19"/>
                <w:color w:val="auto"/>
              </w:rPr>
            </w:pPr>
          </w:p>
        </w:tc>
        <w:tc>
          <w:tcPr>
            <w:tcW w:w="4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attributable to continuing operations</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60" w:type="dxa"/>
            <w:vAlign w:val="bottom"/>
          </w:tcPr>
          <w:p>
            <w:pPr>
              <w:spacing w:after="0"/>
              <w:rPr>
                <w:sz w:val="19"/>
                <w:szCs w:val="19"/>
                <w:color w:val="auto"/>
              </w:rPr>
            </w:pPr>
          </w:p>
        </w:tc>
        <w:tc>
          <w:tcPr>
            <w:tcW w:w="4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bl>
    <w:p>
      <w:pPr>
        <w:spacing w:after="0" w:line="76" w:lineRule="exact"/>
        <w:rPr>
          <w:sz w:val="20"/>
          <w:szCs w:val="20"/>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$122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$12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$7 of income related to intercompany interest and technology royalties with non-guarantor subsidiaries</w:t>
      </w:r>
    </w:p>
    <w:p>
      <w:pPr>
        <w:spacing w:after="0" w:line="200" w:lineRule="exact"/>
        <w:rPr>
          <w:sz w:val="20"/>
          <w:szCs w:val="20"/>
          <w:color w:val="auto"/>
        </w:rPr>
      </w:pPr>
    </w:p>
    <w:p>
      <w:pPr>
        <w:spacing w:after="0" w:line="3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6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31, 2022</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December 31, 2021</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1,286</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1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3,528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3,495</w:t>
            </w: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1,372</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304"/>
        </w:trPr>
        <w:tc>
          <w:tcPr>
            <w:tcW w:w="446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1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5,242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4,761</w:t>
            </w:r>
          </w:p>
        </w:tc>
      </w:tr>
    </w:tbl>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receivables of $43 and $48 due from non-guarantor subsidiaries as of March 31, 2022 and December 31, 2021</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receivables of $167 and $180 due from non-guarantor subsidiaries as of March 31, 2022 and December 31, 2021</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payables of $31 and $35 due to non-guarantor subsidiaries as of March 31, 2022 and December 31, 2021</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payables of $1,326 and $1,397 due to non-guarantor subsidiaries as of March 31, 2022 and December 31, 2021</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1">
        <w:r>
          <w:rPr>
            <w:rFonts w:ascii="Arial" w:cs="Arial" w:eastAsia="Arial" w:hAnsi="Arial"/>
            <w:sz w:val="18"/>
            <w:szCs w:val="18"/>
            <w:u w:val="single" w:color="auto"/>
            <w:color w:val="0000FF"/>
          </w:rPr>
          <w:t>Note I</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2021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Statements included herein, including, but not limited to, those in “Management's Discussion and Analysis of Financial Condition and Results of Operations” and in the discussions of asbestos in </w:t>
      </w:r>
      <w:hyperlink w:anchor="page9">
        <w:r>
          <w:rPr>
            <w:rFonts w:ascii="Arial" w:cs="Arial" w:eastAsia="Arial" w:hAnsi="Arial"/>
            <w:sz w:val="18"/>
            <w:szCs w:val="18"/>
            <w:u w:val="single" w:color="auto"/>
            <w:color w:val="0000FF"/>
          </w:rPr>
          <w:t>Note H</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commitments and contingencies in </w:t>
      </w:r>
      <w:hyperlink w:anchor="page11">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2021, which are not historical facts (including any statements concerning the direct or indirect impact of the COVID-19 pandemic, plans, the sale of the Company's European Tinplate business (including whether the sale will ultimately prove to be beneficial to the Company) and objectives of management for capacity additions, share repurchases, dividends, future operations or economic performance, or assumptions related thereto), are “forward-looking statements” within the meaning of the federal securities laws. In addition,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its representatives may, from time to time, make oral or written statements which are also “forward-looking statements.”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2021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March 31, 2022, see </w:t>
      </w:r>
      <w:hyperlink w:anchor="page12">
        <w:r>
          <w:rPr>
            <w:rFonts w:ascii="Arial" w:cs="Arial" w:eastAsia="Arial" w:hAnsi="Arial"/>
            <w:sz w:val="17"/>
            <w:szCs w:val="17"/>
            <w:u w:val="single" w:color="auto"/>
            <w:color w:val="0000FF"/>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2022, the Company had $1.6 billion principal floating interest rate debt. A change of 0.25% in these floating interest rates would change annual interest expense by approximately $4 million before tax.</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9">
        <w:r>
          <w:rPr>
            <w:rFonts w:ascii="Arial" w:cs="Arial" w:eastAsia="Arial" w:hAnsi="Arial"/>
            <w:sz w:val="18"/>
            <w:szCs w:val="18"/>
            <w:u w:val="single" w:color="auto"/>
            <w:color w:val="0000FF"/>
          </w:rPr>
          <w:t>Note H</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1">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2021.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6"/>
          <w:szCs w:val="16"/>
          <w:color w:val="auto"/>
        </w:rPr>
        <w:t>The following table provides information about the Company's purchases of equity securities during the three months ended March 31, 2022. The table excludes 146,857 shares surrendered to cover taxes on the vesting of restricted stock during the three months ended March 31, 2022.</w:t>
      </w:r>
    </w:p>
    <w:tbl>
      <w:tblPr>
        <w:tblLayout w:type="fixed"/>
        <w:tblInd w:w="660" w:type="dxa"/>
        <w:tblCellMar>
          <w:top w:w="0" w:type="dxa"/>
          <w:left w:w="0" w:type="dxa"/>
          <w:bottom w:w="0" w:type="dxa"/>
          <w:right w:w="0" w:type="dxa"/>
        </w:tblCellMar>
      </w:tblPr>
      <w:tr>
        <w:trPr>
          <w:trHeight w:val="177"/>
        </w:trPr>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9"/>
              </w:rPr>
              <w:t>Average</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0"/>
              </w:rPr>
              <w:t>Approximate dollar value of shares that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6"/>
              </w:rPr>
              <w:t>Total number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0"/>
              </w:rPr>
              <w:t>may yet be purchased under the programs</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91"/>
              </w:rPr>
              <w:t>price per</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as of the end of the period</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shares purchased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w:t>
            </w:r>
          </w:p>
        </w:tc>
        <w:tc>
          <w:tcPr>
            <w:tcW w:w="2020" w:type="dxa"/>
            <w:vAlign w:val="bottom"/>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right"/>
              <w:ind w:right="750"/>
              <w:spacing w:after="0"/>
              <w:rPr>
                <w:sz w:val="20"/>
                <w:szCs w:val="20"/>
                <w:color w:val="auto"/>
              </w:rPr>
            </w:pPr>
            <w:r>
              <w:rPr>
                <w:rFonts w:ascii="Arial" w:cs="Arial" w:eastAsia="Arial" w:hAnsi="Arial"/>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1,102,122</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1,102,122</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Arial" w:cs="Arial" w:eastAsia="Arial" w:hAnsi="Arial"/>
                <w:sz w:val="18"/>
                <w:szCs w:val="18"/>
                <w:color w:val="auto"/>
              </w:rPr>
              <w:t>February</w:t>
            </w:r>
          </w:p>
        </w:tc>
        <w:tc>
          <w:tcPr>
            <w:tcW w:w="1320" w:type="dxa"/>
            <w:vAlign w:val="bottom"/>
          </w:tcPr>
          <w:p>
            <w:pPr>
              <w:jc w:val="right"/>
              <w:spacing w:after="0"/>
              <w:rPr>
                <w:sz w:val="20"/>
                <w:szCs w:val="20"/>
                <w:color w:val="auto"/>
              </w:rPr>
            </w:pPr>
            <w:r>
              <w:rPr>
                <w:rFonts w:ascii="Arial" w:cs="Arial" w:eastAsia="Arial" w:hAnsi="Arial"/>
                <w:sz w:val="18"/>
                <w:szCs w:val="18"/>
                <w:color w:val="auto"/>
              </w:rPr>
              <w:t>1,271,458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117.47</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1,271,458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2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496,125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2,869,705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2,869,705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660" w:hanging="4"/>
        <w:spacing w:after="0" w:line="263" w:lineRule="auto"/>
        <w:tabs>
          <w:tab w:leader="none" w:pos="9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2021, the Company's Board of Directors authorized the repurchase of an aggregate amount of $3.0 billion of Company common stock through the end of 2024. Share repurchases under the Company's program may be made in the open market or through privately negotiated transactions, and at times and in such amounts as management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three months ended March 31, 2022.</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Submission of Matters to a Vote of Security Holders</w:t>
      </w:r>
    </w:p>
    <w:p>
      <w:pPr>
        <w:spacing w:after="0" w:line="256" w:lineRule="exact"/>
        <w:rPr>
          <w:sz w:val="20"/>
          <w:szCs w:val="20"/>
          <w:color w:val="auto"/>
        </w:rPr>
      </w:pPr>
    </w:p>
    <w:p>
      <w:pPr>
        <w:ind w:left="980" w:right="20" w:hanging="324"/>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held its Annual Meeting of Shareholders on April 28, 2022 (the “</w:t>
      </w:r>
      <w:r>
        <w:rPr>
          <w:rFonts w:ascii="Arial" w:cs="Arial" w:eastAsia="Arial" w:hAnsi="Arial"/>
          <w:sz w:val="17"/>
          <w:szCs w:val="17"/>
          <w:u w:val="single" w:color="auto"/>
          <w:color w:val="auto"/>
        </w:rPr>
        <w:t>Annual Meeting</w:t>
      </w:r>
      <w:r>
        <w:rPr>
          <w:rFonts w:ascii="Arial" w:cs="Arial" w:eastAsia="Arial" w:hAnsi="Arial"/>
          <w:sz w:val="17"/>
          <w:szCs w:val="17"/>
          <w:color w:val="auto"/>
        </w:rPr>
        <w:t>”). As of March 8, 2022, the record date for the meeting, 123,595,668 shares of Common Stock, par value $5.00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were issued and outstanding. A quorum of 109,160,212 shares of Common Stock were present or represented at the meeting.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individuals were nominated and elected to serve as directors: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Timothy J. Donahue, Richard H. Fearon, Andrea J. Funk, Stephen J. Hagge, James H. Miller, Josef M. Müller, B. Craig Owens, Caesar F.</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Sweitzer, Marsha C. Williams and Dwayne A. Wilson.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 Company’s Shareholders voted on the five matters below as follows:</w:t>
      </w:r>
    </w:p>
    <w:p>
      <w:pPr>
        <w:spacing w:after="0" w:line="252" w:lineRule="exact"/>
        <w:rPr>
          <w:sz w:val="20"/>
          <w:szCs w:val="20"/>
          <w:color w:val="auto"/>
        </w:rPr>
      </w:pPr>
    </w:p>
    <w:p>
      <w:pPr>
        <w:ind w:left="1280" w:hanging="636"/>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Shareholders elected the following directors pursuant to the following vote: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21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Directors</w:t>
            </w:r>
          </w:p>
        </w:tc>
        <w:tc>
          <w:tcPr>
            <w:tcW w:w="28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Votes</w:t>
            </w:r>
          </w:p>
        </w:tc>
        <w:tc>
          <w:tcPr>
            <w:tcW w:w="1740" w:type="dxa"/>
            <w:vAlign w:val="bottom"/>
            <w:gridSpan w:val="2"/>
          </w:tcPr>
          <w:p>
            <w:pPr>
              <w:ind w:left="200"/>
              <w:spacing w:after="0"/>
              <w:rPr>
                <w:sz w:val="20"/>
                <w:szCs w:val="20"/>
                <w:color w:val="auto"/>
              </w:rPr>
            </w:pPr>
            <w:r>
              <w:rPr>
                <w:rFonts w:ascii="Arial" w:cs="Arial" w:eastAsia="Arial" w:hAnsi="Arial"/>
                <w:sz w:val="18"/>
                <w:szCs w:val="18"/>
                <w:b w:val="1"/>
                <w:bCs w:val="1"/>
                <w:color w:val="auto"/>
              </w:rPr>
              <w:t>Votes</w:t>
            </w:r>
          </w:p>
        </w:tc>
        <w:tc>
          <w:tcPr>
            <w:tcW w:w="1460" w:type="dxa"/>
            <w:vAlign w:val="bottom"/>
          </w:tcPr>
          <w:p>
            <w:pPr>
              <w:jc w:val="center"/>
              <w:ind w:right="550"/>
              <w:spacing w:after="0"/>
              <w:rPr>
                <w:sz w:val="20"/>
                <w:szCs w:val="20"/>
                <w:color w:val="auto"/>
              </w:rPr>
            </w:pPr>
            <w:r>
              <w:rPr>
                <w:rFonts w:ascii="Arial" w:cs="Arial" w:eastAsia="Arial" w:hAnsi="Arial"/>
                <w:sz w:val="18"/>
                <w:szCs w:val="18"/>
                <w:b w:val="1"/>
                <w:bCs w:val="1"/>
                <w:color w:val="auto"/>
                <w:w w:val="92"/>
              </w:rPr>
              <w:t>Broker</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21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For</w:t>
            </w:r>
          </w:p>
        </w:tc>
        <w:tc>
          <w:tcPr>
            <w:tcW w:w="280" w:type="dxa"/>
            <w:vAlign w:val="bottom"/>
          </w:tcPr>
          <w:p>
            <w:pPr>
              <w:spacing w:after="0"/>
              <w:rPr>
                <w:sz w:val="20"/>
                <w:szCs w:val="20"/>
                <w:color w:val="auto"/>
              </w:rPr>
            </w:pP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Withheld</w:t>
            </w:r>
          </w:p>
        </w:tc>
        <w:tc>
          <w:tcPr>
            <w:tcW w:w="280" w:type="dxa"/>
            <w:vAlign w:val="bottom"/>
          </w:tcPr>
          <w:p>
            <w:pPr>
              <w:spacing w:after="0"/>
              <w:rPr>
                <w:sz w:val="20"/>
                <w:szCs w:val="20"/>
                <w:color w:val="auto"/>
              </w:rPr>
            </w:pPr>
          </w:p>
        </w:tc>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Non-Vote</w:t>
            </w:r>
          </w:p>
        </w:tc>
        <w:tc>
          <w:tcPr>
            <w:tcW w:w="0" w:type="dxa"/>
            <w:vAlign w:val="bottom"/>
          </w:tcPr>
          <w:p>
            <w:pPr>
              <w:spacing w:after="0"/>
              <w:rPr>
                <w:sz w:val="1"/>
                <w:szCs w:val="1"/>
                <w:color w:val="auto"/>
              </w:rPr>
            </w:pPr>
          </w:p>
        </w:tc>
      </w:tr>
      <w:tr>
        <w:trPr>
          <w:trHeight w:val="486"/>
        </w:trPr>
        <w:tc>
          <w:tcPr>
            <w:tcW w:w="276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1720" w:type="dxa"/>
            <w:vAlign w:val="bottom"/>
            <w:gridSpan w:val="2"/>
          </w:tcPr>
          <w:p>
            <w:pPr>
              <w:jc w:val="center"/>
              <w:ind w:right="270"/>
              <w:spacing w:after="0"/>
              <w:rPr>
                <w:sz w:val="20"/>
                <w:szCs w:val="20"/>
                <w:color w:val="auto"/>
              </w:rPr>
            </w:pPr>
            <w:r>
              <w:rPr>
                <w:rFonts w:ascii="Arial" w:cs="Arial" w:eastAsia="Arial" w:hAnsi="Arial"/>
                <w:sz w:val="18"/>
                <w:szCs w:val="18"/>
                <w:color w:val="auto"/>
                <w:w w:val="88"/>
              </w:rPr>
              <w:t>97,088,969</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7,105,731</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499"/>
        </w:trPr>
        <w:tc>
          <w:tcPr>
            <w:tcW w:w="2760" w:type="dxa"/>
            <w:vAlign w:val="bottom"/>
            <w:gridSpan w:val="2"/>
          </w:tcPr>
          <w:p>
            <w:pPr>
              <w:spacing w:after="0"/>
              <w:rPr>
                <w:sz w:val="20"/>
                <w:szCs w:val="20"/>
                <w:color w:val="auto"/>
              </w:rPr>
            </w:pPr>
            <w:r>
              <w:rPr>
                <w:rFonts w:ascii="Arial" w:cs="Arial" w:eastAsia="Arial" w:hAnsi="Arial"/>
                <w:sz w:val="18"/>
                <w:szCs w:val="18"/>
                <w:color w:val="auto"/>
              </w:rPr>
              <w:t>Richard H. Fearon</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100,193,408</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4,001,292</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499"/>
        </w:trPr>
        <w:tc>
          <w:tcPr>
            <w:tcW w:w="2760" w:type="dxa"/>
            <w:vAlign w:val="bottom"/>
            <w:gridSpan w:val="2"/>
          </w:tcPr>
          <w:p>
            <w:pPr>
              <w:spacing w:after="0"/>
              <w:rPr>
                <w:sz w:val="20"/>
                <w:szCs w:val="20"/>
                <w:color w:val="auto"/>
              </w:rPr>
            </w:pPr>
            <w:r>
              <w:rPr>
                <w:rFonts w:ascii="Arial" w:cs="Arial" w:eastAsia="Arial" w:hAnsi="Arial"/>
                <w:sz w:val="18"/>
                <w:szCs w:val="18"/>
                <w:color w:val="auto"/>
              </w:rPr>
              <w:t>Andrea J. Funk</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103,360,308</w:t>
            </w:r>
          </w:p>
        </w:tc>
        <w:tc>
          <w:tcPr>
            <w:tcW w:w="280" w:type="dxa"/>
            <w:vAlign w:val="bottom"/>
          </w:tcPr>
          <w:p>
            <w:pPr>
              <w:spacing w:after="0"/>
              <w:rPr>
                <w:sz w:val="24"/>
                <w:szCs w:val="24"/>
                <w:color w:val="auto"/>
              </w:rPr>
            </w:pPr>
          </w:p>
        </w:tc>
        <w:tc>
          <w:tcPr>
            <w:tcW w:w="1460" w:type="dxa"/>
            <w:vAlign w:val="bottom"/>
          </w:tcPr>
          <w:p>
            <w:pPr>
              <w:jc w:val="center"/>
              <w:ind w:right="550"/>
              <w:spacing w:after="0"/>
              <w:rPr>
                <w:sz w:val="20"/>
                <w:szCs w:val="20"/>
                <w:color w:val="auto"/>
              </w:rPr>
            </w:pPr>
            <w:r>
              <w:rPr>
                <w:rFonts w:ascii="Arial" w:cs="Arial" w:eastAsia="Arial" w:hAnsi="Arial"/>
                <w:sz w:val="18"/>
                <w:szCs w:val="18"/>
                <w:color w:val="auto"/>
                <w:w w:val="89"/>
              </w:rPr>
              <w:t>834,392</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500"/>
        </w:trPr>
        <w:tc>
          <w:tcPr>
            <w:tcW w:w="2760" w:type="dxa"/>
            <w:vAlign w:val="bottom"/>
            <w:gridSpan w:val="2"/>
          </w:tcPr>
          <w:p>
            <w:pPr>
              <w:spacing w:after="0"/>
              <w:rPr>
                <w:sz w:val="20"/>
                <w:szCs w:val="20"/>
                <w:color w:val="auto"/>
              </w:rPr>
            </w:pPr>
            <w:r>
              <w:rPr>
                <w:rFonts w:ascii="Arial" w:cs="Arial" w:eastAsia="Arial" w:hAnsi="Arial"/>
                <w:sz w:val="18"/>
                <w:szCs w:val="18"/>
                <w:color w:val="auto"/>
              </w:rPr>
              <w:t>Stephen J. Hagge</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102,178,776</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2,015,924</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499"/>
        </w:trPr>
        <w:tc>
          <w:tcPr>
            <w:tcW w:w="2760" w:type="dxa"/>
            <w:vAlign w:val="bottom"/>
            <w:gridSpan w:val="2"/>
          </w:tcPr>
          <w:p>
            <w:pPr>
              <w:spacing w:after="0"/>
              <w:rPr>
                <w:sz w:val="20"/>
                <w:szCs w:val="20"/>
                <w:color w:val="auto"/>
              </w:rPr>
            </w:pPr>
            <w:r>
              <w:rPr>
                <w:rFonts w:ascii="Arial" w:cs="Arial" w:eastAsia="Arial" w:hAnsi="Arial"/>
                <w:sz w:val="18"/>
                <w:szCs w:val="18"/>
                <w:color w:val="auto"/>
              </w:rPr>
              <w:t>James H. Miller</w:t>
            </w:r>
          </w:p>
        </w:tc>
        <w:tc>
          <w:tcPr>
            <w:tcW w:w="1720" w:type="dxa"/>
            <w:vAlign w:val="bottom"/>
            <w:gridSpan w:val="2"/>
          </w:tcPr>
          <w:p>
            <w:pPr>
              <w:jc w:val="center"/>
              <w:ind w:right="270"/>
              <w:spacing w:after="0"/>
              <w:rPr>
                <w:sz w:val="20"/>
                <w:szCs w:val="20"/>
                <w:color w:val="auto"/>
              </w:rPr>
            </w:pPr>
            <w:r>
              <w:rPr>
                <w:rFonts w:ascii="Arial" w:cs="Arial" w:eastAsia="Arial" w:hAnsi="Arial"/>
                <w:sz w:val="18"/>
                <w:szCs w:val="18"/>
                <w:color w:val="auto"/>
                <w:w w:val="88"/>
              </w:rPr>
              <w:t>97,770,910</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6,423,790</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499"/>
        </w:trPr>
        <w:tc>
          <w:tcPr>
            <w:tcW w:w="2760" w:type="dxa"/>
            <w:vAlign w:val="bottom"/>
            <w:gridSpan w:val="2"/>
          </w:tcPr>
          <w:p>
            <w:pPr>
              <w:spacing w:after="0"/>
              <w:rPr>
                <w:sz w:val="20"/>
                <w:szCs w:val="20"/>
                <w:color w:val="auto"/>
              </w:rPr>
            </w:pPr>
            <w:r>
              <w:rPr>
                <w:rFonts w:ascii="Arial" w:cs="Arial" w:eastAsia="Arial" w:hAnsi="Arial"/>
                <w:sz w:val="18"/>
                <w:szCs w:val="18"/>
                <w:color w:val="auto"/>
              </w:rPr>
              <w:t>Josef M. Müller</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102,498,462</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1,696,238</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500"/>
        </w:trPr>
        <w:tc>
          <w:tcPr>
            <w:tcW w:w="2760" w:type="dxa"/>
            <w:vAlign w:val="bottom"/>
            <w:gridSpan w:val="2"/>
          </w:tcPr>
          <w:p>
            <w:pPr>
              <w:spacing w:after="0"/>
              <w:rPr>
                <w:sz w:val="20"/>
                <w:szCs w:val="20"/>
                <w:color w:val="auto"/>
              </w:rPr>
            </w:pPr>
            <w:r>
              <w:rPr>
                <w:rFonts w:ascii="Arial" w:cs="Arial" w:eastAsia="Arial" w:hAnsi="Arial"/>
                <w:sz w:val="18"/>
                <w:szCs w:val="18"/>
                <w:color w:val="auto"/>
              </w:rPr>
              <w:t>B. Craig Owens</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103,437,726</w:t>
            </w:r>
          </w:p>
        </w:tc>
        <w:tc>
          <w:tcPr>
            <w:tcW w:w="280" w:type="dxa"/>
            <w:vAlign w:val="bottom"/>
          </w:tcPr>
          <w:p>
            <w:pPr>
              <w:spacing w:after="0"/>
              <w:rPr>
                <w:sz w:val="24"/>
                <w:szCs w:val="24"/>
                <w:color w:val="auto"/>
              </w:rPr>
            </w:pPr>
          </w:p>
        </w:tc>
        <w:tc>
          <w:tcPr>
            <w:tcW w:w="1460" w:type="dxa"/>
            <w:vAlign w:val="bottom"/>
          </w:tcPr>
          <w:p>
            <w:pPr>
              <w:jc w:val="center"/>
              <w:ind w:right="550"/>
              <w:spacing w:after="0"/>
              <w:rPr>
                <w:sz w:val="20"/>
                <w:szCs w:val="20"/>
                <w:color w:val="auto"/>
              </w:rPr>
            </w:pPr>
            <w:r>
              <w:rPr>
                <w:rFonts w:ascii="Arial" w:cs="Arial" w:eastAsia="Arial" w:hAnsi="Arial"/>
                <w:sz w:val="18"/>
                <w:szCs w:val="18"/>
                <w:color w:val="auto"/>
                <w:w w:val="89"/>
              </w:rPr>
              <w:t>756,974</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500"/>
        </w:trPr>
        <w:tc>
          <w:tcPr>
            <w:tcW w:w="2760" w:type="dxa"/>
            <w:vAlign w:val="bottom"/>
            <w:gridSpan w:val="2"/>
          </w:tcPr>
          <w:p>
            <w:pPr>
              <w:spacing w:after="0"/>
              <w:rPr>
                <w:sz w:val="20"/>
                <w:szCs w:val="20"/>
                <w:color w:val="auto"/>
              </w:rPr>
            </w:pPr>
            <w:r>
              <w:rPr>
                <w:rFonts w:ascii="Arial" w:cs="Arial" w:eastAsia="Arial" w:hAnsi="Arial"/>
                <w:sz w:val="18"/>
                <w:szCs w:val="18"/>
                <w:color w:val="auto"/>
              </w:rPr>
              <w:t>Caesar F. Sweitzer</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102,170,244</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2,024,456</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500"/>
        </w:trPr>
        <w:tc>
          <w:tcPr>
            <w:tcW w:w="2760" w:type="dxa"/>
            <w:vAlign w:val="bottom"/>
            <w:gridSpan w:val="2"/>
          </w:tcPr>
          <w:p>
            <w:pPr>
              <w:spacing w:after="0"/>
              <w:rPr>
                <w:sz w:val="20"/>
                <w:szCs w:val="20"/>
                <w:color w:val="auto"/>
              </w:rPr>
            </w:pPr>
            <w:r>
              <w:rPr>
                <w:rFonts w:ascii="Arial" w:cs="Arial" w:eastAsia="Arial" w:hAnsi="Arial"/>
                <w:sz w:val="18"/>
                <w:szCs w:val="18"/>
                <w:color w:val="auto"/>
              </w:rPr>
              <w:t>Marsha C. Williams</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101,058,430</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3,136,270</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r>
        <w:trPr>
          <w:trHeight w:val="499"/>
        </w:trPr>
        <w:tc>
          <w:tcPr>
            <w:tcW w:w="2760" w:type="dxa"/>
            <w:vAlign w:val="bottom"/>
            <w:gridSpan w:val="2"/>
          </w:tcPr>
          <w:p>
            <w:pPr>
              <w:spacing w:after="0"/>
              <w:rPr>
                <w:sz w:val="20"/>
                <w:szCs w:val="20"/>
                <w:color w:val="auto"/>
              </w:rPr>
            </w:pPr>
            <w:r>
              <w:rPr>
                <w:rFonts w:ascii="Arial" w:cs="Arial" w:eastAsia="Arial" w:hAnsi="Arial"/>
                <w:sz w:val="18"/>
                <w:szCs w:val="18"/>
                <w:color w:val="auto"/>
              </w:rPr>
              <w:t>Dwayne A. Wilson</w:t>
            </w:r>
          </w:p>
        </w:tc>
        <w:tc>
          <w:tcPr>
            <w:tcW w:w="172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103,105,067</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1,089,633</w:t>
            </w:r>
          </w:p>
        </w:tc>
        <w:tc>
          <w:tcPr>
            <w:tcW w:w="280" w:type="dxa"/>
            <w:vAlign w:val="bottom"/>
          </w:tcPr>
          <w:p>
            <w:pPr>
              <w:spacing w:after="0"/>
              <w:rPr>
                <w:sz w:val="24"/>
                <w:szCs w:val="24"/>
                <w:color w:val="auto"/>
              </w:rPr>
            </w:pPr>
          </w:p>
        </w:tc>
        <w:tc>
          <w:tcPr>
            <w:tcW w:w="1460" w:type="dxa"/>
            <w:vAlign w:val="bottom"/>
          </w:tcPr>
          <w:p>
            <w:pPr>
              <w:jc w:val="center"/>
              <w:ind w:right="530"/>
              <w:spacing w:after="0"/>
              <w:rPr>
                <w:sz w:val="20"/>
                <w:szCs w:val="20"/>
                <w:color w:val="auto"/>
              </w:rPr>
            </w:pPr>
            <w:r>
              <w:rPr>
                <w:rFonts w:ascii="Arial" w:cs="Arial" w:eastAsia="Arial" w:hAnsi="Arial"/>
                <w:sz w:val="18"/>
                <w:szCs w:val="18"/>
                <w:color w:val="auto"/>
                <w:w w:val="89"/>
              </w:rPr>
              <w:t>4,965,512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1300" w:hanging="656"/>
        <w:spacing w:after="0" w:line="277" w:lineRule="auto"/>
        <w:tabs>
          <w:tab w:leader="none" w:pos="1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Shareholders ratified the appointment of PricewaterhouseCoopers LLP as the Company's independent auditor for the fiscal year ending December 31, 2022 pursuant to the following vote:</w:t>
      </w:r>
    </w:p>
    <w:p>
      <w:pPr>
        <w:spacing w:after="0" w:line="5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100" w:type="dxa"/>
            <w:vAlign w:val="bottom"/>
            <w:gridSpan w:val="2"/>
          </w:tcPr>
          <w:p>
            <w:pPr>
              <w:ind w:left="1560"/>
              <w:spacing w:after="0"/>
              <w:rPr>
                <w:sz w:val="20"/>
                <w:szCs w:val="20"/>
                <w:color w:val="auto"/>
              </w:rPr>
            </w:pPr>
            <w:r>
              <w:rPr>
                <w:rFonts w:ascii="Arial" w:cs="Arial" w:eastAsia="Arial" w:hAnsi="Arial"/>
                <w:sz w:val="18"/>
                <w:szCs w:val="18"/>
                <w:b w:val="1"/>
                <w:bCs w:val="1"/>
                <w:color w:val="auto"/>
              </w:rPr>
              <w:t>Votes</w:t>
            </w:r>
          </w:p>
        </w:tc>
        <w:tc>
          <w:tcPr>
            <w:tcW w:w="18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5"/>
              </w:rPr>
              <w:t>Votes</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5"/>
              </w:rPr>
              <w:t>Votes</w:t>
            </w:r>
          </w:p>
        </w:tc>
        <w:tc>
          <w:tcPr>
            <w:tcW w:w="158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Broker</w:t>
            </w:r>
          </w:p>
        </w:tc>
      </w:tr>
      <w:tr>
        <w:trPr>
          <w:trHeight w:val="237"/>
        </w:trPr>
        <w:tc>
          <w:tcPr>
            <w:tcW w:w="3100" w:type="dxa"/>
            <w:vAlign w:val="bottom"/>
            <w:gridSpan w:val="2"/>
          </w:tcPr>
          <w:p>
            <w:pPr>
              <w:ind w:left="1300"/>
              <w:spacing w:after="0"/>
              <w:rPr>
                <w:sz w:val="20"/>
                <w:szCs w:val="20"/>
                <w:color w:val="auto"/>
              </w:rPr>
            </w:pPr>
            <w:r>
              <w:rPr>
                <w:rFonts w:ascii="Arial" w:cs="Arial" w:eastAsia="Arial" w:hAnsi="Arial"/>
                <w:sz w:val="18"/>
                <w:szCs w:val="18"/>
                <w:b w:val="1"/>
                <w:bCs w:val="1"/>
                <w:color w:val="auto"/>
              </w:rPr>
              <w:t>For</w:t>
            </w:r>
          </w:p>
        </w:tc>
        <w:tc>
          <w:tcPr>
            <w:tcW w:w="1840" w:type="dxa"/>
            <w:vAlign w:val="bottom"/>
            <w:gridSpan w:val="2"/>
          </w:tcPr>
          <w:p>
            <w:pPr>
              <w:ind w:left="520"/>
              <w:spacing w:after="0"/>
              <w:rPr>
                <w:sz w:val="20"/>
                <w:szCs w:val="20"/>
                <w:color w:val="auto"/>
              </w:rPr>
            </w:pPr>
            <w:r>
              <w:rPr>
                <w:rFonts w:ascii="Arial" w:cs="Arial" w:eastAsia="Arial" w:hAnsi="Arial"/>
                <w:sz w:val="18"/>
                <w:szCs w:val="18"/>
                <w:b w:val="1"/>
                <w:bCs w:val="1"/>
                <w:color w:val="auto"/>
              </w:rPr>
              <w:t>Against</w:t>
            </w:r>
          </w:p>
        </w:tc>
        <w:tc>
          <w:tcPr>
            <w:tcW w:w="1820" w:type="dxa"/>
            <w:vAlign w:val="bottom"/>
          </w:tcPr>
          <w:p>
            <w:pPr>
              <w:ind w:left="360"/>
              <w:spacing w:after="0"/>
              <w:rPr>
                <w:sz w:val="20"/>
                <w:szCs w:val="20"/>
                <w:color w:val="auto"/>
              </w:rPr>
            </w:pPr>
            <w:r>
              <w:rPr>
                <w:rFonts w:ascii="Arial" w:cs="Arial" w:eastAsia="Arial" w:hAnsi="Arial"/>
                <w:sz w:val="18"/>
                <w:szCs w:val="18"/>
                <w:b w:val="1"/>
                <w:bCs w:val="1"/>
                <w:color w:val="auto"/>
              </w:rPr>
              <w:t>Abstaining</w:t>
            </w:r>
          </w:p>
        </w:tc>
        <w:tc>
          <w:tcPr>
            <w:tcW w:w="1580" w:type="dxa"/>
            <w:vAlign w:val="bottom"/>
          </w:tcPr>
          <w:p>
            <w:pPr>
              <w:ind w:left="420"/>
              <w:spacing w:after="0"/>
              <w:rPr>
                <w:sz w:val="20"/>
                <w:szCs w:val="20"/>
                <w:color w:val="auto"/>
              </w:rPr>
            </w:pPr>
            <w:r>
              <w:rPr>
                <w:rFonts w:ascii="Arial" w:cs="Arial" w:eastAsia="Arial" w:hAnsi="Arial"/>
                <w:sz w:val="18"/>
                <w:szCs w:val="18"/>
                <w:b w:val="1"/>
                <w:bCs w:val="1"/>
                <w:color w:val="auto"/>
              </w:rPr>
              <w:t>Non-Vote</w:t>
            </w:r>
          </w:p>
        </w:tc>
      </w:tr>
      <w:tr>
        <w:trPr>
          <w:trHeight w:val="230"/>
        </w:trPr>
        <w:tc>
          <w:tcPr>
            <w:tcW w:w="29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104,078,734</w:t>
            </w:r>
          </w:p>
        </w:tc>
        <w:tc>
          <w:tcPr>
            <w:tcW w:w="200" w:type="dxa"/>
            <w:vAlign w:val="bottom"/>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4,942,964</w:t>
            </w:r>
          </w:p>
        </w:tc>
        <w:tc>
          <w:tcPr>
            <w:tcW w:w="220" w:type="dxa"/>
            <w:vAlign w:val="bottom"/>
          </w:tcPr>
          <w:p>
            <w:pPr>
              <w:spacing w:after="0"/>
              <w:rPr>
                <w:sz w:val="20"/>
                <w:szCs w:val="20"/>
                <w:color w:val="auto"/>
              </w:rPr>
            </w:pPr>
          </w:p>
        </w:tc>
        <w:tc>
          <w:tcPr>
            <w:tcW w:w="18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138,514</w:t>
            </w:r>
          </w:p>
        </w:tc>
        <w:tc>
          <w:tcPr>
            <w:tcW w:w="15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65" w:lineRule="exact"/>
        <w:rPr>
          <w:sz w:val="20"/>
          <w:szCs w:val="20"/>
          <w:color w:val="auto"/>
        </w:rPr>
      </w:pPr>
    </w:p>
    <w:p>
      <w:pPr>
        <w:ind w:left="1300" w:hanging="656"/>
        <w:spacing w:after="0" w:line="277" w:lineRule="auto"/>
        <w:tabs>
          <w:tab w:leader="none" w:pos="1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Shareholders approved, by non-binding advisory vote, the resolution on executive compensation (as further described in the Company's 2022 Proxy Statement) pursuant to the following vote:</w:t>
      </w:r>
    </w:p>
    <w:p>
      <w:pPr>
        <w:spacing w:after="0" w:line="32"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Votes</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Votes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7"/>
        </w:trPr>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Against</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Abstaining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98,232,464</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5,495,127</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467,109</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4,965,512</w:t>
            </w:r>
          </w:p>
        </w:tc>
      </w:tr>
    </w:tbl>
    <w:p>
      <w:pPr>
        <w:spacing w:after="0" w:line="323" w:lineRule="exact"/>
        <w:rPr>
          <w:sz w:val="20"/>
          <w:szCs w:val="20"/>
          <w:color w:val="auto"/>
        </w:rPr>
      </w:pPr>
    </w:p>
    <w:p>
      <w:pPr>
        <w:ind w:left="1300" w:right="240" w:hanging="656"/>
        <w:spacing w:after="0" w:line="277" w:lineRule="auto"/>
        <w:tabs>
          <w:tab w:leader="none" w:pos="1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Shareholders approved the adoption of the 2022 Stock-Based Incentive Compensation Plan pursuant to the following vote:</w:t>
      </w: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2" w:name="page33"/>
    <w:bookmarkEnd w:id="32"/>
    <w:tbl>
      <w:tblPr>
        <w:tblLayout w:type="fixed"/>
        <w:tblInd w:w="212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4"/>
          </w:tcPr>
          <w:p>
            <w:pPr>
              <w:ind w:left="800"/>
              <w:spacing w:after="0"/>
              <w:rPr>
                <w:sz w:val="20"/>
                <w:szCs w:val="20"/>
                <w:color w:val="auto"/>
              </w:rPr>
            </w:pPr>
            <w:r>
              <w:rPr>
                <w:rFonts w:ascii="Arial" w:cs="Arial" w:eastAsia="Arial" w:hAnsi="Arial"/>
                <w:sz w:val="18"/>
                <w:szCs w:val="18"/>
                <w:b w:val="1"/>
                <w:bCs w:val="1"/>
                <w:color w:val="auto"/>
              </w:rPr>
              <w:t>Crown Holdings, Inc.</w:t>
            </w:r>
          </w:p>
        </w:tc>
        <w:tc>
          <w:tcPr>
            <w:tcW w:w="1600" w:type="dxa"/>
            <w:vAlign w:val="bottom"/>
          </w:tcPr>
          <w:p>
            <w:pPr>
              <w:spacing w:after="0"/>
              <w:rPr>
                <w:sz w:val="20"/>
                <w:szCs w:val="20"/>
                <w:color w:val="auto"/>
              </w:rPr>
            </w:pPr>
          </w:p>
        </w:tc>
      </w:tr>
      <w:tr>
        <w:trPr>
          <w:trHeight w:val="823"/>
        </w:trPr>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Votes</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Votes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7"/>
        </w:trPr>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Against</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Abstaining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1"/>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99,657,951</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4,106,473</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430,275</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4,965,512</w:t>
            </w:r>
          </w:p>
        </w:tc>
      </w:tr>
    </w:tbl>
    <w:p>
      <w:pPr>
        <w:spacing w:after="0" w:line="94" w:lineRule="exact"/>
        <w:rPr>
          <w:sz w:val="20"/>
          <w:szCs w:val="20"/>
          <w:color w:val="auto"/>
        </w:rPr>
      </w:pPr>
    </w:p>
    <w:p>
      <w:pPr>
        <w:ind w:left="1960" w:hanging="656"/>
        <w:spacing w:after="0" w:line="277" w:lineRule="auto"/>
        <w:tabs>
          <w:tab w:leader="none" w:pos="19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Shareholders approved the Shareholder proposal requesting the adoption of a By-law granting Shareholders the right to call a special meeting pursuant to the following vote:</w:t>
      </w:r>
    </w:p>
    <w:p>
      <w:pPr>
        <w:spacing w:after="0" w:line="32"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Votes</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Votes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6"/>
        </w:trPr>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For</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Against</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Abstaining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1"/>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103,058,181</w:t>
            </w:r>
          </w:p>
        </w:tc>
        <w:tc>
          <w:tcPr>
            <w:tcW w:w="32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936,784</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199,735</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4,965,512</w:t>
            </w: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jc w:val="both"/>
        <w:ind w:left="980" w:right="800" w:hanging="647"/>
        <w:spacing w:after="0" w:line="342" w:lineRule="auto"/>
        <w:rPr>
          <w:sz w:val="20"/>
          <w:szCs w:val="20"/>
          <w:color w:val="auto"/>
        </w:rPr>
      </w:pPr>
      <w:r>
        <w:rPr>
          <w:rFonts w:ascii="Arial" w:cs="Arial" w:eastAsia="Arial" w:hAnsi="Arial"/>
          <w:sz w:val="16"/>
          <w:szCs w:val="16"/>
          <w:color w:val="auto"/>
        </w:rPr>
        <w:t>Crown Holdings, Inc. 2022 Stock-Based Incentive Compensation Plan (incorporated by reference to the Registrant's Definitive Proxy Statement on Schedule 14A, filed with the Securities and Exchange Commission on March 21, 2022 (File No. 000-50189)).</w:t>
      </w:r>
    </w:p>
    <w:p>
      <w:pPr>
        <w:spacing w:after="0" w:line="232" w:lineRule="exact"/>
        <w:rPr>
          <w:sz w:val="20"/>
          <w:szCs w:val="20"/>
          <w:color w:val="auto"/>
        </w:rPr>
      </w:pPr>
    </w:p>
    <w:p>
      <w:pPr>
        <w:ind w:left="3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List of Guarantor Subsidiaries</w:t>
        </w:r>
      </w:hyperlink>
    </w:p>
    <w:p>
      <w:pPr>
        <w:spacing w:after="0" w:line="212" w:lineRule="exact"/>
        <w:rPr>
          <w:sz w:val="20"/>
          <w:szCs w:val="20"/>
          <w:color w:val="auto"/>
        </w:rPr>
      </w:pPr>
    </w:p>
    <w:p>
      <w:pPr>
        <w:jc w:val="both"/>
        <w:ind w:left="980" w:right="800" w:hanging="647"/>
        <w:spacing w:after="0" w:line="277" w:lineRule="auto"/>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pursuant to Section 302 of the Sarbanes-Oxley Act of 2002.</w:t>
        </w:r>
      </w:hyperlink>
    </w:p>
    <w:p>
      <w:pPr>
        <w:spacing w:after="0" w:line="157" w:lineRule="exact"/>
        <w:rPr>
          <w:sz w:val="20"/>
          <w:szCs w:val="20"/>
          <w:color w:val="auto"/>
        </w:rPr>
      </w:pPr>
    </w:p>
    <w:p>
      <w:pPr>
        <w:jc w:val="both"/>
        <w:ind w:left="980" w:right="800" w:hanging="647"/>
        <w:spacing w:after="0" w:line="277" w:lineRule="auto"/>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pursuant to Section 302 of the Sarbanes-Oxley Act of 2002.</w:t>
        </w:r>
      </w:hyperlink>
    </w:p>
    <w:p>
      <w:pPr>
        <w:spacing w:after="0" w:line="157" w:lineRule="exact"/>
        <w:rPr>
          <w:sz w:val="20"/>
          <w:szCs w:val="20"/>
          <w:color w:val="auto"/>
        </w:rPr>
      </w:pPr>
    </w:p>
    <w:p>
      <w:pPr>
        <w:jc w:val="both"/>
        <w:ind w:left="980" w:right="800" w:hanging="647"/>
        <w:spacing w:after="0" w:line="263" w:lineRule="auto"/>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Timothy J. Donahue, President and Chief Executive Officer of Crown Holdings, Inc. and Kevin C. Clothier, Senior Vice</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President and Chief Financial Officer of Crown Holdings, Inc.</w:t>
        </w:r>
      </w:hyperlink>
    </w:p>
    <w:p>
      <w:pPr>
        <w:spacing w:after="0" w:line="170" w:lineRule="exact"/>
        <w:rPr>
          <w:rFonts w:ascii="Arial" w:cs="Arial" w:eastAsia="Arial" w:hAnsi="Arial"/>
          <w:sz w:val="18"/>
          <w:szCs w:val="18"/>
          <w:u w:val="single" w:color="auto"/>
          <w:color w:val="0000FF"/>
        </w:rPr>
      </w:pPr>
    </w:p>
    <w:p>
      <w:pPr>
        <w:jc w:val="both"/>
        <w:ind w:left="980" w:right="800" w:hanging="647"/>
        <w:spacing w:after="0" w:line="293" w:lineRule="auto"/>
        <w:rPr>
          <w:sz w:val="20"/>
          <w:szCs w:val="20"/>
          <w:color w:val="auto"/>
        </w:rPr>
      </w:pPr>
      <w:r>
        <w:rPr>
          <w:rFonts w:ascii="Arial" w:cs="Arial" w:eastAsia="Arial" w:hAnsi="Arial"/>
          <w:sz w:val="16"/>
          <w:szCs w:val="16"/>
          <w:color w:val="auto"/>
        </w:rPr>
        <w:t>The following financial information from the Registrant's Quarterly Report on Form 10-Q for the quarter ended March 31, 2022 formatted in inline XBRL (eXtensible Business Reporting Language): (i) Consolidated Statements of Operations for the three months ended March 31, 2022 and 2021, (ii) Consolidated Statements of Comprehensive Income for the three months ended March 31, 2022 and 2021, (iii) Consolidated Balance Sheets as of March 31, 2022 and December 31, 2021, (iv) Consolidated Statements of Cash Flows for the three months ended March 31, 2022 and 2021, (v) Consolidated Statements of Changes in Equity for the three months ended March 31, 2022 and 2021 and (vi) Notes to Consolidated Financial Statements.</w:t>
      </w:r>
    </w:p>
    <w:p>
      <w:pPr>
        <w:spacing w:after="0" w:line="151" w:lineRule="exact"/>
        <w:rPr>
          <w:rFonts w:ascii="Arial" w:cs="Arial" w:eastAsia="Arial" w:hAnsi="Arial"/>
          <w:sz w:val="18"/>
          <w:szCs w:val="18"/>
          <w:u w:val="single" w:color="auto"/>
          <w:color w:val="0000FF"/>
        </w:rPr>
      </w:pPr>
    </w:p>
    <w:p>
      <w:pPr>
        <w:ind w:left="3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4" w:lineRule="exact"/>
        <w:rPr>
          <w:rFonts w:ascii="Arial" w:cs="Arial" w:eastAsia="Arial" w:hAnsi="Arial"/>
          <w:sz w:val="18"/>
          <w:szCs w:val="18"/>
          <w:u w:val="single" w:color="auto"/>
          <w:color w:val="0000FF"/>
        </w:rPr>
      </w:pPr>
    </w:p>
    <w:p>
      <w:pPr>
        <w:jc w:val="center"/>
        <w:ind w:right="-259"/>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3" w:name="page34"/>
    <w:bookmarkEnd w:id="3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58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7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Christy L. Kalaus</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80"/>
          </w:cols>
          <w:pgMar w:left="980" w:top="121" w:right="33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March 31, 2022,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following subsidiaries of the Company were, as of March 31, 2022,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35" w:name="page36"/>
    <w:bookmarkEnd w:id="35"/>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Date: April 29, 2022</w:t>
      </w:r>
      <w:r>
        <w:rPr>
          <w:sz w:val="20"/>
          <w:szCs w:val="20"/>
          <w:color w:val="auto"/>
        </w:rPr>
        <w:tab/>
      </w:r>
      <w:r>
        <w:rPr>
          <w:rFonts w:ascii="Arial" w:cs="Arial" w:eastAsia="Arial" w:hAnsi="Arial"/>
          <w:sz w:val="17"/>
          <w:szCs w:val="17"/>
          <w:u w:val="single" w:color="auto"/>
          <w:color w:val="auto"/>
        </w:rPr>
        <w:t>/s/ Timothy J. Donahue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Date: April 29, 2022</w:t>
      </w:r>
      <w:r>
        <w:rPr>
          <w:sz w:val="20"/>
          <w:szCs w:val="20"/>
          <w:color w:val="auto"/>
        </w:rPr>
        <w:tab/>
      </w:r>
      <w:r>
        <w:rPr>
          <w:rFonts w:ascii="Arial" w:cs="Arial" w:eastAsia="Arial" w:hAnsi="Arial"/>
          <w:sz w:val="17"/>
          <w:szCs w:val="17"/>
          <w:u w:val="single" w:color="auto"/>
          <w:color w:val="auto"/>
        </w:rPr>
        <w:t>/s/ Kevin C. Clothier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Kevin C. Clothier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2022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49" w:lineRule="auto"/>
        <w:tabs>
          <w:tab w:leader="none" w:pos="6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firstLine="8"/>
        <w:spacing w:after="0" w:line="249" w:lineRule="auto"/>
        <w:tabs>
          <w:tab w:leader="none" w:pos="51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160" w:type="dxa"/>
            <w:vAlign w:val="bottom"/>
          </w:tcPr>
          <w:p>
            <w:pPr>
              <w:ind w:left="120"/>
              <w:spacing w:after="0"/>
              <w:rPr>
                <w:sz w:val="20"/>
                <w:szCs w:val="20"/>
                <w:color w:val="auto"/>
              </w:rPr>
            </w:pPr>
            <w:r>
              <w:rPr>
                <w:rFonts w:ascii="Arial" w:cs="Arial" w:eastAsia="Arial" w:hAnsi="Arial"/>
                <w:sz w:val="22"/>
                <w:szCs w:val="22"/>
                <w:color w:val="auto"/>
              </w:rPr>
              <w:t>April 29, 2022</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246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80" w:type="dxa"/>
            <w:vAlign w:val="bottom"/>
            <w:gridSpan w:val="3"/>
          </w:tcPr>
          <w:p>
            <w:pPr>
              <w:ind w:left="110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680" w:type="dxa"/>
            <w:vAlign w:val="bottom"/>
            <w:gridSpan w:val="3"/>
          </w:tcPr>
          <w:p>
            <w:pPr>
              <w:ind w:left="1100"/>
              <w:spacing w:after="0"/>
              <w:rPr>
                <w:sz w:val="20"/>
                <w:szCs w:val="20"/>
                <w:color w:val="auto"/>
              </w:rPr>
            </w:pPr>
            <w:r>
              <w:rPr>
                <w:rFonts w:ascii="Arial" w:cs="Arial" w:eastAsia="Arial" w:hAnsi="Arial"/>
                <w:sz w:val="22"/>
                <w:szCs w:val="22"/>
                <w:color w:val="auto"/>
                <w:w w:val="97"/>
              </w:rPr>
              <w:t>President and Chief Executive Officer</w:t>
            </w:r>
          </w:p>
        </w:tc>
      </w:tr>
      <w:tr>
        <w:trPr>
          <w:trHeight w:val="449"/>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160" w:type="dxa"/>
            <w:vAlign w:val="bottom"/>
          </w:tcPr>
          <w:p>
            <w:pPr>
              <w:ind w:left="120"/>
              <w:spacing w:after="0"/>
              <w:rPr>
                <w:sz w:val="20"/>
                <w:szCs w:val="20"/>
                <w:color w:val="auto"/>
              </w:rPr>
            </w:pPr>
            <w:r>
              <w:rPr>
                <w:rFonts w:ascii="Arial" w:cs="Arial" w:eastAsia="Arial" w:hAnsi="Arial"/>
                <w:sz w:val="22"/>
                <w:szCs w:val="22"/>
                <w:color w:val="auto"/>
              </w:rPr>
              <w:t>April 29, 2022</w:t>
            </w: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Kevin C. Clothier</w:t>
            </w:r>
          </w:p>
        </w:tc>
        <w:tc>
          <w:tcPr>
            <w:tcW w:w="2760" w:type="dxa"/>
            <w:vAlign w:val="bottom"/>
            <w:gridSpan w:val="2"/>
          </w:tcPr>
          <w:p>
            <w:pPr>
              <w:spacing w:after="0"/>
              <w:rPr>
                <w:sz w:val="24"/>
                <w:szCs w:val="24"/>
                <w:color w:val="auto"/>
              </w:rPr>
            </w:pPr>
          </w:p>
        </w:tc>
      </w:tr>
    </w:tbl>
    <w:p>
      <w:pPr>
        <w:spacing w:after="0" w:line="3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Kevin C. Clothier</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3"/>
    </w:lvl>
  </w:abstractNum>
  <w:abstractNum w:abstractNumId="4">
    <w:nsid w:val="4E6AFB66"/>
    <w:multiLevelType w:val="hybridMultilevel"/>
    <w:lvl w:ilvl="0">
      <w:lvlJc w:val="left"/>
      <w:lvlText w:val="%1."/>
      <w:numFmt w:val="upperLetter"/>
      <w:start w:val="6"/>
    </w:lvl>
  </w:abstractNum>
  <w:abstractNum w:abstractNumId="5">
    <w:nsid w:val="25E45D32"/>
    <w:multiLevelType w:val="hybridMultilevel"/>
    <w:lvl w:ilvl="0">
      <w:lvlJc w:val="left"/>
      <w:lvlText w:val="%1."/>
      <w:numFmt w:val="upperLetter"/>
      <w:start w:val="7"/>
    </w:lvl>
  </w:abstractNum>
  <w:abstractNum w:abstractNumId="6">
    <w:nsid w:val="519B500D"/>
    <w:multiLevelType w:val="hybridMultilevel"/>
    <w:lvl w:ilvl="0">
      <w:lvlJc w:val="left"/>
      <w:lvlText w:val="%1."/>
      <w:numFmt w:val="upperLetter"/>
      <w:start w:val="8"/>
    </w:lvl>
  </w:abstractNum>
  <w:abstractNum w:abstractNumId="7">
    <w:nsid w:val="431BD7B7"/>
    <w:multiLevelType w:val="hybridMultilevel"/>
    <w:lvl w:ilvl="0">
      <w:lvlJc w:val="left"/>
      <w:lvlText w:val="%1."/>
      <w:numFmt w:val="upperLetter"/>
      <w:start w:val="9"/>
    </w:lvl>
  </w:abstractNum>
  <w:abstractNum w:abstractNumId="8">
    <w:nsid w:val="3F2DBA31"/>
    <w:multiLevelType w:val="hybridMultilevel"/>
    <w:lvl w:ilvl="0">
      <w:lvlJc w:val="left"/>
      <w:lvlText w:val="%1."/>
      <w:numFmt w:val="upperLetter"/>
      <w:start w:val="10"/>
    </w:lvl>
  </w:abstractNum>
  <w:abstractNum w:abstractNumId="9">
    <w:nsid w:val="7C83E458"/>
    <w:multiLevelType w:val="hybridMultilevel"/>
    <w:lvl w:ilvl="0">
      <w:lvlJc w:val="left"/>
      <w:lvlText w:val="\emdash "/>
      <w:numFmt w:val="bullet"/>
      <w:start w:val="1"/>
    </w:lvl>
  </w:abstractNum>
  <w:abstractNum w:abstractNumId="10">
    <w:nsid w:val="257130A3"/>
    <w:multiLevelType w:val="hybridMultilevel"/>
    <w:lvl w:ilvl="0">
      <w:lvlJc w:val="left"/>
      <w:lvlText w:val="%1."/>
      <w:numFmt w:val="upperLetter"/>
      <w:start w:val="12"/>
    </w:lvl>
  </w:abstractNum>
  <w:abstractNum w:abstractNumId="11">
    <w:nsid w:val="62BBD95A"/>
    <w:multiLevelType w:val="hybridMultilevel"/>
    <w:lvl w:ilvl="0">
      <w:lvlJc w:val="left"/>
      <w:lvlText w:val="%1."/>
      <w:numFmt w:val="upperLetter"/>
      <w:start w:val="13"/>
    </w:lvl>
  </w:abstractNum>
  <w:abstractNum w:abstractNumId="12">
    <w:nsid w:val="436C6125"/>
    <w:multiLevelType w:val="hybridMultilevel"/>
    <w:lvl w:ilvl="0">
      <w:lvlJc w:val="left"/>
      <w:lvlText w:val="%1."/>
      <w:numFmt w:val="upperLetter"/>
      <w:start w:val="14"/>
    </w:lvl>
  </w:abstractNum>
  <w:abstractNum w:abstractNumId="13">
    <w:nsid w:val="628C895D"/>
    <w:multiLevelType w:val="hybridMultilevel"/>
    <w:lvl w:ilvl="0">
      <w:lvlJc w:val="left"/>
      <w:lvlText w:val="%1."/>
      <w:numFmt w:val="upperLetter"/>
      <w:start w:val="15"/>
    </w:lvl>
  </w:abstractNum>
  <w:abstractNum w:abstractNumId="14">
    <w:nsid w:val="333AB105"/>
    <w:multiLevelType w:val="hybridMultilevel"/>
    <w:lvl w:ilvl="0">
      <w:lvlJc w:val="left"/>
      <w:lvlText w:val="%1."/>
      <w:numFmt w:val="upperLetter"/>
      <w:start w:val="16"/>
    </w:lvl>
  </w:abstractNum>
  <w:abstractNum w:abstractNumId="15">
    <w:nsid w:val="721DA317"/>
    <w:multiLevelType w:val="hybridMultilevel"/>
    <w:lvl w:ilvl="0">
      <w:lvlJc w:val="left"/>
      <w:lvlText w:val="%1."/>
      <w:numFmt w:val="upperLetter"/>
      <w:start w:val="17"/>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2022-04-29T21:35:26Z</dcterms:created>
  <dcterms:modified xsi:type="dcterms:W3CDTF">2022-04-29T21:35:26Z</dcterms:modified>
</cp:coreProperties>
</file>