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4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21,786</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655,824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17,146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76.82</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638,678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397"/>
              <w:spacing w:after="0"/>
              <w:rPr>
                <w:sz w:val="20"/>
                <w:szCs w:val="20"/>
                <w:color w:val="auto"/>
              </w:rPr>
            </w:pPr>
            <w:r>
              <w:rPr>
                <w:rFonts w:ascii="Times New Roman" w:cs="Times New Roman" w:eastAsia="Times New Roman" w:hAnsi="Times New Roman"/>
                <w:sz w:val="17"/>
                <w:szCs w:val="17"/>
                <w:color w:val="0000FF"/>
              </w:rPr>
              <w:t>762</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22, 2024 whose grant was originally reported on a Form 4 filed with the Securities and Exchange Commission on January 12, 2021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21,786. The Return on Invested Capital achieved by the Company compared to the ROIC target yielded 200% payout. As a result, 21,786 additional ROIC Performance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02/23/2024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2024-02-23T11:28:48Z</dcterms:created>
  <dcterms:modified xsi:type="dcterms:W3CDTF">2024-02-23T11:28:48Z</dcterms:modified>
</cp:coreProperties>
</file>