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DONAHUE TIMOTHY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CROWN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CCK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6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4"/>
          </w:tcPr>
          <w:p>
            <w:pPr>
              <w:ind w:left="240"/>
              <w:spacing w:after="0" w:line="155" w:lineRule="exact"/>
              <w:rPr>
                <w:sz w:val="20"/>
                <w:szCs w:val="20"/>
                <w:color w:val="auto"/>
              </w:rPr>
            </w:pPr>
            <w:r>
              <w:rPr>
                <w:rFonts w:ascii="Arial" w:cs="Arial" w:eastAsia="Arial" w:hAnsi="Arial"/>
                <w:sz w:val="14"/>
                <w:szCs w:val="14"/>
                <w:color w:val="auto"/>
              </w:rPr>
              <w:t>Line)</w:t>
            </w: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YARDLEY</w:t>
            </w:r>
          </w:p>
        </w:tc>
        <w:tc>
          <w:tcPr>
            <w:tcW w:w="280" w:type="dxa"/>
            <w:vAlign w:val="bottom"/>
          </w:tcPr>
          <w:p>
            <w:pPr>
              <w:ind w:left="40"/>
              <w:spacing w:after="0"/>
              <w:rPr>
                <w:sz w:val="20"/>
                <w:szCs w:val="20"/>
                <w:color w:val="auto"/>
              </w:rPr>
            </w:pPr>
            <w:r>
              <w:rPr>
                <w:rFonts w:ascii="Arial" w:cs="Arial" w:eastAsia="Arial" w:hAnsi="Arial"/>
                <w:sz w:val="18"/>
                <w:szCs w:val="18"/>
                <w:color w:val="0000FF"/>
                <w:w w:val="91"/>
              </w:rPr>
              <w:t>PA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19067</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0000FF"/>
                <w:w w:val="95"/>
              </w:rPr>
              <w:t>Common</w:t>
            </w: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397"/>
              <w:spacing w:after="0"/>
              <w:rPr>
                <w:sz w:val="20"/>
                <w:szCs w:val="20"/>
                <w:color w:val="auto"/>
              </w:rPr>
            </w:pPr>
            <w:r>
              <w:rPr>
                <w:rFonts w:ascii="Arial" w:cs="Arial" w:eastAsia="Arial" w:hAnsi="Arial"/>
                <w:sz w:val="18"/>
                <w:szCs w:val="18"/>
                <w:color w:val="0000FF"/>
                <w:w w:val="88"/>
              </w:rPr>
              <w:t>1,420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5"/>
              </w:rPr>
              <w:t>Common</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01/09/2020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86,650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440" w:type="dxa"/>
            <w:vAlign w:val="bottom"/>
            <w:tcBorders>
              <w:bottom w:val="single" w:sz="8" w:color="2C2C2C"/>
            </w:tcBorders>
            <w:gridSpan w:val="3"/>
          </w:tcPr>
          <w:p>
            <w:pPr>
              <w:jc w:val="right"/>
              <w:ind w:right="317"/>
              <w:spacing w:after="0"/>
              <w:rPr>
                <w:sz w:val="20"/>
                <w:szCs w:val="20"/>
                <w:color w:val="auto"/>
              </w:rPr>
            </w:pPr>
            <w:r>
              <w:rPr>
                <w:rFonts w:ascii="Arial" w:cs="Arial" w:eastAsia="Arial" w:hAnsi="Arial"/>
                <w:sz w:val="18"/>
                <w:szCs w:val="18"/>
                <w:color w:val="0000FF"/>
              </w:rPr>
              <w:t>624,787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0" w:type="dxa"/>
            <w:vAlign w:val="bottom"/>
            <w:gridSpan w:val="11"/>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86,650 shares of Restricted Common Stock under the 2013 Stock-Based Compensation Plan. 29,583 time-vested restricted shares vest over a three year period as follows: 9,861 time-vested restricted shares on January 11, 2021, January 10, 2022 and January 9, 2023, respectively. 27,484 performance-based restricted shares are targeted to vest on January 9, 2023 based on the Company's Total Shareholder Return versus a defined peer group of companies, with the final number of performance-based vested shares varying from 0 to 200% of 27,484. 29,583 performance-based restricted shares are targeted to vest on January 9, 2023 based on the Return on Invested Capital achieved by the Company compared to the ROIC target, with the final number of performance-based vested shares varying from 0 to 200% of 29,583.</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Rosemary M. Haselroth, by</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01/13/2020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1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2020-01-13T08:51:21Z</dcterms:created>
  <dcterms:modified xsi:type="dcterms:W3CDTF">2020-01-13T08:51:21Z</dcterms:modified>
</cp:coreProperties>
</file>