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spacing w:after="0" w:line="237"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50" w:lineRule="exact"/>
        <w:rPr>
          <w:sz w:val="24"/>
          <w:szCs w:val="24"/>
          <w:color w:val="auto"/>
        </w:rPr>
      </w:pPr>
    </w:p>
    <w:p>
      <w:pPr>
        <w:ind w:left="440" w:right="1660" w:hanging="414"/>
        <w:spacing w:after="0" w:line="237" w:lineRule="auto"/>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7580" w:type="dxa"/>
            <w:vAlign w:val="bottom"/>
            <w:gridSpan w:val="3"/>
          </w:tcPr>
          <w:p>
            <w:pPr>
              <w:jc w:val="center"/>
              <w:ind w:right="3564"/>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191"/>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1"/>
              </w:rPr>
              <w:t>Pennsylvania</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64"/>
              <w:spacing w:after="0"/>
              <w:rPr>
                <w:sz w:val="20"/>
                <w:szCs w:val="20"/>
                <w:color w:val="auto"/>
              </w:rPr>
            </w:pPr>
            <w:r>
              <w:rPr>
                <w:rFonts w:ascii="Arial" w:cs="Arial" w:eastAsia="Arial" w:hAnsi="Arial"/>
                <w:sz w:val="14"/>
                <w:szCs w:val="14"/>
                <w:color w:val="auto"/>
                <w:w w:val="93"/>
              </w:rPr>
              <w:t>75-3099507</w:t>
            </w:r>
          </w:p>
        </w:tc>
      </w:tr>
      <w:tr>
        <w:trPr>
          <w:trHeight w:val="147"/>
        </w:trPr>
        <w:tc>
          <w:tcPr>
            <w:tcW w:w="3660" w:type="dxa"/>
            <w:vAlign w:val="bottom"/>
          </w:tcPr>
          <w:p>
            <w:pPr>
              <w:jc w:val="center"/>
              <w:ind w:left="1224"/>
              <w:spacing w:after="0" w:line="147" w:lineRule="exact"/>
              <w:rPr>
                <w:sz w:val="20"/>
                <w:szCs w:val="20"/>
                <w:color w:val="auto"/>
              </w:rPr>
            </w:pPr>
            <w:r>
              <w:rPr>
                <w:rFonts w:ascii="Arial" w:cs="Arial" w:eastAsia="Arial" w:hAnsi="Arial"/>
                <w:sz w:val="14"/>
                <w:szCs w:val="14"/>
                <w:color w:val="auto"/>
                <w:w w:val="95"/>
              </w:rPr>
              <w:t>(State or other jurisdiction of</w:t>
            </w: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00" w:type="dxa"/>
            <w:vAlign w:val="bottom"/>
          </w:tcPr>
          <w:p>
            <w:pPr>
              <w:jc w:val="center"/>
              <w:ind w:right="164"/>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4"/>
              </w:rPr>
              <w:t>incorporation or organization)</w:t>
            </w:r>
          </w:p>
        </w:tc>
        <w:tc>
          <w:tcPr>
            <w:tcW w:w="2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700" w:type="dxa"/>
            <w:vAlign w:val="bottom"/>
          </w:tcPr>
          <w:p>
            <w:pPr>
              <w:jc w:val="center"/>
              <w:ind w:right="184"/>
              <w:spacing w:after="0"/>
              <w:rPr>
                <w:sz w:val="20"/>
                <w:szCs w:val="20"/>
                <w:color w:val="auto"/>
              </w:rPr>
            </w:pPr>
            <w:r>
              <w:rPr>
                <w:rFonts w:ascii="Arial" w:cs="Arial" w:eastAsia="Arial" w:hAnsi="Arial"/>
                <w:sz w:val="14"/>
                <w:szCs w:val="14"/>
                <w:color w:val="auto"/>
                <w:w w:val="99"/>
              </w:rPr>
              <w:t>Identification No.)</w:t>
            </w:r>
          </w:p>
        </w:tc>
      </w:tr>
      <w:tr>
        <w:trPr>
          <w:trHeight w:val="346"/>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2"/>
              </w:rPr>
              <w:t>770 Township Line Road</w:t>
            </w:r>
          </w:p>
        </w:tc>
        <w:tc>
          <w:tcPr>
            <w:tcW w:w="2060" w:type="dxa"/>
            <w:vAlign w:val="bottom"/>
          </w:tcPr>
          <w:p>
            <w:pPr>
              <w:ind w:left="1400"/>
              <w:spacing w:after="0"/>
              <w:rPr>
                <w:sz w:val="20"/>
                <w:szCs w:val="20"/>
                <w:color w:val="auto"/>
              </w:rPr>
            </w:pPr>
            <w:r>
              <w:rPr>
                <w:rFonts w:ascii="Arial" w:cs="Arial" w:eastAsia="Arial" w:hAnsi="Arial"/>
                <w:sz w:val="14"/>
                <w:szCs w:val="14"/>
                <w:color w:val="auto"/>
              </w:rPr>
              <w:t>Yardley</w:t>
            </w:r>
          </w:p>
        </w:tc>
        <w:tc>
          <w:tcPr>
            <w:tcW w:w="820" w:type="dxa"/>
            <w:vAlign w:val="bottom"/>
          </w:tcPr>
          <w:p>
            <w:pPr>
              <w:ind w:left="160"/>
              <w:spacing w:after="0"/>
              <w:rPr>
                <w:sz w:val="20"/>
                <w:szCs w:val="20"/>
                <w:color w:val="auto"/>
              </w:rPr>
            </w:pPr>
            <w:r>
              <w:rPr>
                <w:rFonts w:ascii="Arial" w:cs="Arial" w:eastAsia="Arial" w:hAnsi="Arial"/>
                <w:sz w:val="14"/>
                <w:szCs w:val="14"/>
                <w:color w:val="auto"/>
              </w:rPr>
              <w:t>PA</w:t>
            </w:r>
          </w:p>
        </w:tc>
        <w:tc>
          <w:tcPr>
            <w:tcW w:w="4700" w:type="dxa"/>
            <w:vAlign w:val="bottom"/>
          </w:tcPr>
          <w:p>
            <w:pPr>
              <w:jc w:val="center"/>
              <w:ind w:right="164"/>
              <w:spacing w:after="0"/>
              <w:rPr>
                <w:sz w:val="20"/>
                <w:szCs w:val="20"/>
                <w:color w:val="auto"/>
              </w:rPr>
            </w:pPr>
            <w:r>
              <w:rPr>
                <w:rFonts w:ascii="Arial" w:cs="Arial" w:eastAsia="Arial" w:hAnsi="Arial"/>
                <w:sz w:val="14"/>
                <w:szCs w:val="14"/>
                <w:color w:val="auto"/>
                <w:w w:val="93"/>
              </w:rPr>
              <w:t>19067-4232</w:t>
            </w:r>
          </w:p>
        </w:tc>
      </w:tr>
      <w:tr>
        <w:trPr>
          <w:trHeight w:val="189"/>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5"/>
              </w:rPr>
              <w:t>(Address of principal executive offices)</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84"/>
              <w:spacing w:after="0"/>
              <w:rPr>
                <w:sz w:val="20"/>
                <w:szCs w:val="20"/>
                <w:color w:val="auto"/>
              </w:rPr>
            </w:pPr>
            <w:r>
              <w:rPr>
                <w:rFonts w:ascii="Arial" w:cs="Arial" w:eastAsia="Arial" w:hAnsi="Arial"/>
                <w:sz w:val="14"/>
                <w:szCs w:val="14"/>
                <w:color w:val="auto"/>
                <w:w w:val="96"/>
              </w:rPr>
              <w:t>(Zip Code)</w:t>
            </w:r>
          </w:p>
        </w:tc>
      </w:tr>
      <w:tr>
        <w:trPr>
          <w:trHeight w:val="263"/>
        </w:trPr>
        <w:tc>
          <w:tcPr>
            <w:tcW w:w="3660" w:type="dxa"/>
            <w:vAlign w:val="bottom"/>
          </w:tcPr>
          <w:p>
            <w:pPr>
              <w:spacing w:after="0"/>
              <w:rPr>
                <w:sz w:val="22"/>
                <w:szCs w:val="22"/>
                <w:color w:val="auto"/>
              </w:rPr>
            </w:pPr>
          </w:p>
        </w:tc>
        <w:tc>
          <w:tcPr>
            <w:tcW w:w="7580" w:type="dxa"/>
            <w:vAlign w:val="bottom"/>
            <w:gridSpan w:val="3"/>
          </w:tcPr>
          <w:p>
            <w:pPr>
              <w:jc w:val="center"/>
              <w:ind w:right="3584"/>
              <w:spacing w:after="0"/>
              <w:rPr>
                <w:sz w:val="20"/>
                <w:szCs w:val="20"/>
                <w:color w:val="auto"/>
              </w:rPr>
            </w:pPr>
            <w:r>
              <w:rPr>
                <w:rFonts w:ascii="Arial" w:cs="Arial" w:eastAsia="Arial" w:hAnsi="Arial"/>
                <w:sz w:val="14"/>
                <w:szCs w:val="14"/>
                <w:color w:val="auto"/>
                <w:w w:val="92"/>
              </w:rPr>
              <w:t>Registrant’s telephone number, including area code: 215-698-5100</w:t>
            </w:r>
          </w:p>
        </w:tc>
      </w:tr>
      <w:tr>
        <w:trPr>
          <w:trHeight w:val="182"/>
        </w:trPr>
        <w:tc>
          <w:tcPr>
            <w:tcW w:w="3660" w:type="dxa"/>
            <w:vAlign w:val="bottom"/>
          </w:tcPr>
          <w:p>
            <w:pPr>
              <w:spacing w:after="0"/>
              <w:rPr>
                <w:sz w:val="15"/>
                <w:szCs w:val="15"/>
                <w:color w:val="auto"/>
              </w:rPr>
            </w:pPr>
          </w:p>
        </w:tc>
        <w:tc>
          <w:tcPr>
            <w:tcW w:w="2880" w:type="dxa"/>
            <w:vAlign w:val="bottom"/>
            <w:gridSpan w:val="2"/>
          </w:tcPr>
          <w:p>
            <w:pPr>
              <w:jc w:val="center"/>
              <w:ind w:left="964"/>
              <w:spacing w:after="0"/>
              <w:rPr>
                <w:sz w:val="20"/>
                <w:szCs w:val="20"/>
                <w:color w:val="auto"/>
              </w:rPr>
            </w:pPr>
            <w:r>
              <w:rPr>
                <w:rFonts w:ascii="Arial" w:cs="Arial" w:eastAsia="Arial" w:hAnsi="Arial"/>
                <w:sz w:val="14"/>
                <w:szCs w:val="14"/>
                <w:color w:val="auto"/>
                <w:w w:val="92"/>
              </w:rPr>
              <w:t>____________________</w:t>
            </w:r>
          </w:p>
        </w:tc>
        <w:tc>
          <w:tcPr>
            <w:tcW w:w="4700" w:type="dxa"/>
            <w:vAlign w:val="bottom"/>
          </w:tcPr>
          <w:p>
            <w:pPr>
              <w:spacing w:after="0"/>
              <w:rPr>
                <w:sz w:val="15"/>
                <w:szCs w:val="15"/>
                <w:color w:val="auto"/>
              </w:rPr>
            </w:pPr>
          </w:p>
        </w:tc>
      </w:tr>
      <w:tr>
        <w:trPr>
          <w:trHeight w:val="276"/>
        </w:trPr>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2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2880" w:type="dxa"/>
            <w:vAlign w:val="bottom"/>
            <w:tcBorders>
              <w:bottom w:val="single" w:sz="8" w:color="auto"/>
            </w:tcBorders>
            <w:gridSpan w:val="2"/>
          </w:tcPr>
          <w:p>
            <w:pPr>
              <w:ind w:left="1420"/>
              <w:spacing w:after="0"/>
              <w:rPr>
                <w:sz w:val="20"/>
                <w:szCs w:val="20"/>
                <w:color w:val="auto"/>
              </w:rPr>
            </w:pPr>
            <w:r>
              <w:rPr>
                <w:rFonts w:ascii="Arial" w:cs="Arial" w:eastAsia="Arial" w:hAnsi="Arial"/>
                <w:sz w:val="16"/>
                <w:szCs w:val="16"/>
                <w:color w:val="auto"/>
              </w:rPr>
              <w:t>Trading Symbols</w:t>
            </w:r>
          </w:p>
        </w:tc>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Name of each exchange on which registered</w:t>
            </w:r>
          </w:p>
        </w:tc>
      </w:tr>
      <w:tr>
        <w:trPr>
          <w:trHeight w:val="206"/>
        </w:trPr>
        <w:tc>
          <w:tcPr>
            <w:tcW w:w="366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2060" w:type="dxa"/>
            <w:vAlign w:val="bottom"/>
          </w:tcPr>
          <w:p>
            <w:pPr>
              <w:ind w:left="1420"/>
              <w:spacing w:after="0"/>
              <w:rPr>
                <w:sz w:val="20"/>
                <w:szCs w:val="20"/>
                <w:color w:val="auto"/>
              </w:rPr>
            </w:pPr>
            <w:r>
              <w:rPr>
                <w:rFonts w:ascii="Arial" w:cs="Arial" w:eastAsia="Arial" w:hAnsi="Arial"/>
                <w:sz w:val="16"/>
                <w:szCs w:val="16"/>
                <w:color w:val="auto"/>
              </w:rPr>
              <w:t>CCK</w:t>
            </w:r>
          </w:p>
        </w:tc>
        <w:tc>
          <w:tcPr>
            <w:tcW w:w="820" w:type="dxa"/>
            <w:vAlign w:val="bottom"/>
          </w:tcPr>
          <w:p>
            <w:pPr>
              <w:spacing w:after="0"/>
              <w:rPr>
                <w:sz w:val="17"/>
                <w:szCs w:val="17"/>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2060" w:type="dxa"/>
            <w:vAlign w:val="bottom"/>
          </w:tcPr>
          <w:p>
            <w:pPr>
              <w:ind w:left="1420"/>
              <w:spacing w:after="0"/>
              <w:rPr>
                <w:sz w:val="20"/>
                <w:szCs w:val="20"/>
                <w:color w:val="auto"/>
              </w:rPr>
            </w:pPr>
            <w:r>
              <w:rPr>
                <w:rFonts w:ascii="Arial" w:cs="Arial" w:eastAsia="Arial" w:hAnsi="Arial"/>
                <w:sz w:val="16"/>
                <w:szCs w:val="16"/>
                <w:color w:val="auto"/>
              </w:rPr>
              <w:t>CCK26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2060" w:type="dxa"/>
            <w:vAlign w:val="bottom"/>
          </w:tcPr>
          <w:p>
            <w:pPr>
              <w:ind w:left="1420"/>
              <w:spacing w:after="0"/>
              <w:rPr>
                <w:sz w:val="20"/>
                <w:szCs w:val="20"/>
                <w:color w:val="auto"/>
              </w:rPr>
            </w:pPr>
            <w:r>
              <w:rPr>
                <w:rFonts w:ascii="Arial" w:cs="Arial" w:eastAsia="Arial" w:hAnsi="Arial"/>
                <w:sz w:val="16"/>
                <w:szCs w:val="16"/>
                <w:color w:val="auto"/>
              </w:rPr>
              <w:t>CCK96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bl>
    <w:p>
      <w:pPr>
        <w:spacing w:after="0" w:line="100" w:lineRule="exact"/>
        <w:rPr>
          <w:sz w:val="24"/>
          <w:szCs w:val="24"/>
          <w:color w:val="auto"/>
        </w:rPr>
      </w:pPr>
    </w:p>
    <w:p>
      <w:pPr>
        <w:jc w:val="right"/>
        <w:ind w:right="5180"/>
        <w:spacing w:after="0" w:line="236" w:lineRule="auto"/>
        <w:rPr>
          <w:sz w:val="20"/>
          <w:szCs w:val="20"/>
          <w:color w:val="auto"/>
        </w:rPr>
      </w:pPr>
      <w:r>
        <w:rPr>
          <w:rFonts w:ascii="Arial" w:cs="Arial" w:eastAsia="Arial" w:hAnsi="Arial"/>
          <w:sz w:val="16"/>
          <w:szCs w:val="16"/>
          <w:b w:val="1"/>
          <w:bCs w:val="1"/>
          <w:color w:val="auto"/>
        </w:rPr>
        <w:t xml:space="preserve">SECURITIES REGISTERED PURSUANT TO SECTION 12(g) OF THE ACT: NONE </w:t>
      </w:r>
      <w:r>
        <w:rPr>
          <w:rFonts w:ascii="Arial" w:cs="Arial" w:eastAsia="Arial" w:hAnsi="Arial"/>
          <w:sz w:val="14"/>
          <w:szCs w:val="14"/>
          <w:color w:val="auto"/>
        </w:rPr>
        <w:t>(Title of Class)</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1"/>
          <w:szCs w:val="11"/>
          <w:color w:val="auto"/>
        </w:rPr>
        <w:t>____________________</w:t>
      </w:r>
    </w:p>
    <w:p>
      <w:pPr>
        <w:spacing w:after="0" w:line="194" w:lineRule="exact"/>
        <w:rPr>
          <w:sz w:val="24"/>
          <w:szCs w:val="24"/>
          <w:color w:val="auto"/>
        </w:rPr>
      </w:pPr>
    </w:p>
    <w:p>
      <w:pPr>
        <w:spacing w:after="0" w:line="161" w:lineRule="exact"/>
        <w:tabs>
          <w:tab w:leader="none" w:pos="6880" w:val="left"/>
          <w:tab w:leader="none" w:pos="740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line="161" w:lineRule="exact"/>
        <w:tabs>
          <w:tab w:leader="none" w:pos="7620" w:val="left"/>
          <w:tab w:leader="none" w:pos="814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4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800" w:type="dxa"/>
            <w:vAlign w:val="bottom"/>
          </w:tcPr>
          <w:p>
            <w:pPr>
              <w:ind w:left="288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6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160"/>
        <w:spacing w:after="0" w:line="229" w:lineRule="auto"/>
        <w:rPr>
          <w:sz w:val="20"/>
          <w:szCs w:val="20"/>
          <w:color w:val="auto"/>
        </w:rPr>
      </w:pPr>
      <w:r>
        <w:rPr>
          <w:rFonts w:ascii="Arial" w:cs="Arial" w:eastAsia="Arial" w:hAnsi="Arial"/>
          <w:sz w:val="14"/>
          <w:szCs w:val="14"/>
          <w:color w:val="auto"/>
        </w:rPr>
        <w:t>As of June 30, 2020, 134,770,527 shares of the Registrant’s Common Stock, excluding shares held in Treasury, were issued and outstanding, and the aggregate market value of such shares held by non-affiliates of the Registrant on such date was $8,777,604,424 based on the New York Stock Exchange closing price for such shares on that date.</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24, 2021, 134,936,129 shares of the Registrant’s Common Stock were issued and outstanding.</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4220" w:type="dxa"/>
            <w:vAlign w:val="bottom"/>
            <w:gridSpan w:val="2"/>
          </w:tcPr>
          <w:p>
            <w:pPr>
              <w:ind w:left="580"/>
              <w:spacing w:after="0"/>
              <w:rPr>
                <w:sz w:val="20"/>
                <w:szCs w:val="20"/>
                <w:color w:val="auto"/>
              </w:rPr>
            </w:pPr>
            <w:r>
              <w:rPr>
                <w:rFonts w:ascii="Arial" w:cs="Arial" w:eastAsia="Arial" w:hAnsi="Arial"/>
                <w:sz w:val="14"/>
                <w:szCs w:val="14"/>
                <w:b w:val="1"/>
                <w:bCs w:val="1"/>
                <w:color w:val="auto"/>
              </w:rPr>
              <w:t>DOCUMENTS INCORPORATED BY REFERENCE</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0"/>
        </w:trPr>
        <w:tc>
          <w:tcPr>
            <w:tcW w:w="340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Document</w:t>
            </w:r>
          </w:p>
        </w:tc>
        <w:tc>
          <w:tcPr>
            <w:tcW w:w="3620" w:type="dxa"/>
            <w:vAlign w:val="bottom"/>
            <w:gridSpan w:val="3"/>
          </w:tcPr>
          <w:p>
            <w:pPr>
              <w:jc w:val="center"/>
              <w:ind w:right="780"/>
              <w:spacing w:after="0"/>
              <w:rPr>
                <w:sz w:val="20"/>
                <w:szCs w:val="20"/>
                <w:color w:val="auto"/>
              </w:rPr>
            </w:pPr>
            <w:r>
              <w:rPr>
                <w:rFonts w:ascii="Arial" w:cs="Arial" w:eastAsia="Arial" w:hAnsi="Arial"/>
                <w:sz w:val="14"/>
                <w:szCs w:val="14"/>
                <w:color w:val="auto"/>
                <w:w w:val="95"/>
              </w:rPr>
              <w:t>Parts Into Which Incorporated</w:t>
            </w:r>
          </w:p>
        </w:tc>
      </w:tr>
      <w:tr>
        <w:trPr>
          <w:trHeight w:val="20"/>
        </w:trPr>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8"/>
        </w:trPr>
        <w:tc>
          <w:tcPr>
            <w:tcW w:w="7620" w:type="dxa"/>
            <w:vAlign w:val="bottom"/>
            <w:gridSpan w:val="3"/>
          </w:tcPr>
          <w:p>
            <w:pPr>
              <w:ind w:left="720"/>
              <w:spacing w:after="0"/>
              <w:rPr>
                <w:sz w:val="20"/>
                <w:szCs w:val="20"/>
                <w:color w:val="auto"/>
              </w:rPr>
            </w:pPr>
            <w:r>
              <w:rPr>
                <w:rFonts w:ascii="Arial" w:cs="Arial" w:eastAsia="Arial" w:hAnsi="Arial"/>
                <w:sz w:val="14"/>
                <w:szCs w:val="14"/>
                <w:color w:val="auto"/>
              </w:rPr>
              <w:t>Proxy Statement for the Annual Meeting of Shareholders to be held April 22, 2021</w:t>
            </w:r>
          </w:p>
        </w:tc>
        <w:tc>
          <w:tcPr>
            <w:tcW w:w="3620" w:type="dxa"/>
            <w:vAlign w:val="bottom"/>
            <w:gridSpan w:val="3"/>
          </w:tcPr>
          <w:p>
            <w:pPr>
              <w:jc w:val="center"/>
              <w:ind w:right="780"/>
              <w:spacing w:after="0"/>
              <w:rPr>
                <w:sz w:val="20"/>
                <w:szCs w:val="20"/>
                <w:color w:val="auto"/>
              </w:rPr>
            </w:pPr>
            <w:r>
              <w:rPr>
                <w:rFonts w:ascii="Arial" w:cs="Arial" w:eastAsia="Arial" w:hAnsi="Arial"/>
                <w:sz w:val="14"/>
                <w:szCs w:val="14"/>
                <w:color w:val="auto"/>
                <w:w w:val="94"/>
              </w:rPr>
              <w:t>Part III to the extent described therein</w:t>
            </w:r>
          </w:p>
        </w:tc>
      </w:tr>
      <w:tr>
        <w:trPr>
          <w:trHeight w:val="478"/>
        </w:trPr>
        <w:tc>
          <w:tcPr>
            <w:tcW w:w="3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466"/>
        </w:trPr>
        <w:tc>
          <w:tcPr>
            <w:tcW w:w="3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709"/>
        </w:trPr>
        <w:tc>
          <w:tcPr>
            <w:tcW w:w="3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Crown Holdings, Inc.</w:t>
            </w:r>
          </w:p>
        </w:tc>
        <w:tc>
          <w:tcPr>
            <w:tcW w:w="1100" w:type="dxa"/>
            <w:vAlign w:val="bottom"/>
          </w:tcPr>
          <w:p>
            <w:pPr>
              <w:spacing w:after="0"/>
              <w:rPr>
                <w:sz w:val="20"/>
                <w:szCs w:val="20"/>
                <w:color w:val="auto"/>
              </w:rPr>
            </w:pPr>
          </w:p>
        </w:tc>
      </w:tr>
      <w:tr>
        <w:trPr>
          <w:trHeight w:val="891"/>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40" w:type="dxa"/>
            <w:vAlign w:val="bottom"/>
          </w:tcPr>
          <w:p>
            <w:pPr>
              <w:jc w:val="center"/>
              <w:ind w:right="90"/>
              <w:spacing w:after="0"/>
              <w:rPr>
                <w:sz w:val="20"/>
                <w:szCs w:val="20"/>
                <w:color w:val="auto"/>
              </w:rPr>
            </w:pPr>
            <w:r>
              <w:rPr>
                <w:rFonts w:ascii="Arial" w:cs="Arial" w:eastAsia="Arial" w:hAnsi="Arial"/>
                <w:sz w:val="18"/>
                <w:szCs w:val="18"/>
                <w:color w:val="auto"/>
                <w:w w:val="95"/>
              </w:rPr>
              <w:t>2020 FORM 10-K ANNUAL REPORT</w:t>
            </w:r>
          </w:p>
        </w:tc>
        <w:tc>
          <w:tcPr>
            <w:tcW w:w="1100" w:type="dxa"/>
            <w:vAlign w:val="bottom"/>
          </w:tcPr>
          <w:p>
            <w:pPr>
              <w:spacing w:after="0"/>
              <w:rPr>
                <w:sz w:val="24"/>
                <w:szCs w:val="24"/>
                <w:color w:val="auto"/>
              </w:rPr>
            </w:pPr>
          </w:p>
        </w:tc>
      </w:tr>
      <w:tr>
        <w:trPr>
          <w:trHeight w:val="459"/>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40" w:type="dxa"/>
            <w:vAlign w:val="bottom"/>
          </w:tcPr>
          <w:p>
            <w:pPr>
              <w:jc w:val="center"/>
              <w:ind w:right="90"/>
              <w:spacing w:after="0"/>
              <w:rPr>
                <w:sz w:val="20"/>
                <w:szCs w:val="20"/>
                <w:color w:val="auto"/>
              </w:rPr>
            </w:pPr>
            <w:r>
              <w:rPr>
                <w:rFonts w:ascii="Arial" w:cs="Arial" w:eastAsia="Arial" w:hAnsi="Arial"/>
                <w:sz w:val="18"/>
                <w:szCs w:val="18"/>
                <w:color w:val="auto"/>
                <w:w w:val="95"/>
              </w:rPr>
              <w:t>TABLE OF CONTENTS</w:t>
            </w:r>
          </w:p>
        </w:tc>
        <w:tc>
          <w:tcPr>
            <w:tcW w:w="110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40" w:type="dxa"/>
            <w:vAlign w:val="bottom"/>
          </w:tcPr>
          <w:p>
            <w:pPr>
              <w:jc w:val="center"/>
              <w:ind w:right="170"/>
              <w:spacing w:after="0"/>
              <w:rPr>
                <w:sz w:val="20"/>
                <w:szCs w:val="20"/>
                <w:color w:val="auto"/>
              </w:rPr>
            </w:pPr>
            <w:r>
              <w:rPr>
                <w:rFonts w:ascii="Arial" w:cs="Arial" w:eastAsia="Arial" w:hAnsi="Arial"/>
                <w:sz w:val="18"/>
                <w:szCs w:val="18"/>
                <w:color w:val="auto"/>
                <w:w w:val="92"/>
              </w:rPr>
              <w:t>PART I</w:t>
            </w:r>
          </w:p>
        </w:tc>
        <w:tc>
          <w:tcPr>
            <w:tcW w:w="110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84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Item 1A</w:t>
              </w:r>
            </w:hyperlink>
          </w:p>
        </w:tc>
        <w:tc>
          <w:tcPr>
            <w:tcW w:w="8840" w:type="dxa"/>
            <w:vAlign w:val="bottom"/>
          </w:tcPr>
          <w:p>
            <w:pPr>
              <w:ind w:left="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1B</w:t>
              </w:r>
            </w:hyperlink>
          </w:p>
        </w:tc>
        <w:tc>
          <w:tcPr>
            <w:tcW w:w="8840" w:type="dxa"/>
            <w:vAlign w:val="bottom"/>
          </w:tcPr>
          <w:p>
            <w:pPr>
              <w:ind w:left="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Unresolved Staff Comments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2</w:t>
              </w:r>
            </w:hyperlink>
          </w:p>
        </w:tc>
        <w:tc>
          <w:tcPr>
            <w:tcW w:w="8840" w:type="dxa"/>
            <w:vAlign w:val="bottom"/>
          </w:tcPr>
          <w:p>
            <w:pPr>
              <w:ind w:left="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Properties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3</w:t>
              </w:r>
            </w:hyperlink>
          </w:p>
        </w:tc>
        <w:tc>
          <w:tcPr>
            <w:tcW w:w="8840" w:type="dxa"/>
            <w:vAlign w:val="bottom"/>
          </w:tcPr>
          <w:p>
            <w:pPr>
              <w:ind w:left="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Legal Proceedings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24</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4</w:t>
              </w:r>
            </w:hyperlink>
          </w:p>
        </w:tc>
        <w:tc>
          <w:tcPr>
            <w:tcW w:w="8840" w:type="dxa"/>
            <w:vAlign w:val="bottom"/>
          </w:tcPr>
          <w:p>
            <w:pPr>
              <w:ind w:left="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24</w:t>
            </w:r>
          </w:p>
        </w:tc>
      </w:tr>
      <w:tr>
        <w:trPr>
          <w:trHeight w:val="392"/>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40" w:type="dxa"/>
            <w:vAlign w:val="bottom"/>
          </w:tcPr>
          <w:p>
            <w:pPr>
              <w:jc w:val="center"/>
              <w:ind w:right="190"/>
              <w:spacing w:after="0"/>
              <w:rPr>
                <w:sz w:val="20"/>
                <w:szCs w:val="20"/>
                <w:color w:val="auto"/>
              </w:rPr>
            </w:pPr>
            <w:r>
              <w:rPr>
                <w:rFonts w:ascii="Arial" w:cs="Arial" w:eastAsia="Arial" w:hAnsi="Arial"/>
                <w:sz w:val="18"/>
                <w:szCs w:val="18"/>
                <w:color w:val="auto"/>
                <w:w w:val="95"/>
              </w:rPr>
              <w:t>PART II</w:t>
            </w:r>
          </w:p>
        </w:tc>
        <w:tc>
          <w:tcPr>
            <w:tcW w:w="110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8840" w:type="dxa"/>
            <w:vAlign w:val="bottom"/>
          </w:tcPr>
          <w:p>
            <w:pPr>
              <w:ind w:left="40"/>
              <w:spacing w:after="0"/>
              <w:rPr>
                <w:rFonts w:ascii="Arial" w:cs="Arial" w:eastAsia="Arial" w:hAnsi="Arial"/>
                <w:sz w:val="18"/>
                <w:szCs w:val="18"/>
                <w:u w:val="single" w:color="auto"/>
                <w:color w:val="0000FF"/>
                <w:w w:val="98"/>
              </w:rPr>
            </w:pPr>
            <w:hyperlink w:anchor="page27">
              <w:r>
                <w:rPr>
                  <w:rFonts w:ascii="Arial" w:cs="Arial" w:eastAsia="Arial" w:hAnsi="Arial"/>
                  <w:sz w:val="18"/>
                  <w:szCs w:val="18"/>
                  <w:u w:val="single" w:color="auto"/>
                  <w:color w:val="0000FF"/>
                  <w:w w:val="98"/>
                </w:rPr>
                <w:t>Market for Registrant’s Common Equity, Related Stockholder Matters and Issuer Purchases of Equity Securities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351"/>
        </w:trPr>
        <w:tc>
          <w:tcPr>
            <w:tcW w:w="140" w:type="dxa"/>
            <w:vAlign w:val="bottom"/>
          </w:tcPr>
          <w:p>
            <w:pPr>
              <w:spacing w:after="0"/>
              <w:rPr>
                <w:sz w:val="24"/>
                <w:szCs w:val="24"/>
                <w:color w:val="auto"/>
              </w:rPr>
            </w:pPr>
          </w:p>
        </w:tc>
        <w:tc>
          <w:tcPr>
            <w:tcW w:w="480" w:type="dxa"/>
            <w:vAlign w:val="bottom"/>
            <w:tcBorders>
              <w:bottom w:val="single" w:sz="8" w:color="0000FF"/>
            </w:tcBorders>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6</w:t>
              </w:r>
            </w:hyperlink>
          </w:p>
        </w:tc>
        <w:tc>
          <w:tcPr>
            <w:tcW w:w="680" w:type="dxa"/>
            <w:vAlign w:val="bottom"/>
          </w:tcPr>
          <w:p>
            <w:pPr>
              <w:spacing w:after="0"/>
              <w:rPr>
                <w:sz w:val="24"/>
                <w:szCs w:val="24"/>
                <w:color w:val="auto"/>
              </w:rPr>
            </w:pPr>
          </w:p>
        </w:tc>
        <w:tc>
          <w:tcPr>
            <w:tcW w:w="8840" w:type="dxa"/>
            <w:vAlign w:val="bottom"/>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Selected Financial Data</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26</w:t>
            </w:r>
          </w:p>
        </w:tc>
      </w:tr>
      <w:tr>
        <w:trPr>
          <w:trHeight w:val="41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7</w:t>
              </w:r>
            </w:hyperlink>
          </w:p>
        </w:tc>
        <w:tc>
          <w:tcPr>
            <w:tcW w:w="8840" w:type="dxa"/>
            <w:vAlign w:val="bottom"/>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7A</w:t>
              </w:r>
            </w:hyperlink>
          </w:p>
        </w:tc>
        <w:tc>
          <w:tcPr>
            <w:tcW w:w="884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Quantitative and Qualitative Disclosures About Market Risk</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42</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8</w:t>
              </w:r>
            </w:hyperlink>
          </w:p>
        </w:tc>
        <w:tc>
          <w:tcPr>
            <w:tcW w:w="884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Financial Statements and Supplementary Data</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43</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9</w:t>
              </w:r>
            </w:hyperlink>
          </w:p>
        </w:tc>
        <w:tc>
          <w:tcPr>
            <w:tcW w:w="8840" w:type="dxa"/>
            <w:vAlign w:val="bottom"/>
          </w:tcPr>
          <w:p>
            <w:pPr>
              <w:ind w:left="4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Changes in and Disagreements with Accountants on Accounting and Financial Disclosure</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88</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9A</w:t>
              </w:r>
            </w:hyperlink>
          </w:p>
        </w:tc>
        <w:tc>
          <w:tcPr>
            <w:tcW w:w="8840" w:type="dxa"/>
            <w:vAlign w:val="bottom"/>
          </w:tcPr>
          <w:p>
            <w:pPr>
              <w:ind w:left="4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Controls and Procedures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88</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9B</w:t>
              </w:r>
            </w:hyperlink>
          </w:p>
        </w:tc>
        <w:tc>
          <w:tcPr>
            <w:tcW w:w="884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Other Information</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89</w:t>
            </w:r>
          </w:p>
        </w:tc>
      </w:tr>
      <w:tr>
        <w:trPr>
          <w:trHeight w:val="391"/>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40" w:type="dxa"/>
            <w:vAlign w:val="bottom"/>
          </w:tcPr>
          <w:p>
            <w:pPr>
              <w:jc w:val="center"/>
              <w:ind w:right="170"/>
              <w:spacing w:after="0"/>
              <w:rPr>
                <w:sz w:val="20"/>
                <w:szCs w:val="20"/>
                <w:color w:val="auto"/>
              </w:rPr>
            </w:pPr>
            <w:r>
              <w:rPr>
                <w:rFonts w:ascii="Arial" w:cs="Arial" w:eastAsia="Arial" w:hAnsi="Arial"/>
                <w:sz w:val="18"/>
                <w:szCs w:val="18"/>
                <w:color w:val="auto"/>
                <w:w w:val="96"/>
              </w:rPr>
              <w:t>PART III</w:t>
            </w:r>
          </w:p>
        </w:tc>
        <w:tc>
          <w:tcPr>
            <w:tcW w:w="110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10</w:t>
              </w:r>
            </w:hyperlink>
          </w:p>
        </w:tc>
        <w:tc>
          <w:tcPr>
            <w:tcW w:w="884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Directors, Executive Officers and Corporate Governance</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89</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11</w:t>
              </w:r>
            </w:hyperlink>
          </w:p>
        </w:tc>
        <w:tc>
          <w:tcPr>
            <w:tcW w:w="884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Executive Compensation</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89</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12</w:t>
              </w:r>
            </w:hyperlink>
          </w:p>
        </w:tc>
        <w:tc>
          <w:tcPr>
            <w:tcW w:w="884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Security Ownership of Certain Beneficial Owners and Management and Related Stockholder Matters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90</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13</w:t>
              </w:r>
            </w:hyperlink>
          </w:p>
        </w:tc>
        <w:tc>
          <w:tcPr>
            <w:tcW w:w="8840" w:type="dxa"/>
            <w:vAlign w:val="bottom"/>
          </w:tcPr>
          <w:p>
            <w:pPr>
              <w:ind w:left="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Certain Relationships and Related Transactions, and Director Independence</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90</w:t>
            </w: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14</w:t>
              </w:r>
            </w:hyperlink>
          </w:p>
        </w:tc>
        <w:tc>
          <w:tcPr>
            <w:tcW w:w="8840" w:type="dxa"/>
            <w:vAlign w:val="bottom"/>
          </w:tcPr>
          <w:p>
            <w:pPr>
              <w:ind w:left="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Principal Accounting Fees and Services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90</w:t>
            </w:r>
          </w:p>
        </w:tc>
      </w:tr>
      <w:tr>
        <w:trPr>
          <w:trHeight w:val="391"/>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40" w:type="dxa"/>
            <w:vAlign w:val="bottom"/>
          </w:tcPr>
          <w:p>
            <w:pPr>
              <w:jc w:val="center"/>
              <w:ind w:right="190"/>
              <w:spacing w:after="0"/>
              <w:rPr>
                <w:sz w:val="20"/>
                <w:szCs w:val="20"/>
                <w:color w:val="auto"/>
              </w:rPr>
            </w:pPr>
            <w:r>
              <w:rPr>
                <w:rFonts w:ascii="Arial" w:cs="Arial" w:eastAsia="Arial" w:hAnsi="Arial"/>
                <w:sz w:val="18"/>
                <w:szCs w:val="18"/>
                <w:color w:val="auto"/>
                <w:w w:val="97"/>
              </w:rPr>
              <w:t>PART IV</w:t>
            </w:r>
          </w:p>
        </w:tc>
        <w:tc>
          <w:tcPr>
            <w:tcW w:w="110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15</w:t>
              </w:r>
            </w:hyperlink>
          </w:p>
        </w:tc>
        <w:tc>
          <w:tcPr>
            <w:tcW w:w="8840" w:type="dxa"/>
            <w:vAlign w:val="bottom"/>
          </w:tcPr>
          <w:p>
            <w:pPr>
              <w:ind w:left="4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Exhibits and Financial Statement Schedules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91</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Item 16</w:t>
              </w:r>
            </w:hyperlink>
          </w:p>
        </w:tc>
        <w:tc>
          <w:tcPr>
            <w:tcW w:w="8840" w:type="dxa"/>
            <w:vAlign w:val="bottom"/>
          </w:tcPr>
          <w:p>
            <w:pPr>
              <w:ind w:left="4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Form 10-K Summary</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97</w:t>
            </w:r>
          </w:p>
        </w:tc>
      </w:tr>
      <w:tr>
        <w:trPr>
          <w:trHeight w:val="391"/>
        </w:trPr>
        <w:tc>
          <w:tcPr>
            <w:tcW w:w="1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8"/>
                <w:szCs w:val="18"/>
                <w:u w:val="single" w:color="auto"/>
                <w:color w:val="0000FF"/>
                <w:w w:val="97"/>
              </w:rPr>
            </w:pPr>
            <w:hyperlink w:anchor="page99">
              <w:r>
                <w:rPr>
                  <w:rFonts w:ascii="Arial" w:cs="Arial" w:eastAsia="Arial" w:hAnsi="Arial"/>
                  <w:sz w:val="18"/>
                  <w:szCs w:val="18"/>
                  <w:u w:val="single" w:color="auto"/>
                  <w:color w:val="0000FF"/>
                  <w:w w:val="97"/>
                </w:rPr>
                <w:t>SIGNATURES</w:t>
              </w:r>
            </w:hyperlink>
          </w:p>
        </w:tc>
        <w:tc>
          <w:tcPr>
            <w:tcW w:w="884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98</w:t>
            </w:r>
          </w:p>
        </w:tc>
      </w:tr>
      <w:tr>
        <w:trPr>
          <w:trHeight w:val="1114"/>
        </w:trPr>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9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BUSINESS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worldwide leader in the design, manufacture and sale of packaging products and equipment for consumer goods and industrial products. The Company’s packaging for consumer goods includes steel and aluminum cans for food, beverage, household and other consumer products, glass bottles for beverage products, metal vacuum closures and steel crowns sold through the Company's sales organization to the soft drink, food, citrus, brewing, household products, personal care and various other industries. The Company's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2020, the Company operated 236 plants along with sales and service facilities throughout 47 countries and had approximately 33,000 employees. In 2020, consolidated net sales for the Company were $11.6 billion with 69% derived from operations outside the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DIVISIONS AND OPERATING SEGMENTS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generally organized by product line and geography within four divisions: Americas, Europe, Asia Pacific and Transit Packaging. See below for further information regarding the Company's divisions and reportable segments within each division. The Company's other segments include its North American food can business, its European aerosol and promotional packaging business, its North American aerosol can business and its beverage tooling and equipment operations in the U.S. and U.K.</w:t>
      </w:r>
    </w:p>
    <w:p>
      <w:pPr>
        <w:spacing w:after="0" w:line="214"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Additional financial information concerning the Company’s operating segments is set forth within “Management’s Discussion and Analysis of Financial Condition and Results of Operations” of this Annual Report and under </w:t>
      </w:r>
      <w:hyperlink w:anchor="page86">
        <w:r>
          <w:rPr>
            <w:rFonts w:ascii="Arial" w:cs="Arial" w:eastAsia="Arial" w:hAnsi="Arial"/>
            <w:sz w:val="18"/>
            <w:szCs w:val="18"/>
            <w:u w:val="single" w:color="auto"/>
            <w:color w:val="0000FF"/>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DIVISION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Division includes operations in the U.S., Brazil, Canada, the Caribbean, Colombia and Mexico. These operations manufacture beverage, food and aerosol cans and ends, glass bottles, specialty packaging, metal vacuum closures, steel crowns and aluminum caps. In 2020, the Americas Division had net sales of $4.6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Americas Beverage segment manufactures aluminum beverage cans and ends, glass bottles, steel crowns and aluminum caps. Manufacturing facilities are located in the U.S., Brazil, Canada, Colombia and Mexico. Americas Beverage had net sales in 2020 of $3.6 billion and segment income (as defined under </w:t>
      </w:r>
      <w:hyperlink w:anchor="page86">
        <w:r>
          <w:rPr>
            <w:rFonts w:ascii="Arial" w:cs="Arial" w:eastAsia="Arial" w:hAnsi="Arial"/>
            <w:sz w:val="18"/>
            <w:szCs w:val="18"/>
            <w:u w:val="single" w:color="auto"/>
            <w:color w:val="0000FF"/>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$652 million.</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DIVISION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European Division includes operations in Europe, the Middle East and Africa. These operations manufacture beverage, food and aerosol cans and ends, promotional packaging and metal vacuum closures and caps. Net sales in 2020 were $3.7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European Beverage segment manufactures steel and aluminum beverage cans and ends in Europe, the Middle East and North Africa. European Beverage had net sales in 2020 of $1.5 billion and segment income (as defined under </w:t>
      </w:r>
      <w:hyperlink w:anchor="page86">
        <w:r>
          <w:rPr>
            <w:rFonts w:ascii="Arial" w:cs="Arial" w:eastAsia="Arial" w:hAnsi="Arial"/>
            <w:sz w:val="16"/>
            <w:szCs w:val="16"/>
            <w:u w:val="single" w:color="auto"/>
            <w:color w:val="0000FF"/>
          </w:rPr>
          <w:t>Note X</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of $215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Food</w:t>
      </w:r>
    </w:p>
    <w:p>
      <w:pPr>
        <w:spacing w:after="0" w:line="256"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European Food segment manufactures steel and aluminum food cans and ends, and metal vacuum closures, in Europe and Africa. European Food had net sales in 2020 of $2.0 billion and segment income (as defined under </w:t>
      </w:r>
      <w:hyperlink w:anchor="page86">
        <w:r>
          <w:rPr>
            <w:rFonts w:ascii="Arial" w:cs="Arial" w:eastAsia="Arial" w:hAnsi="Arial"/>
            <w:sz w:val="17"/>
            <w:szCs w:val="17"/>
            <w:u w:val="single" w:color="auto"/>
            <w:color w:val="0000FF"/>
          </w:rPr>
          <w:t>Note X</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of $228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 DIVISION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Asia Pacific Division is a reportable segment primarily consisting of beverage can operations in Cambodia, China, Indonesia, Malaysia, Myanmar, Singapore, Thailand and Vietnam and also includes non-beverage can operations, primarily food cans and specialty packaging.</w:t>
      </w:r>
    </w:p>
    <w:p>
      <w:pPr>
        <w:spacing w:after="0" w:line="19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Asia Pacific segment had net sales in 2020 of $1.2 billion and segment income (as defined under </w:t>
      </w:r>
      <w:hyperlink w:anchor="page86">
        <w:r>
          <w:rPr>
            <w:rFonts w:ascii="Arial" w:cs="Arial" w:eastAsia="Arial" w:hAnsi="Arial"/>
            <w:sz w:val="18"/>
            <w:szCs w:val="18"/>
            <w:u w:val="single" w:color="auto"/>
            <w:color w:val="0000FF"/>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$175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 DIVISION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Transit Packaging Division is a reportable segment which includes the Company’s worldwide industrial and protective solutions and equipment and tools businesses. Industrial solutions include steel strap, plastic strap, industrial film and other related products that are used in a wide range of industries, including steel, lumber, brick/block, corrugated boxes, food and beverage goods, agriculture products, and a large variety of other goods. Protective solutions include transit protection products, such as airbags, edge protectors, and honeycomb products that help prevent movement of, and/or damage to, a wide range of industrial and consumer goods during transport. Equipment and tools includes manual, semi-automatic and automatic equipment and tools, which are primarily used in end-of-line operations to apply consumables such as strap and film.</w:t>
      </w:r>
    </w:p>
    <w:p>
      <w:pPr>
        <w:spacing w:after="0" w:line="205"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Transit Packaging segment had net sales in 2020 of $2.0 billion and segment income (as defined under </w:t>
      </w:r>
      <w:hyperlink w:anchor="page86">
        <w:r>
          <w:rPr>
            <w:rFonts w:ascii="Arial" w:cs="Arial" w:eastAsia="Arial" w:hAnsi="Arial"/>
            <w:sz w:val="18"/>
            <w:szCs w:val="18"/>
            <w:u w:val="single" w:color="auto"/>
            <w:color w:val="0000FF"/>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$254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Beverage Cans and Glass Bottles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supplies beverage cans and ends and other packaging products to a variety of beverage and beer companies, including Anheuser-Busch InBev, Coca-Cola, Keurig Dr Pepper, Heineken, Molson Coors, Pepsi-Cola and Refresco, among others. The Company’s beverage can business is built around local, regional and global markets, which has served to develop the Company’s understanding of global customer and consumer expectations. The Company's glass bottle business is based in Mexico and serves customers primarily in the local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beverage market is dynamic and highly competitive, with each packaging manufacturer working together with its customers to satisfy consumers’ ever-changing needs. The Company competes by offering its customers broad market knowledge, resources at all levels of its worldwide organization and extensive research and development capabilities that have enabled the Company to provide its customers with innovative products. The Company meets its customers’ beverage packaging needs with an array of two-piece beverage cans and ends and metal bottle caps. Innovations include the SuperEnd® and 360 End™ beverage can ends, and size variations. Size variations include slim and sleek cans for portion control, low calorie products or other product differentiation, as well as larger sizes for high volume consumption. The Company expects to continue to add capacity in many of its growing markets around the world.</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Beverage can and glass bottle manufacturing is capital intensive, requiring significant investment in tools and machinery. The Company seeks to effectively manage its invested capital and is continuing its efforts to reduce the metal content of its cans and reduce non-metal costs, including water and energy usage, while improving production processes.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Cans and Closures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manufactures a variety of food cans and ends, including two-piece and three-piece cans in assorted shapes and sizes, and sells food cans to food marketers such as Abbott Laboratories, Bonduelle, Morgan Foods, Nestlé, Princes Group and Simmons Foods, among others. The Company offers a wide variety of metal vacuum closures and sealing equipment solutions to leading marketers such as Abbott Laboratories, Danone, Nestlé and Unilever, among others, from a network of metal vacuum closure plants around the world. The Company supplies total packaging solutions, including metal and composite 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capping systems and services while working closely with customers, retailers and glass and plastic container manufacturers to develop innovative closure solutions and meet customer requirements.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Technologies used to produce food cans include three-piece welded, two-piece drawn and wall-ironed and two-piece drawn and redrawn. The Company also offers its LIFTOFF™ series of food ends, including its Easylift™ full aperture steel food can ends, and PeelSeam™ and PeelFit™ flexible aluminum foil laminated ends. The Company offers expertise in closure design and decoration, ranging from quality printing of the closure in up to nine colors, to inside-the-cap printing, which offers customers new promotional possibilities, to better product protection through Ideal Closures™, Orbit™ and Superplus™. The Company’s commitment to innovation has led to developments in packaging materials, surface finishes, can shaping, lithography, filling, retorting, sealing and opening techniques and environmental performance. The Company manufactures easy open, vacuum and conventional ends for a variety of heat-processed and dry food products including fruits and vegetables, meat and seafood, soups, ready-made meals, infant formula, coffee and pet food.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 Packaging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transit packaging products are used to contain, unitize, and protect goods during manufacturing, transport, and warehousing and are sold around the world under a broad array of well-known brand names such as Signode, Strapex, Orgapack, Shippers Airbags, Angleboard, and MIMA. The Company serves diverse end markets, including metals, food and beverage, construction, agricultural, corrugated and general industrial. The Company's long operational history has resulted in a large base of equipment, which drives recurring revenue through the sale of consumables, parts and service offerings and future equipment replacement sales. The Company's customer concentration is 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Aerosol Cans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customers for aerosol cans and ends include manufacturers of personal care, food, household and industrial products, including FrieslandCampina, Procter &amp; Gamble, S.C. Johnson and Unilever, among others. The aerosol can business is highly competitive. The Company competes by offering its customers a broad range of products including multiple sizes, multiple color schemes and shaped packaging.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and Specialty Packaging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promotional and specialty packaging businesses are primarily located in Europe and Asia. The Company produces a wide range of promotional and specialty packaging containers with numerous lid and closure variations. The Company’s customers include Britvic and Nestlé among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Global marketers qualify suppliers on the basis of their ability to provide global service, innovative designs and technologies in a cost-effective manner.</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global reach, the Company primarily markets and sells products to customers through its own sales and marketing staffs.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use of working capital. The Company schedules its production to meet customer requirements. Because the production time for the Company’s products is short, any backlog of customer orders in relation to overall sales is not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food packaging business is somewhat seasonal with the first quarter tending to be the slowest period as the autumn packing period in the Northern Hemisphere has ended and new crops are not yet planted. The industry generally enters its busiest period in the third quarter when the majority of fruits and vegetables are harvested and immediately canned. Due to this seasonality, inventory levels increase in the first half of the year to meet peak demand in the second and third quarters. Weather represents a substantial uncertainty in the yield of food products and is a major factor in determining the demand for food cans in any given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 Generally, beverage products are consumed in greater amounts during the warmer months of the year and sales have generally been higher in the second and third quarters of the calendar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businesses tend not to be as significantly affected by seasonal variations.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Group, Ball Corporation, Ball Metalpack, Mauser Packaging Solutions, Can-Pack S.A., Metal Container Corporation, Silgan Holdings Inc., and Trivium Packaging.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Transit Packaging Division also faces substantial competition from many regional and local competitors of various sizes in the manufacture, distribution and sale of its products. The division differentiates itself from the competition by leveraging its global scale, broad product portfolio and established brand reputation. The division's products compete, to some extent, with various other packaging materials, including other products made of paper, plastics, wood and various types of metal.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largest customers consist of many of the leading manufacturers and marketers of packaged consumer products in the world. Consolidation trends among beverage and food marketers have led to a concentrated customer base. The Company’s top ten global customers represented in the aggregate approximately 31% of its 2020 net sales. In each of the years in the period 2018 through 2020, no one customer accounted for more than ten percent of the Company’s net sales. Each operating segment, with the exception of the Transit Packaging Segment, has major customers and the loss of one or more of these major customers could have a material adverse effect on an individual segment or the Company as a whole. Major customers include those listed above under the caption "Products". In addition to sales to Coca-Cola and Pepsi-Cola, the Company also supplies independent licensees of Coca-Cola and Pepsi-Cola.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principal Research, Development &amp; Engineering ("RD&amp;E") Centers for packaging products for consumer goods are located in Alsip, Illinois and Wantage, United Kingdom. The Company utilizes its centralized corporate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w:t>
      </w:r>
    </w:p>
    <w:p>
      <w:pPr>
        <w:spacing w:after="0" w:line="2" w:lineRule="exact"/>
        <w:rPr>
          <w:sz w:val="20"/>
          <w:szCs w:val="20"/>
          <w:color w:val="auto"/>
        </w:rPr>
      </w:pPr>
    </w:p>
    <w:p>
      <w:pPr>
        <w:jc w:val="both"/>
        <w:ind w:firstLine="8"/>
        <w:spacing w:after="0" w:line="251" w:lineRule="auto"/>
        <w:tabs>
          <w:tab w:leader="none" w:pos="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 These corporate R&amp;D Centers are also applying their technical expertise to advance product design and manufacturing capabilities for the Company's Transit Packaging Division, supplementing their existing divisional product developments.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Eole™ easy-open food ends and can shaping have been licensed in Australia, Japan, and Africa to provide customers with global access to Crown's brand building innovations.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Transit Packaging Division is well known throughout its markets for its ability to drive product innovation and leadership in new technologies. The division focuses on market driven innovation and has a long history of creating product and service solutions that solve problems and create value for its customers. The division's platforms are primarily responsible for designing and executing their own research and development projects and the division's development process is comprised of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customer-oriented, "outside-in" approach. The division works with customers to determine their most pressing industrial packaging challenges, utilizing a rigorous multi-step product development process to ensure that they shape the ultimate product for both the customer and the broader market. Transit Packaging's track record of new product innovation is largely due to the success of this model.</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Transit Packaging Division has been an industry leader in industrial packaging innovation over the last 100 years as evidenced by their introduction of the first strap packaging product (1913), the first fully-automatic strapping machine (1946), the industry's first battery operated plastic strap hand tools (1995), and most recently the industry's first battery-operated steel strap hand tools (2013). At the core of its intellectual property strategy is a focus on obtaining quality patents that cover key products and technologies, in alignment with its business objectives. The Transit Packaging Division has grown its global patent portfolio to over 330 United States issued patents or pending patent applications and over 1,110 foreign issued patents or pending patent applications. The portfolio broadly covers about 335 customized technologies and spans diverse business platforms, as well as the different countries in which it operates.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spent $53 million in 2020, $55 million in 2019, and $51 million in 2018 in its RD&amp;E activities. Certain of these activities are expected to improve and expand the Company's product lines in the future. These expenditures include projects to improve manufacturing efficiencies, reduce unit costs, and develop new and improved value-added packaging systems.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MATERIALS AND SUPPLIERS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various raw materials, primarily aluminum and steel, in its manufacturing operations. The Transit Packaging division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2020, consumption of steel and aluminum represented 16% and 35%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steel contracts typically one year in duration with fixed prices or set repricing dates, and aluminum contracts typically multi-year in duration with fluctuating prices based on aluminum ingot costs. The Company generally attempts to mitigate its steel and aluminum price risk by matching its purchase obligations with its sales agreements; however, there can be no assurance that the Company will be able to fully mitigate that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commodity and foreign currency forwards in an attempt to manage its exposure to aluminum price volatility.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steel and aluminum for a significant period of time, its operations would be disrupted, and if the Company were unable to fully recover the higher cost of steel and aluminum, its financial results may be adversely affected. As a result of continuing global supply and demand pressures, other commodity-related costs affecting the Company’s business may increase as well, including utility and freight-related costs. The Company will attempt to increase prices on its products accordingly in order to recover these costs. Certain of the Company's sales contracts contain non-metal pass-through provisions that include annual selling price adjustments based on a producer price index. In certain years the referenced index may be negative, requiring the Company to reduce its selling price while its actual costs may have increased.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volatility of raw material prices, ongoing productivity and cost reduction efforts in recent years have focused on improving raw material cost management. The Company’s manufacturing facilities are dependent, in varying degrees, upon the availability of water and processed energy, such as natural gas and electricity. Certain of these may become difficult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impossible to obtain on acceptable terms due to external factors, which could increase the Company’s costs or interrupt its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Aluminum and steel, by their very nature, can be recycled at high effectiveness and can be repeatedly reused to form new consumer packaging with minimal or no degradation in performance, quality or safety. By recycling these metals, large amounts of energy can be saved and significant water use and carbon dioxide emissions avoided.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SUSTAINABILITY AND ENVIRONMENTAL MATTERS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Corporate Sustainability Policy and a Corporate Environmental Protection Policy. In addition, in 2020, the Company debuted its Twentyby30 program, which creates an opportunity for the Company to move beyond the challenges of addressing regulatory and supply chain disruption risks caused by environmental, social and governance ("ESG") concerns. The program identifies five distinct pillars of action - Climate Action, Resource Efficiency, Optimum Circularity, Working Together and Never Compromise - that represent topics of urgent global concern and areas of the business in which the Company can create notable impact and twenty measurable ESG goals to be completed by 2030 or sooner. A key aspect to the Company's success lies with the fact that the Company's primary material, metal, supports a circular economy and protects the customers' products by delivering outstanding shelf life.</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Environmental considerations are among the criteria by which the Company evaluates projects, products, processes and purchases. The Company is committed to continuous improvement in product design and manufacturing practices to provide the best outcome for the human and natural environment, both now and in the future. By reducing the per-unit amount of raw materials used in manufacturing its products, the Company can significantly reduce the amount of energy, water and other resources and associated emissions necessary to manufacture metal containers. The Company aims to continue that process of improvement in its manufacturing process to assure that consumers and the environment are best served through the use of its products.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w:t>
      </w:r>
    </w:p>
    <w:p>
      <w:pPr>
        <w:spacing w:after="0" w:line="214"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There can be no assurance that current or future environmental laws or liabilities will not have a material effect on the Company’s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hyperlink w:anchor="page71">
        <w:r>
          <w:rPr>
            <w:rFonts w:ascii="Arial" w:cs="Arial" w:eastAsia="Arial" w:hAnsi="Arial"/>
            <w:sz w:val="18"/>
            <w:szCs w:val="18"/>
            <w:u w:val="single" w:color="auto"/>
            <w:color w:val="0000FF"/>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2020, the Company had approximately 33,000 employees worldwide, with approximately 7,500 employed by the Americas Division, 12,000 employed by the European Division, 4,500 employed by the Asia Pacific Division and 8,500 employed by the Transit Packaging Division.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Company’s workforce is unionized. Collective bargaining agreements with varying terms and expiration dates cover approximately 18,000 employees. The Company has experienced no union-initiated work stoppages during the 2020 fiscal year and believes that its employee relations remain good. The Company does not expect that renegotiation of any collective bargaining agreements expiring in 2021 will have a material adverse effect on its consolidated results of operations, financial position or cash flow.</w:t>
      </w:r>
    </w:p>
    <w:p>
      <w:pPr>
        <w:spacing w:after="0" w:line="21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 believes that its employees are key to achieving the Company’s business goals and growth strategy. Attracting, developing and retaining the best people globally is crucial to all aspects of the Company’s activities. Towards this end, the Company has cultivated a senior management team with extensive industry experience and highly specialized skills and has consistently re</w:t>
      </w:r>
      <w:r>
        <w:rPr>
          <w:rFonts w:ascii="MS PGothic" w:cs="MS PGothic" w:eastAsia="MS PGothic" w:hAnsi="MS PGothic"/>
          <w:sz w:val="18"/>
          <w:szCs w:val="18"/>
          <w:color w:val="auto"/>
        </w:rPr>
        <w:t>‑</w:t>
      </w:r>
      <w:r>
        <w:rPr>
          <w:rFonts w:ascii="Arial" w:cs="Arial" w:eastAsia="Arial" w:hAnsi="Arial"/>
          <w:sz w:val="18"/>
          <w:szCs w:val="18"/>
          <w:color w:val="auto"/>
        </w:rPr>
        <w:t>invested in necessary resources to effectively staff and efficiently support its businesses. The Company aspires to offer market rate competitive salaries for the regions in which it operates, and to engage employees with rewarding opportunities to contribute to the Company’s success.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committed to the health and safety of its employees and their families. Since the outbreak of coronavirus (also known as COVID-19), the Company has taken specific actions to ensure the safety of its employees. The Company’s COVID-19 Task Teams have been actively monitoring scientific developments and government actions related to the virus;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instituting policies and procedures to minimize risk for the Company’s global team members and facilities and to enable the Company to continue serving its customers in a safe and timely manner; sharing information with the workforce about the virus and actions to prevent its spread; and assisting staff in their efforts to get vaccinated. Beginning with the implementation of travel and visitor restrictions in February 2020, the Company has updated many of its policies to adapt to the pandemic environment. The Company has taken increased safety measures in its manufacturing facilities to ensure the safety of employees and the products they produce. The Company adheres to the latest updates from the U.S. Centers for Disease Control and Prevention and the World Health Organization, as well as the directives of local authorities, and has implemented a variety of other precautionary measures, including expanding remote working to as many employees as possible.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Company’s COVID-19 efforts, the Company supports the well-being of its employees and their families with a variety of physical, mental and social wellness programs. These programs differ by region, but include Company-sponsored or subsidized medical insurance over and above government provisions, annual medical, cancer and audiometry screenings, voluntary health fairs and employee assistance programs to improve health and wellness. The Company has built a Total Safety Culture that provides the framework for all health and safety initiatives across the Company and empowers employees to take a proactive role in their safety and that of their peers. The Company’s focus is on behaviors and attitudes and achieving success in incident, injury and near-miss reductions. The Company’s Twentyby30 program includes a goal to reduce the Total Recordable Incident Rate by 20% by 2025.</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that a diverse and inclusive workforce is critical to its future business success. It has therefore integrated Diversity &amp; Inclusion (D&amp;I) as a dimension of its Twentyby30 sustainability program aiming first to embed D&amp;I awareness in its organizational culture. The Company believes different backgrounds, experiences and perspectives generate powerful new ideas and foster good and sustainable decision making. The Company’s approach includes deployment of D&amp;I training initiatives, such as psychological safety and Unconscious Bias trainings, improvement of its recruitment and onboarding processes including D&amp;I principles and promotion of a positive work environment through policies, guidelines and practices that consider D&amp;I. The Company is establishing Divisional D&amp;I Committees to facilitate this cultural and organizational awareness.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places a high value on skills management and lifelong learning opportunities that benefit both the individual employee and the whole Company. The Company provides a variety of educational opportunities, including a mix of mandatory and voluntary training programs that occur in classrooms, online or on the job. The Company also recognizes the importance of multifunctional teams and as such, management training includes international exposure and cross divisional activity to develop common approaches and values. Talent development programs vary by region, but include leadership programs designed to support operations leadership, lean manufacturing operations and employee performance management.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written Code of Business Conduct and Ethics documenting its policies with respect to, among other things, anti-corruption, confidential information, and environmental, health and safety, as well as the Company’s commitment to ensuring that all of its employees are treated with respect and dignity and are able to work in an environment free from all forms of unlawful employment discrimination. The Company’s Compliance Teams are responsible for implementing these policies, and provide a mechanism for employees to report suspected violations of Company policies on a confidential basis, including anonymous reporting where permitted by local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WORKING CAPITAL</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generally uses cash during the first nine months of the year to finance seasonal working capital needs. The Company’s working capital requirements are funded by cash flows from operations, revolving credit facilities and receivables securitization and factoring programs.</w:t>
      </w:r>
    </w:p>
    <w:p>
      <w:pPr>
        <w:spacing w:after="0" w:line="173"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hyperlink w:anchor="page63">
        <w:r>
          <w:rPr>
            <w:rFonts w:ascii="Arial" w:cs="Arial" w:eastAsia="Arial" w:hAnsi="Arial"/>
            <w:sz w:val="17"/>
            <w:szCs w:val="17"/>
            <w:u w:val="single" w:color="auto"/>
            <w:color w:val="0000FF"/>
          </w:rPr>
          <w:t>Note L</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Company’s website address is </w:t>
      </w:r>
      <w:r>
        <w:rPr>
          <w:rFonts w:ascii="Arial" w:cs="Arial" w:eastAsia="Arial" w:hAnsi="Arial"/>
          <w:sz w:val="16"/>
          <w:szCs w:val="16"/>
          <w:u w:val="single" w:color="auto"/>
          <w:color w:val="auto"/>
        </w:rPr>
        <w:t>www.crowncork.com</w:t>
      </w:r>
      <w:r>
        <w:rPr>
          <w:rFonts w:ascii="Arial" w:cs="Arial" w:eastAsia="Arial" w:hAnsi="Arial"/>
          <w:sz w:val="16"/>
          <w:szCs w:val="16"/>
          <w:color w:val="auto"/>
        </w:rPr>
        <w:t>.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 S. Securities and Exchange Commission ("SEC"). The SEC maintains a website that contains reports,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proxy and information statements, and other information regarding issuers, including the Company, that file electronically with the SEC. The public can obtain any documents that the Company files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Company's Business and Industry</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uses various raw materials, such as steel, aluminum, tin, water, natural gas, electricity and other processed energy, as well as materials derived from crude oil and natural gas, such as polyethylene and polypropylene resins, in its manufacturing operations. Sufficient quantities of these raw materials may not be available in the future or may be available only at increased prices. The Company's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tariffs and potential limits on steel supply in the United States from certain foreign countries could further negatively impact the Company's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prices of certain raw materials used by the Company, such as steel, aluminum, resins and processed energy, have historically been subject to volatility. In 2020, consumption of steel and aluminum represented 16% and 35% of the Company's consolidated cost of products sold, excluding depreciation and amortization. While certain, but not all, of the Company's contracts pass through raw material costs to customers, the Company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is unable to purchase steel, aluminum,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regarding pricing and product volumes.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principal markets may be subject to overcapacity and intense competition, which could reduce the Company's net sales and net income.</w:t>
      </w: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 exceeded demand. These market conditions could reduce product prices and contribute to declining revenue and net income and increasing debt balances.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subject to substantial competition from producers of alternative packaging made from glass, paper, flexible materials and plastic. The Company's sales depend heavily on the volumes of sales by the Company's customers in the food and beverage markets. Changes in preferences for products and packaging by consumers of prepackaged food and beverage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created excess capacity, the Company experiences relatively low capacity utilization rates in its operations, which can lead to reduced margins during that period and can have an adverse effect on the Company's business.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potential high developing markets, including South America, Eastern Europe and Asia (including India). Failure to deliver quality products that meet customer needs ahead of competitors could have a significant adverse effect on the Company's business.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seasonal and weather conditions could reduce the Company's net sales.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manufactures metal and glass packaging primarily for the food and beverage can market. Its sales can be affected by weather conditions. Due principally to the seasonal nature of the soft drink, brewing, iced tea and other beverage industries, in which demand is stronger during the summer months, sales of the Company's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of the Company's goodwill would require a write down of goodwill, which would reduce the Company's net income in the period of any such write down. At December 31, 2020, the carrying value of the Company's goodwill was $4.6 billion. The Company is required to evaluate goodwill reflected on its balance sheet at least annually, or when circumstances indicate a potential impairment. If it determines that the goodwill is impaired, the Company would be required to write off a portion or all of the goodwill.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significant portion of the Company's workforce is unionized and a prolonged work stoppage or strike at any facility with unionized employees could increase its costs and prevent the Company from supplying its customers. In addition, upon the expiration of existing collective bargaining agreements, the Company may not reach new agreements without union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representation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may not be able to use all of its foreign tax credit carryforwards in the event it undergoes an ownership change as defined by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Revenue Code of 1986.</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substantial foreign tax carryforwards that can, subject to complex limitations, reduce U.S. taxes owed on foreign income. In the event the Company undergoes an ownership change as determined, its use of those foreign tax credit carryovers may be severely curtailed under section 383 of the U.S. Internal Revenue Code of 1986. An ownership change may occur if the percentage of the Company's stock owned by one or more 5% shareholders increases by more than 50 percentage points over the lowest percentage of the Company's stock owned by those shareholders, measured over a three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Company's intellectual property rights may negatively impact its ability to compete.</w:t>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If the Company is unable to maintain the proprietary nature of its technologies, its competitors may use its technologies to compete with it. The Company has a number of patents covering various aspects of its products, including its SuperEnd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beverage can end, whose primary patent expired in 2016, Easylift™ full aperture steel food can ends, PeelSeam™ and PeelFit™ flexible lidding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United States.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Company's International Operations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which generated approximately 69% of its consolidated net sales in 2020, are subject to various risks that may lead to decreases in its financial results.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an international company, and the risks associated with operating in foreign countries may have a negative impact on the Company's liquidity and net income. The Company's international operations generated approximately 69</w:t>
      </w:r>
      <w:r>
        <w:rPr>
          <w:rFonts w:ascii="Arial" w:cs="Arial" w:eastAsia="Arial" w:hAnsi="Arial"/>
          <w:sz w:val="16"/>
          <w:szCs w:val="16"/>
          <w:b w:val="1"/>
          <w:bCs w:val="1"/>
          <w:i w:val="1"/>
          <w:iCs w:val="1"/>
          <w:color w:val="auto"/>
        </w:rPr>
        <w:t>%</w:t>
      </w:r>
      <w:r>
        <w:rPr>
          <w:rFonts w:ascii="Arial" w:cs="Arial" w:eastAsia="Arial" w:hAnsi="Arial"/>
          <w:sz w:val="16"/>
          <w:szCs w:val="16"/>
          <w:color w:val="auto"/>
        </w:rPr>
        <w:t>, 70% and 73% of its consolidated net sales in the years ended 2020, 2019 and 2018. In addition, the Company's business strategy includes continued expansion of international activities, including within developing markets and areas, such as South America, Eastern Europe and Asia, that may pose greater risk of political or economic instability. Approximately 37% of the Company's consolidated net sales in the year ended 2020 and approximately 35% of the Company's consolidated net sales in the years ended 2019 and 2018 were generated outside of the developed markets in Western Europe, the United States and Canada. Further, if a downturn in European economic conditions ultimately leads to a significant devaluation of the euro, the value of the Company's financial assets that are denominated in euro would be significantly reduced when translated to U.S. dollars for financial reporting purposes. Any of these conditions could ultimately harm the Company's overall business, prospects, operating results, financial condition and cash flows.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Emerging markets are a focus of the Company's international growth strategy. The developing nature of these markets and the nature of the Company's international operations generally are subject to various risks, including:</w:t>
      </w:r>
    </w:p>
    <w:p>
      <w:pPr>
        <w:spacing w:after="0" w:line="19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exchange rate risks and exchange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the Company's multi-national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imposition of limitations on conversions of foreign currencies into dollars or payment of dividends and other payments by non-U.S. subsidiaries;</w:t>
      </w:r>
    </w:p>
    <w:p>
      <w:pPr>
        <w:spacing w:after="0" w:line="86"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the Company's ability to satisfy its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civil disturbance, global or regional catastrophic events, natural disasters, and acts of terrorism;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geographical concentration of the Company's factories and operations and regional shifts in its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periodic health epidemic concerns, such as the ongoing coronavirus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Company seeks to expand its business globally, growth opportunities may be impacted by greater political, economic and social uncertainty and the continuing and accelerating globalization of businesses could significantly change the dynamics of the Company's competition, customer base and product offerings.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efforts to grow its businesses depend to a large extent upon access to, and its success in developing market share and operating profitably in, geographic markets including but not limited to the Middle East, South America, Eastern Europe and Asia. In some cases, countries in these regions have greater political and economic volatility, greater vulnerability to infrastructure and labor disruptions and differing local customer product preferences and requirements than the Company's other markets. Operating and seeking to expand business in a number of different regions and countries exposes the Company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the Company that could be invested in other areas. Expanding business operations globally also increases exposure to currency fluctuations which can materially affect the Company's financial results. As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the effects of fluctuations in foreign exchange rates, which may reduce its net sales and cash flow.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69</w:t>
      </w:r>
      <w:r>
        <w:rPr>
          <w:rFonts w:ascii="Arial" w:cs="Arial" w:eastAsia="Arial" w:hAnsi="Arial"/>
          <w:sz w:val="16"/>
          <w:szCs w:val="16"/>
          <w:b w:val="1"/>
          <w:bCs w:val="1"/>
          <w:i w:val="1"/>
          <w:iCs w:val="1"/>
          <w:color w:val="auto"/>
        </w:rPr>
        <w:t>%</w:t>
      </w:r>
      <w:r>
        <w:rPr>
          <w:rFonts w:ascii="Arial" w:cs="Arial" w:eastAsia="Arial" w:hAnsi="Arial"/>
          <w:sz w:val="16"/>
          <w:szCs w:val="16"/>
          <w:color w:val="auto"/>
        </w:rPr>
        <w:t>, 70% and 73% of its consolidated net sales in the years ended 2020, 2019 and 2018. Volatility in exchange rates may increase the costs of its products, impair the purchasing power of its customers in different markets, result in significant competitive benefit to certain of its competitors who incur a material part of their costs in other currencies than it does, and increase its hedging costs and limit its ability to hedge exchange rate exposure.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the year-ended December 31, 2020, a 0.10 movement in the average euro rate would have reduced net income by $9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vote by the United Kingdom to leave the European Union could adversely affect the Company.</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United Kingdom (“U.K.”) has ceased to be a member of the European Union (“E.U.”) on January 31, 2020, and the applicable transition period ended on December 31, 2020 (such departure commonly referred to as “Brexit”). The U.K. is also no longer part of the European Economic Area (the “EEA”).</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Due to the ongoing political uncertainty as regards the structure of the future relationship between the U.K. and the E.U. and, as a consequence, the uncertainty as to the wider implications it will have for the U.K., it is not possible to determine the precise impact on general economic conditions in the U.K., including any implications for the U.K. sovereign ratings, ratings of relevant transaction parties or the performance of other entities or exposures with</w:t>
      </w:r>
    </w:p>
    <w:p>
      <w:pPr>
        <w:spacing w:after="0" w:line="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U.K. nexus</w:t>
      </w:r>
      <w:r>
        <w:rPr>
          <w:rFonts w:ascii="Arial" w:cs="Arial" w:eastAsia="Arial" w:hAnsi="Arial"/>
          <w:sz w:val="19"/>
          <w:szCs w:val="19"/>
          <w:color w:val="auto"/>
        </w:rPr>
        <w:t>.</w:t>
      </w:r>
      <w:r>
        <w:rPr>
          <w:rFonts w:ascii="Arial" w:cs="Arial" w:eastAsia="Arial" w:hAnsi="Arial"/>
          <w:sz w:val="16"/>
          <w:szCs w:val="16"/>
          <w:color w:val="auto"/>
        </w:rPr>
        <w:t xml:space="preserve"> The uncertainty continues to adversely affect economic and market conditions in the U.K., in the E.U. and its member states and elsewhere, and also contribute to some uncertainty and instability in global financial markets. In particular, Brexit significantly impacts volatility, liquidity and/or the market value of securities. Accordingly, Brexit could adversely affect the Company's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Company's Indebtedness and Liquidity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substantial indebtedness of the Company could prevent it from fulfilling its obligations under its indebtedness.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2020, the Company and its subsidiaries had approximately $8.3 billion of indebtedness, excluding unamortized discounts and debt issuance costs.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sources of liquidity includes a securitization facility with a program limit up to a maximum of $375 that expires in July 2021, a securitization facility with a program limit of $282 that expires in November 2022, and an uncommitted securitization facility with a program limit of $175 that expires in December 2021. Additional sources of the Company's liquidity include borrowings under its $1,650 billion revolving credit facilities that matures in December 2024.</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indebtedness includes its €650 million ($794 million at December 31, 2020) 4.0% senior notes in July 2022; its $1 billion 4.50% senior notes in January 2023; its €335 million ($409 million at December 31, 2020) 2.25% senior notes in February 2023; its €550 million ($671 million at December 31, 2020) 0.75% senior notes in February 2023; its €600 million ($733 million at December 31, 2020) 2.625% senior notes in September 2024; its €600 million ($733 million at December 31, 2020) 3.375% senior notes in May 2025; its $875 million 4.75% senior notes in February 2026; its €500 million ($610 million at December 31, 2020) 2.875% senior notes in February 2026; its $400 million 4.25% senior notes in September 2026; its $350 million 7.375% senior notes in December 2026; its $40 million 7.5% senior notes in December 2096; and its $110 million of other indebtedness in various currencies at various dates through 2027. In addition, the Company’s term loan facilities mature as follows: $41 million in 2021, $82 million in 2022, $83 million in 2023, and $1,210 million in 2024.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substantial indebtedness of the Company could:</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 including rising interest rates;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the Company from making strategic acquisitions or exploiting business opportunities, including any planned expansion in emerging markets;</w:t>
      </w:r>
    </w:p>
    <w:p>
      <w:pPr>
        <w:spacing w:after="0" w:line="2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the Company's indebtedness, the Company's ability to obtain additional financing, dispose of assets or pay cash dividends;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Company to sell assets used in its business;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cost of borrowing;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the industry in which it operates;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the Company at a competitive disadvantage compared to its competitors that have less debt.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approximately $1.5 billion of the Company's $8.3 billion of total indebtedness and other outstanding obligations were subject to floating interest rates. Changes in economic conditions could result in higher interest rates, thereby increasing the Company's interest expense and reducing funds available for operations or other purposes. The Company's annual interest expense was $300 million, $378 million and $384 million for 2020, 2019 and 2018, respectively. Based on the amount of variable rate debt outstanding at December 31, 2020, a 0.25% increase in variable interest rates would increase its annual interest expense by approximately $4 million before tax. Accordingly, the Company may experience economic losses and a negative impact on earnings as a result of interest rate fluctuation. The actual effect of a 0.25% increase in these floating interest rates could be more than $4 million as the Company’s average borrowings on its variable rate debt may be higher during the year than the amount at December 31, 2020. In addition, the cost of the Company’s securitization and factoring facilities would also increase with an increase in floating interest rates.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Restrictive covenants in the debt agreements governing the Company's current or future indebtedness could restrict the Company's operating flexibility.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businesses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5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pay dividends or make other distributions, repurchase capital stock, repurchase subordinated debt and make certain investments or loans;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the Company from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breach of any of these covenants by the Company or the failure by the Company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the Company's other outstanding debt and could lead to an acceleration of obligations related to the Company's senior secured credit facilities, outstanding notes and other outstanding debt. The ability of the Company to comply with these covenants or indentures governing other indebtedness it may incur in the future and its outstanding notes can be affected by events beyond its control and, therefore, it may be unable to meet these ratios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 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Adding new debt to current debt levels or making otherwise restricted payments could intensify the related risks that the Company and its subsidiaries now face.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 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sponsors various pension plans worldwide, with the largest funded plans in the U.K., U.S. and Canada. In 2020, 2019 and 2018, the Company contributed $27 million, $23 million and $20 million to its pension plans. Pension expense was $92 million, including settlement charges of $66 million, in 2020 and is expected to be $48 million in 2021, using foreign currency exchange rates in effect at December 31, 2020. A 0.25% change in the 2021 expected rate of return assumptions would change 2021 pension expense by approximately $12 million. A 0.25% change in the discount rates assumptions as of December 31, 2020 would change 2021 pension expense by approximately $2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 assumptions, the Company expects to make pension contributions of $22 million in 2021, $42 million in 2022, $68 million in 2023, $78 million in 2024 and $111 million in 2025.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pension plan obligations and assets, or the funded status of the plans, significantly affects the net periodic benefit costs of the Company's pension plans and the ongoing funding requirements of those plans. Among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hyperlink w:anchor="page72">
        <w:r>
          <w:rPr>
            <w:rFonts w:ascii="Arial" w:cs="Arial" w:eastAsia="Arial" w:hAnsi="Arial"/>
            <w:sz w:val="17"/>
            <w:szCs w:val="17"/>
            <w:u w:val="single" w:color="auto"/>
            <w:color w:val="0000FF"/>
          </w:rPr>
          <w:t>Note 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plans, and the Company's pension expense may increase. In addition, certain of the Company's pension and postretirement plans are unfunded.</w:t>
      </w:r>
    </w:p>
    <w:p>
      <w:pPr>
        <w:spacing w:after="0" w:line="20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notes. In addition, as of December 31, 2020 the unfunded accumulated postretirement benefit obligation, as calculated in accordance with U.S. generally accepted accounting principles, for retiree medical benefits was approximately $166 million, based on assumptions set forth under </w:t>
      </w:r>
      <w:hyperlink w:anchor="page72">
        <w:r>
          <w:rPr>
            <w:rFonts w:ascii="Arial" w:cs="Arial" w:eastAsia="Arial" w:hAnsi="Arial"/>
            <w:sz w:val="18"/>
            <w:szCs w:val="18"/>
            <w:u w:val="single" w:color="auto"/>
            <w:color w:val="0000FF"/>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 this Annual Report.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Litigation and Regulatory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litigation risks which could negatively impact its operations and net income.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one of the Company’s German subsidiaries. The local court order authorizing the inspection cited FCO suspicions of anti-competitive agreements in the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Crown Cork &amp; Seal Company, Inc. (Crown Cork), a wholly-owned subsidiary of the Company, is one of many defendants in a substantial number of lawsuits filed throughout the United States by persons alleging bodily injury as a result of exposure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19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As of December 31, 2020, Crown Cork's accrual for pending and future asbestos-related claims and related legal costs was $251 million, including $214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hyperlink w:anchor="page69">
        <w:r>
          <w:rPr>
            <w:rFonts w:ascii="Arial" w:cs="Arial" w:eastAsia="Arial" w:hAnsi="Arial"/>
            <w:sz w:val="18"/>
            <w:szCs w:val="18"/>
            <w:u w:val="single" w:color="auto"/>
            <w:color w:val="0000FF"/>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219" w:lineRule="exact"/>
        <w:rPr>
          <w:sz w:val="20"/>
          <w:szCs w:val="20"/>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During the year ended December 31, 2020, Crown Cork received approximately 1,500 new claims, settled or dismissed approximately 1,500 claims, and had approximately 56,000 claims outstanding at the end of the period. Of these outstanding claims, approximately 16,500 claims relate to claimants alleging first exposure to asbestos after 1964 and approximately 39,500 relate to claimants alleging first exposure to asbestos before or during 1964, of which approximately 13,000 were filed in Texas, 1,500 were filed in Pennsylvania, 6,000 were filed in other states that have enacted asbestos legislation and 19,000 were filed in other states. The outstanding claims at December 31, 2020 also exclude approximately 19,000 inactive claims, as well as claims in Texas filed after June 11, 2003 (as the state of Texas has enacted legislation limiting asbestos-related liabilities, as further discussed in </w:t>
      </w:r>
      <w:hyperlink w:anchor="page69">
        <w:r>
          <w:rPr>
            <w:rFonts w:ascii="Arial" w:cs="Arial" w:eastAsia="Arial" w:hAnsi="Arial"/>
            <w:sz w:val="16"/>
            <w:szCs w:val="16"/>
            <w:u w:val="single" w:color="auto"/>
            <w:color w:val="0000FF"/>
          </w:rPr>
          <w:t>Note N</w:t>
        </w:r>
      </w:hyperlink>
      <w:r>
        <w:rPr>
          <w:rFonts w:ascii="Arial" w:cs="Arial" w:eastAsia="Arial" w:hAnsi="Arial"/>
          <w:sz w:val="16"/>
          <w:szCs w:val="16"/>
          <w:color w:val="auto"/>
        </w:rPr>
        <w:t>.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businesses arising from these defenses will not increase materially.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Cork made cash payments of $21 million, $22 million and $21 million in 2020, 2019 and 2018 to settle asbestos claims and pay related legal and defense costs. These payments and any such future payments will reduce the cash flow available to Crown Cork for its business operations and debt payments.</w:t>
      </w:r>
    </w:p>
    <w:p>
      <w:pPr>
        <w:spacing w:after="0" w:line="211"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 Further information regarding Crown's Cork's asbestos-related liabilities is presented within “Management's Discussion and Analysis of Financial Condition and Results of Operations” under the headings, “Provision for Asbestos” and “Critical Accounting Policies” and under </w:t>
      </w:r>
      <w:hyperlink w:anchor="page69">
        <w:r>
          <w:rPr>
            <w:rFonts w:ascii="Arial" w:cs="Arial" w:eastAsia="Arial" w:hAnsi="Arial"/>
            <w:sz w:val="17"/>
            <w:szCs w:val="17"/>
            <w:u w:val="single" w:color="auto"/>
            <w:color w:val="0000FF"/>
          </w:rPr>
          <w:t>Note N</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audited consolidated financial statements included in this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costs and liabilities related to stringent environmental and health and safety standards.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In the U.S., the FDA has banned the use of bisphenol-A in baby bottles, children’s drinking cups and epoxy resins that coat infant formula cans as well as in packaging and utensils for all foods and the EPA has considered adding bisphenol-A to the chemical concern list on the basis of environmental effects and using its Design for the Environment program to encourage reductions in bisphenol-A manufacturing and use. In addition, the State of California has declared bisphenol-A a reproductive system hazard and listed it as a hazardous chemical under the state Safe Water and Toxic Environment Act. Certain other nations, including Denmark, Belgium and France, have implemented or considered implementing legislation restricting the use of bisphenol-A, including imposing product labeling requirements or restrictions on the importation and placement in the market of packaging and utensils containing bisphenol-A, and the European Food Safety Authority has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recommended that the tolerable daily intake of bisphenol-A be lowered. Domestic and international, federal, state, municipal or other regulatory authorities could further restrict or prohibit the use of bisphenol-A in the future. In addition, recent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to the Company's operations is uncertain. In addition, the potential impact of climate change on the Company's operations is highly uncertain. The impact of climate change may vary by geographic location and other circumstances, including weather patterns and any impact to natural resources such as water.</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have been enacted in France, the United Kingdom, and Mexico. France has also imposed taxes on energy drinks using certain amounts of taurine and caffeine. Some state and local governments are also considering similar taxes, and several U.S. cities, including in California, Pennsylvania, Illinois, Washington, and Colorado,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and materially adversely affect the Company's business and financial results.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manufactures and sells metal and glass packaging primarily for the food and beverage can market. As a result, many of the Company's products come into direct contact with food and beverages. Accordingly, the Company's products must comply with various laws and regulations for food and beverages applicable to its customers. Changes in such laws and regulations, such as the sugary-drink taxes discussed above,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 and negatively impact demand for the Company's products, including changes in consumer preferences driven by various health-related concerns and perceptions.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the Company's financial results.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Company's products are subject to import and excise duties and/or sales or value-added taxes in many jurisdictions in which it operates.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Increases in indirect taxes could affect the Company's products' affordability and therefore reduce demand for its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3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The Company’s business operations and financial position have been and are expected to continue to be adversely affected by the coronavirus outbreak.</w:t>
      </w:r>
    </w:p>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ongoing global outbreak of coronavirus, which was declared a pandemic by the World Health Organization on March 11, 2020 and a national emergency by the President of the United States on March 13, 2020, has caused and is continuing to cause business slowdowns and shutdowns and turmoil in the financial markets both in the U.S. and abroad. The Company is closely monitoring the impact of COVID-19 on all aspects of its business and geographies, including how it has impacted and will impact the Company’s employees, customers, suppliers and distribution channels. The pandemic, as well as the quarantines and other governmental and non</w:t>
      </w:r>
      <w:r>
        <w:rPr>
          <w:rFonts w:ascii="MS PGothic" w:cs="MS PGothic" w:eastAsia="MS PGothic" w:hAnsi="MS PGothic"/>
          <w:sz w:val="17"/>
          <w:szCs w:val="17"/>
          <w:color w:val="auto"/>
        </w:rPr>
        <w:t>‑</w:t>
      </w:r>
      <w:r>
        <w:rPr>
          <w:rFonts w:ascii="Arial" w:cs="Arial" w:eastAsia="Arial" w:hAnsi="Arial"/>
          <w:sz w:val="17"/>
          <w:szCs w:val="17"/>
          <w:color w:val="auto"/>
        </w:rPr>
        <w:t>governmental restrictions which have been imposed throughout the world in an effort to contain or mitigate it, has created significant volatility, uncertainty and economic disruption which is expected to adversely affect the Company’s business operations and may materially and adversely affect the Company’s results of operations, cash flows and financial position or the Company’s ability to execute its short- and long-term business strategies and initiatives. For example, governmental authorities in several regions (including Pennsylvania, where the Company’s world headquarters are located) have ordered the cessation of all business activity which is deemed non-essential and there is a risk that these shutdown orders will be extended or expanded or that similar shutdown orders will be implemented in other regions; while many food and beverage products are deemed essential, several jurisdictions have implemented restrictions or prohibitions on the sale of alcoholic beverages which have reduced the demand for some of the Company’s products. Likewise, the Company’s Transit Packaging Division supplies a wide array of industrial markets which are being negatively affected by a decline in global economic activity.</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magnitude of COVID-19’s ultimate impact on the Company will depend on numerous evolving factors, future developments and cascading effects of the coronavirus pandemic that the Company is not able to predict, including: the severity of the outbreak and the international actions that are being taken to contain and treat it; the duration of the outbreak and the myriad of business restrictions being imposed as a result of it; governmental, business and other responses to the outbreak (including limitations on the Company’s operations and/or mandates that the Company provide products or services); the extent and duration of the effect of the outbreak on consumer confidence and spending, customer demand and buying patterns; the promotion of “social distancing” and the adoption of shelter-in-place orders and restrictions on exports affecting customers’ demand for the Company’s products; the extent to which forced remote working arrangements reduce the Company’s ability to effectively manage its global operations; the impact of the outbreak on the Company’s supply chain (including reductions in supply that may result in an inability to meet customer demand); the impact of the outbreak on internal controls (including those over financial reporting); the speed and success of vaccination efforts; any impairment in value of the Company’s tangible or intangible assets which could be recorded as a result of a weaker economic conditions; and the effect of the ongoing disruption in the capital markets on the Company’s ability to access capital on favorable terms and continue to meet its liquidity needs. Moreover, employee absenteeism due to members of the Company’s workforce being quarantined or exposed to COVID-19 may impact the Company’s ability to meet staffing needs which, compounded with the effects of ongoing office and potential factory closures, disruptions to ports and other shipping infrastructure, border closures, and other travel or health-related restrictions, may in turn impair the Company in the manufacture, distribution and sale of its products.</w:t>
      </w:r>
    </w:p>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In addition, while the Company cannot predict the magnitude of the impact that COVID-19 will have on its customers and suppliers or their financial conditions, any material effect on the Company’s customers or suppliers could adversely impact the Company. For example, certain of the Company’s suppliers have informed the Company that the coronavirus outbreak and the resulting business restrictions may constrain supply of necessary materials and the Company may face difficulty collecting accounts receivable from any of its customers that may be negatively impacted by the pandemic. The impact of COVID-19 may also exacerbate other risk factors discussed in Item 1A of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December 31, 2020, any of which could have a material effect on the Company. For example, significant volatility in the equity markets could have a negative impact on the market value of the Company's pension plan assets which may substantially increase the Company's future pension plan funding requirements and could have a negative impact on the Company's results of operations, pension plan funded status and future cash flows.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of the impact of COVID-19 on the Company’s business is highly uncertain and difficult to predict, as information is rapidly evolving with respect to the duration and severity of the pandemic. At this point, the Company cannot reasonably estimate the duration and severity of the coronavirus outbreak or its overall impact on the Company’s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the Company's net sales and profitability.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Company's sales are to companies that have leading market positions in the sale of packaged food, beverages and household products to consumers. Although no one customer accounted for more than 10% of its net sales in the years ended 2020, 2019 or 2018, the loss of any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 In addition, the Company's relationship with several of its customers, particularly in the Transit Packaging division, is noncontractual, and as a result its customers may unilaterally reduce their purchases of its products.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 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any of which could have a material effect on its business, operating results or financial condition.</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Acquisitions, dispositions or investments that the Company is considering or may pursue could be unsuccessful, consume significant resources and require the incurrence of additional indebtedness.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consider acquisitions and investments that complement its existing business or dispositions of portions of its existing business. These possible acquisitions, dispositions and investments involve or may involve significant cash expenditures, debt incurrence (including the incurrence of additional indebtedness under the Company's senior secured revolving credit facilities or other secured or unsecured debt), operating losses and expenses that could have a material effect on the Company's financial condition and operating results.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if the Company incurs additional debt, the Company's liquidity and financial stability could be impaired as a result of using a significant portion of available cash or borrowing capacity to finance an acquisition. Moreover, the Company may face an increase in interest expense or financial leverage if additional debt is incurred to finance an acquisition, which may, among other things, adversely affect the Company's various financial ratios and the Company's compliance with the conditions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its existing indebtedness. In addition, such additional indebtedness may be incurred under the Company's senior secured credit facilities or otherwise secured by liens on the Company's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dispositions involve numerous other risks, including:</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to the Company's ongoing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the Company's existing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the Company;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Company pursues an acquisition or disposition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fails to retain key management and personnel, the Company may be unable to implement its business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its information technology and the failure or disruption of its information technology could disrupt its operations and adversely affect its results of operations.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property through security breach, as well as potential civil liability and fines under various states' laws in which the Company does business. While the Company has security measures in place designed to protect the integrity of customer information and prevent data loss, misappropriation, and other security breaches, the Company's information technology system could nevertheless be penetrated by outside parties intent on extracting information, corrupting information or disrupting business processes. In addition, if the Company's information technology systems suffer severe damage, disruption or shutdown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Company's business continuity plans do not effectively resolve the issues in a timely manner, the Company may lose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Failure or disruption of these systems, or the back-up systems, for any reason could disrupt the Company's operations and negatively impact the Company's cash flows or financial condition.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24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3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2020, the Company operated 236 manufacturing facilities, of which 65 were leased. The Company has four divisions, primarily defined geographically, within which it manufactures and markets its products. The Americas Division operated 48 facilities in seven countries, of which eight facilities were leased. Within the Americas Division, 28 facilities operated in the U.S., of which six facilities were leased. The European Division operated 61 facilities in 22 countries, of which nine facilities were leased. The Asia Pacific Division operated 29 facilities in eight countries, of which two facilities were leased and the Transit Packaging Division operated 94 facilities in 23 countries, of which 44 facilities were leased. The Company also had four canmaking equipment and spare part operations in the U.S. and the U.K., of which two were leased. Certain leases provide renewal or purchase options. The principal manufacturing facilities at December 31, 2020 are listed below and are grouped by division.</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Americas and Corporate headquarters is in Yardley, Pennsylvania. Its European headquarters is in Baar, Switzerland, its Asia Pacific headquarters is in Singapore and its Transit Packaging headquarters is in Glenview, Illinois. The Company maintains research facilities in Alsip, Illinois and Wantage, England.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Ongoing productivity improvements and cost reduction efforts in recent years have focused on upgrading and modernizing facilities to reduce costs, improve efficiency and productivity and phase out uncompetitive facilities. The Company has also opened new facilities to meet increases in market demand for its products. These actions reflect the Company’s continued commitment to realign manufacturing facilities to maintain its competitive position in its markets.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Utilization of any particular facility varies based upon product demand. While it is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Excluded from the list below are operating facilities in unconsolidated subsidiaries as well as service or support facilities. The service or support facilities include machine shop operations, plant operations dedicated to printing for cans and closures, coil shearing, coil coating and RD&amp;E operations. Some operating facilities produce more than one product but have been presented below under the product with the largest contribution to sales.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Americas</w:t>
            </w:r>
          </w:p>
        </w:tc>
        <w:tc>
          <w:tcPr>
            <w:tcW w:w="17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Europe</w:t>
            </w: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Asia Pacific</w:t>
            </w:r>
          </w:p>
        </w:tc>
        <w:tc>
          <w:tcPr>
            <w:tcW w:w="0" w:type="dxa"/>
            <w:vAlign w:val="bottom"/>
          </w:tcPr>
          <w:p>
            <w:pPr>
              <w:spacing w:after="0"/>
              <w:rPr>
                <w:sz w:val="1"/>
                <w:szCs w:val="1"/>
                <w:color w:val="auto"/>
              </w:rPr>
            </w:pPr>
          </w:p>
        </w:tc>
      </w:tr>
      <w:tr>
        <w:trPr>
          <w:trHeight w:val="176"/>
        </w:trPr>
        <w:tc>
          <w:tcPr>
            <w:tcW w:w="1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Beverage</w:t>
            </w:r>
          </w:p>
        </w:tc>
        <w:tc>
          <w:tcPr>
            <w:tcW w:w="1320" w:type="dxa"/>
            <w:vAlign w:val="bottom"/>
          </w:tcPr>
          <w:p>
            <w:pPr>
              <w:ind w:left="180"/>
              <w:spacing w:after="0"/>
              <w:rPr>
                <w:sz w:val="20"/>
                <w:szCs w:val="20"/>
                <w:color w:val="auto"/>
              </w:rPr>
            </w:pPr>
            <w:r>
              <w:rPr>
                <w:rFonts w:ascii="Arial" w:cs="Arial" w:eastAsia="Arial" w:hAnsi="Arial"/>
                <w:sz w:val="14"/>
                <w:szCs w:val="14"/>
                <w:color w:val="auto"/>
              </w:rPr>
              <w:t>Kankakee, IL</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Manaus, Brazil</w:t>
            </w:r>
          </w:p>
        </w:tc>
        <w:tc>
          <w:tcPr>
            <w:tcW w:w="1700" w:type="dxa"/>
            <w:vAlign w:val="bottom"/>
          </w:tcPr>
          <w:p>
            <w:pPr>
              <w:ind w:left="20"/>
              <w:spacing w:after="0"/>
              <w:rPr>
                <w:sz w:val="20"/>
                <w:szCs w:val="20"/>
                <w:color w:val="auto"/>
              </w:rPr>
            </w:pPr>
            <w:r>
              <w:rPr>
                <w:rFonts w:ascii="Arial" w:cs="Arial" w:eastAsia="Arial" w:hAnsi="Arial"/>
                <w:sz w:val="14"/>
                <w:szCs w:val="14"/>
                <w:color w:val="auto"/>
              </w:rPr>
              <w:t>Custines,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Sevilla, Spain</w:t>
            </w:r>
          </w:p>
        </w:tc>
        <w:tc>
          <w:tcPr>
            <w:tcW w:w="2140" w:type="dxa"/>
            <w:vAlign w:val="bottom"/>
          </w:tcPr>
          <w:p>
            <w:pPr>
              <w:ind w:left="20"/>
              <w:spacing w:after="0"/>
              <w:rPr>
                <w:sz w:val="20"/>
                <w:szCs w:val="20"/>
                <w:color w:val="auto"/>
              </w:rPr>
            </w:pPr>
            <w:r>
              <w:rPr>
                <w:rFonts w:ascii="Arial" w:cs="Arial" w:eastAsia="Arial" w:hAnsi="Arial"/>
                <w:sz w:val="14"/>
                <w:szCs w:val="14"/>
                <w:color w:val="auto"/>
              </w:rPr>
              <w:t>Phnom Penh, Cambodia (2)</w:t>
            </w:r>
          </w:p>
        </w:tc>
        <w:tc>
          <w:tcPr>
            <w:tcW w:w="0" w:type="dxa"/>
            <w:vAlign w:val="bottom"/>
          </w:tcPr>
          <w:p>
            <w:pPr>
              <w:spacing w:after="0"/>
              <w:rPr>
                <w:sz w:val="1"/>
                <w:szCs w:val="1"/>
                <w:color w:val="auto"/>
              </w:rPr>
            </w:pPr>
          </w:p>
        </w:tc>
      </w:tr>
      <w:tr>
        <w:trPr>
          <w:trHeight w:val="47"/>
        </w:trPr>
        <w:tc>
          <w:tcPr>
            <w:tcW w:w="1340" w:type="dxa"/>
            <w:vAlign w:val="bottom"/>
            <w:vMerge w:val="continue"/>
          </w:tcPr>
          <w:p>
            <w:pPr>
              <w:spacing w:after="0"/>
              <w:rPr>
                <w:sz w:val="4"/>
                <w:szCs w:val="4"/>
                <w:color w:val="auto"/>
              </w:rPr>
            </w:pPr>
          </w:p>
        </w:tc>
        <w:tc>
          <w:tcPr>
            <w:tcW w:w="1320" w:type="dxa"/>
            <w:vAlign w:val="bottom"/>
            <w:vMerge w:val="restart"/>
          </w:tcPr>
          <w:p>
            <w:pPr>
              <w:ind w:left="180"/>
              <w:spacing w:after="0"/>
              <w:rPr>
                <w:sz w:val="20"/>
                <w:szCs w:val="20"/>
                <w:color w:val="auto"/>
              </w:rPr>
            </w:pPr>
            <w:r>
              <w:rPr>
                <w:rFonts w:ascii="Arial" w:cs="Arial" w:eastAsia="Arial" w:hAnsi="Arial"/>
                <w:sz w:val="14"/>
                <w:szCs w:val="14"/>
                <w:color w:val="auto"/>
              </w:rPr>
              <w:t>Mankato, MN</w:t>
            </w:r>
          </w:p>
        </w:tc>
        <w:tc>
          <w:tcPr>
            <w:tcW w:w="21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Ponta Grossa, Brazil</w:t>
            </w:r>
          </w:p>
        </w:tc>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Korinthos, Greece</w:t>
            </w:r>
          </w:p>
        </w:tc>
        <w:tc>
          <w:tcPr>
            <w:tcW w:w="254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Valencia, Spain</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Sihanoukville, Cambodia</w:t>
            </w: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and</w:t>
            </w:r>
          </w:p>
        </w:tc>
        <w:tc>
          <w:tcPr>
            <w:tcW w:w="1320" w:type="dxa"/>
            <w:vAlign w:val="bottom"/>
            <w:vMerge w:val="continue"/>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540" w:type="dxa"/>
            <w:vAlign w:val="bottom"/>
            <w:tcBorders>
              <w:right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Closures</w:t>
            </w:r>
          </w:p>
        </w:tc>
        <w:tc>
          <w:tcPr>
            <w:tcW w:w="1320" w:type="dxa"/>
            <w:vAlign w:val="bottom"/>
          </w:tcPr>
          <w:p>
            <w:pPr>
              <w:ind w:left="180"/>
              <w:spacing w:after="0"/>
              <w:rPr>
                <w:sz w:val="20"/>
                <w:szCs w:val="20"/>
                <w:color w:val="auto"/>
              </w:rPr>
            </w:pPr>
            <w:r>
              <w:rPr>
                <w:rFonts w:ascii="Arial" w:cs="Arial" w:eastAsia="Arial" w:hAnsi="Arial"/>
                <w:sz w:val="14"/>
                <w:szCs w:val="14"/>
                <w:color w:val="auto"/>
              </w:rPr>
              <w:t>Batesville, MS</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Rio Verde, Brazil</w:t>
            </w:r>
          </w:p>
        </w:tc>
        <w:tc>
          <w:tcPr>
            <w:tcW w:w="1700" w:type="dxa"/>
            <w:vAlign w:val="bottom"/>
          </w:tcPr>
          <w:p>
            <w:pPr>
              <w:ind w:left="20"/>
              <w:spacing w:after="0"/>
              <w:rPr>
                <w:sz w:val="20"/>
                <w:szCs w:val="20"/>
                <w:color w:val="auto"/>
              </w:rPr>
            </w:pPr>
            <w:r>
              <w:rPr>
                <w:rFonts w:ascii="Arial" w:cs="Arial" w:eastAsia="Arial" w:hAnsi="Arial"/>
                <w:sz w:val="14"/>
                <w:szCs w:val="14"/>
                <w:color w:val="auto"/>
              </w:rPr>
              <w:t>Patras, Greece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El Agba, Tunisia</w:t>
            </w:r>
          </w:p>
        </w:tc>
        <w:tc>
          <w:tcPr>
            <w:tcW w:w="2140" w:type="dxa"/>
            <w:vAlign w:val="bottom"/>
          </w:tcPr>
          <w:p>
            <w:pPr>
              <w:ind w:left="20"/>
              <w:spacing w:after="0"/>
              <w:rPr>
                <w:sz w:val="20"/>
                <w:szCs w:val="20"/>
                <w:color w:val="auto"/>
              </w:rPr>
            </w:pPr>
            <w:r>
              <w:rPr>
                <w:rFonts w:ascii="Arial" w:cs="Arial" w:eastAsia="Arial" w:hAnsi="Arial"/>
                <w:sz w:val="14"/>
                <w:szCs w:val="14"/>
                <w:color w:val="auto"/>
              </w:rPr>
              <w:t>Hangzhou, China</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Nichols, NY</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Calgary, Canada</w:t>
            </w:r>
          </w:p>
        </w:tc>
        <w:tc>
          <w:tcPr>
            <w:tcW w:w="1700" w:type="dxa"/>
            <w:vAlign w:val="bottom"/>
          </w:tcPr>
          <w:p>
            <w:pPr>
              <w:ind w:left="20"/>
              <w:spacing w:after="0"/>
              <w:rPr>
                <w:sz w:val="20"/>
                <w:szCs w:val="20"/>
                <w:color w:val="auto"/>
              </w:rPr>
            </w:pPr>
            <w:r>
              <w:rPr>
                <w:rFonts w:ascii="Arial" w:cs="Arial" w:eastAsia="Arial" w:hAnsi="Arial"/>
                <w:sz w:val="14"/>
                <w:szCs w:val="14"/>
                <w:color w:val="auto"/>
              </w:rPr>
              <w:t>Parma, Italy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Izmit, Turkey</w:t>
            </w:r>
          </w:p>
        </w:tc>
        <w:tc>
          <w:tcPr>
            <w:tcW w:w="2140" w:type="dxa"/>
            <w:vAlign w:val="bottom"/>
          </w:tcPr>
          <w:p>
            <w:pPr>
              <w:ind w:left="20"/>
              <w:spacing w:after="0"/>
              <w:rPr>
                <w:sz w:val="20"/>
                <w:szCs w:val="20"/>
                <w:color w:val="auto"/>
              </w:rPr>
            </w:pPr>
            <w:r>
              <w:rPr>
                <w:rFonts w:ascii="Arial" w:cs="Arial" w:eastAsia="Arial" w:hAnsi="Arial"/>
                <w:sz w:val="14"/>
                <w:szCs w:val="14"/>
                <w:color w:val="auto"/>
              </w:rPr>
              <w:t>Heshan, China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Dayton, OH</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Ontario, Canada</w:t>
            </w:r>
          </w:p>
        </w:tc>
        <w:tc>
          <w:tcPr>
            <w:tcW w:w="1700" w:type="dxa"/>
            <w:vAlign w:val="bottom"/>
          </w:tcPr>
          <w:p>
            <w:pPr>
              <w:ind w:left="20"/>
              <w:spacing w:after="0"/>
              <w:rPr>
                <w:sz w:val="20"/>
                <w:szCs w:val="20"/>
                <w:color w:val="auto"/>
              </w:rPr>
            </w:pPr>
            <w:r>
              <w:rPr>
                <w:rFonts w:ascii="Arial" w:cs="Arial" w:eastAsia="Arial" w:hAnsi="Arial"/>
                <w:sz w:val="14"/>
                <w:szCs w:val="14"/>
                <w:color w:val="auto"/>
              </w:rPr>
              <w:t>Amman, Jordan</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Osmaniye, Turkey</w:t>
            </w:r>
          </w:p>
        </w:tc>
        <w:tc>
          <w:tcPr>
            <w:tcW w:w="2140" w:type="dxa"/>
            <w:vAlign w:val="bottom"/>
          </w:tcPr>
          <w:p>
            <w:pPr>
              <w:ind w:left="20"/>
              <w:spacing w:after="0"/>
              <w:rPr>
                <w:sz w:val="20"/>
                <w:szCs w:val="20"/>
                <w:color w:val="auto"/>
              </w:rPr>
            </w:pPr>
            <w:r>
              <w:rPr>
                <w:rFonts w:ascii="Arial" w:cs="Arial" w:eastAsia="Arial" w:hAnsi="Arial"/>
                <w:sz w:val="14"/>
                <w:szCs w:val="14"/>
                <w:color w:val="auto"/>
              </w:rPr>
              <w:t>Ziyang, China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Cheraw, SC</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Santafe de Bogota,</w:t>
            </w:r>
          </w:p>
        </w:tc>
        <w:tc>
          <w:tcPr>
            <w:tcW w:w="1700" w:type="dxa"/>
            <w:vAlign w:val="bottom"/>
          </w:tcPr>
          <w:p>
            <w:pPr>
              <w:ind w:left="20"/>
              <w:spacing w:after="0"/>
              <w:rPr>
                <w:sz w:val="20"/>
                <w:szCs w:val="20"/>
                <w:color w:val="auto"/>
              </w:rPr>
            </w:pPr>
            <w:r>
              <w:rPr>
                <w:rFonts w:ascii="Arial" w:cs="Arial" w:eastAsia="Arial" w:hAnsi="Arial"/>
                <w:sz w:val="14"/>
                <w:szCs w:val="14"/>
                <w:color w:val="auto"/>
              </w:rPr>
              <w:t>Dammam, Saudi Arabia</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Dubai, UAE</w:t>
            </w:r>
          </w:p>
        </w:tc>
        <w:tc>
          <w:tcPr>
            <w:tcW w:w="2140" w:type="dxa"/>
            <w:vAlign w:val="bottom"/>
          </w:tcPr>
          <w:p>
            <w:pPr>
              <w:ind w:left="20"/>
              <w:spacing w:after="0"/>
              <w:rPr>
                <w:sz w:val="20"/>
                <w:szCs w:val="20"/>
                <w:color w:val="auto"/>
              </w:rPr>
            </w:pPr>
            <w:r>
              <w:rPr>
                <w:rFonts w:ascii="Arial" w:cs="Arial" w:eastAsia="Arial" w:hAnsi="Arial"/>
                <w:sz w:val="14"/>
                <w:szCs w:val="14"/>
                <w:color w:val="auto"/>
              </w:rPr>
              <w:t>Karawang, Indonesia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Conroe, TX</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Colombia</w:t>
            </w:r>
          </w:p>
        </w:tc>
        <w:tc>
          <w:tcPr>
            <w:tcW w:w="1700" w:type="dxa"/>
            <w:vAlign w:val="bottom"/>
          </w:tcPr>
          <w:p>
            <w:pPr>
              <w:ind w:left="20"/>
              <w:spacing w:after="0"/>
              <w:rPr>
                <w:sz w:val="20"/>
                <w:szCs w:val="20"/>
                <w:color w:val="auto"/>
              </w:rPr>
            </w:pPr>
            <w:r>
              <w:rPr>
                <w:rFonts w:ascii="Arial" w:cs="Arial" w:eastAsia="Arial" w:hAnsi="Arial"/>
                <w:sz w:val="14"/>
                <w:szCs w:val="14"/>
                <w:color w:val="auto"/>
              </w:rPr>
              <w:t>Jeddah, Saudi Arabia</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Botcherby, U.K.</w:t>
            </w:r>
          </w:p>
        </w:tc>
        <w:tc>
          <w:tcPr>
            <w:tcW w:w="2140" w:type="dxa"/>
            <w:vAlign w:val="bottom"/>
          </w:tcPr>
          <w:p>
            <w:pPr>
              <w:ind w:left="20"/>
              <w:spacing w:after="0"/>
              <w:rPr>
                <w:sz w:val="20"/>
                <w:szCs w:val="20"/>
                <w:color w:val="auto"/>
              </w:rPr>
            </w:pPr>
            <w:r>
              <w:rPr>
                <w:rFonts w:ascii="Arial" w:cs="Arial" w:eastAsia="Arial" w:hAnsi="Arial"/>
                <w:sz w:val="14"/>
                <w:szCs w:val="14"/>
                <w:color w:val="auto"/>
              </w:rPr>
              <w:t>Bangi, Malaysia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Fort Bend, TX</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Chihuahua, Mexico</w:t>
            </w:r>
          </w:p>
        </w:tc>
        <w:tc>
          <w:tcPr>
            <w:tcW w:w="1700" w:type="dxa"/>
            <w:vAlign w:val="bottom"/>
          </w:tcPr>
          <w:p>
            <w:pPr>
              <w:ind w:left="20"/>
              <w:spacing w:after="0"/>
              <w:rPr>
                <w:sz w:val="20"/>
                <w:szCs w:val="20"/>
                <w:color w:val="auto"/>
              </w:rPr>
            </w:pPr>
            <w:r>
              <w:rPr>
                <w:rFonts w:ascii="Arial" w:cs="Arial" w:eastAsia="Arial" w:hAnsi="Arial"/>
                <w:sz w:val="14"/>
                <w:szCs w:val="14"/>
                <w:color w:val="auto"/>
              </w:rPr>
              <w:t>Kosice, Slovakia</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Braunstone, U.K.</w:t>
            </w:r>
          </w:p>
        </w:tc>
        <w:tc>
          <w:tcPr>
            <w:tcW w:w="2140" w:type="dxa"/>
            <w:vAlign w:val="bottom"/>
          </w:tcPr>
          <w:p>
            <w:pPr>
              <w:ind w:left="20"/>
              <w:spacing w:after="0"/>
              <w:rPr>
                <w:sz w:val="20"/>
                <w:szCs w:val="20"/>
                <w:color w:val="auto"/>
              </w:rPr>
            </w:pPr>
            <w:r>
              <w:rPr>
                <w:rFonts w:ascii="Arial" w:cs="Arial" w:eastAsia="Arial" w:hAnsi="Arial"/>
                <w:sz w:val="14"/>
                <w:szCs w:val="14"/>
                <w:color w:val="auto"/>
              </w:rPr>
              <w:t>Yangon, Myanmar</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Winchester, VA</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Ensenada, Mexico</w:t>
            </w:r>
          </w:p>
        </w:tc>
        <w:tc>
          <w:tcPr>
            <w:tcW w:w="1700" w:type="dxa"/>
            <w:vAlign w:val="bottom"/>
          </w:tcPr>
          <w:p>
            <w:pPr>
              <w:ind w:left="20"/>
              <w:spacing w:after="0"/>
              <w:rPr>
                <w:sz w:val="20"/>
                <w:szCs w:val="20"/>
                <w:color w:val="auto"/>
              </w:rPr>
            </w:pPr>
            <w:r>
              <w:rPr>
                <w:rFonts w:ascii="Arial" w:cs="Arial" w:eastAsia="Arial" w:hAnsi="Arial"/>
                <w:sz w:val="14"/>
                <w:szCs w:val="14"/>
                <w:color w:val="auto"/>
              </w:rPr>
              <w:t>Agoncillo, Spain</w:t>
            </w: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Olympia, WA</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Guadalajara,</w:t>
            </w: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Nong Khae, Thailand (2)</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La Crosse, WI</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Mexico</w:t>
            </w: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Danang, Vietnam</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Worland, WY</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Monterrey, Mexico (2)</w:t>
            </w: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Dong Nai, Vietnam</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Cabreuva, Brazil</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Orizaba, Mexico</w:t>
            </w: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Hanoi, Vietnam</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Teresina, Brazil</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Toluca, Mexico</w:t>
            </w: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Ho Chi Minh City, Vietnam</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Estancia, Brazil</w:t>
            </w:r>
          </w:p>
        </w:tc>
        <w:tc>
          <w:tcPr>
            <w:tcW w:w="216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Food</w:t>
            </w:r>
          </w:p>
        </w:tc>
        <w:tc>
          <w:tcPr>
            <w:tcW w:w="1320" w:type="dxa"/>
            <w:vAlign w:val="bottom"/>
          </w:tcPr>
          <w:p>
            <w:pPr>
              <w:ind w:left="180"/>
              <w:spacing w:after="0"/>
              <w:rPr>
                <w:sz w:val="20"/>
                <w:szCs w:val="20"/>
                <w:color w:val="auto"/>
              </w:rPr>
            </w:pPr>
            <w:r>
              <w:rPr>
                <w:rFonts w:ascii="Arial" w:cs="Arial" w:eastAsia="Arial" w:hAnsi="Arial"/>
                <w:sz w:val="14"/>
                <w:szCs w:val="14"/>
                <w:color w:val="auto"/>
              </w:rPr>
              <w:t>Dubuque, IA</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Hanover, PA</w:t>
            </w:r>
          </w:p>
        </w:tc>
        <w:tc>
          <w:tcPr>
            <w:tcW w:w="1700" w:type="dxa"/>
            <w:vAlign w:val="bottom"/>
          </w:tcPr>
          <w:p>
            <w:pPr>
              <w:ind w:left="20"/>
              <w:spacing w:after="0"/>
              <w:rPr>
                <w:sz w:val="20"/>
                <w:szCs w:val="20"/>
                <w:color w:val="auto"/>
              </w:rPr>
            </w:pPr>
            <w:r>
              <w:rPr>
                <w:rFonts w:ascii="Arial" w:cs="Arial" w:eastAsia="Arial" w:hAnsi="Arial"/>
                <w:sz w:val="14"/>
                <w:szCs w:val="14"/>
                <w:color w:val="auto"/>
              </w:rPr>
              <w:t>Carpentras,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Abidjan, Ivory Coast</w:t>
            </w:r>
          </w:p>
        </w:tc>
        <w:tc>
          <w:tcPr>
            <w:tcW w:w="2140" w:type="dxa"/>
            <w:vAlign w:val="bottom"/>
          </w:tcPr>
          <w:p>
            <w:pPr>
              <w:ind w:left="20"/>
              <w:spacing w:after="0"/>
              <w:rPr>
                <w:sz w:val="20"/>
                <w:szCs w:val="20"/>
                <w:color w:val="auto"/>
              </w:rPr>
            </w:pPr>
            <w:r>
              <w:rPr>
                <w:rFonts w:ascii="Arial" w:cs="Arial" w:eastAsia="Arial" w:hAnsi="Arial"/>
                <w:sz w:val="14"/>
                <w:szCs w:val="14"/>
                <w:color w:val="auto"/>
              </w:rPr>
              <w:t>Bangpoo, Thailand</w:t>
            </w:r>
          </w:p>
        </w:tc>
        <w:tc>
          <w:tcPr>
            <w:tcW w:w="0" w:type="dxa"/>
            <w:vAlign w:val="bottom"/>
          </w:tcPr>
          <w:p>
            <w:pPr>
              <w:spacing w:after="0"/>
              <w:rPr>
                <w:sz w:val="1"/>
                <w:szCs w:val="1"/>
                <w:color w:val="auto"/>
              </w:rPr>
            </w:pPr>
          </w:p>
        </w:tc>
      </w:tr>
      <w:tr>
        <w:trPr>
          <w:trHeight w:val="47"/>
        </w:trPr>
        <w:tc>
          <w:tcPr>
            <w:tcW w:w="1340" w:type="dxa"/>
            <w:vAlign w:val="bottom"/>
            <w:vMerge w:val="continue"/>
          </w:tcPr>
          <w:p>
            <w:pPr>
              <w:spacing w:after="0"/>
              <w:rPr>
                <w:sz w:val="4"/>
                <w:szCs w:val="4"/>
                <w:color w:val="auto"/>
              </w:rPr>
            </w:pPr>
          </w:p>
        </w:tc>
        <w:tc>
          <w:tcPr>
            <w:tcW w:w="1320" w:type="dxa"/>
            <w:vAlign w:val="bottom"/>
            <w:vMerge w:val="restart"/>
          </w:tcPr>
          <w:p>
            <w:pPr>
              <w:ind w:left="180"/>
              <w:spacing w:after="0"/>
              <w:rPr>
                <w:sz w:val="20"/>
                <w:szCs w:val="20"/>
                <w:color w:val="auto"/>
              </w:rPr>
            </w:pPr>
            <w:r>
              <w:rPr>
                <w:rFonts w:ascii="Arial" w:cs="Arial" w:eastAsia="Arial" w:hAnsi="Arial"/>
                <w:sz w:val="14"/>
                <w:szCs w:val="14"/>
                <w:color w:val="auto"/>
              </w:rPr>
              <w:t>Owatonna, MN</w:t>
            </w:r>
          </w:p>
        </w:tc>
        <w:tc>
          <w:tcPr>
            <w:tcW w:w="21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Suffolk, VA</w:t>
            </w:r>
          </w:p>
        </w:tc>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Concarneau, France</w:t>
            </w:r>
          </w:p>
        </w:tc>
        <w:tc>
          <w:tcPr>
            <w:tcW w:w="254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Toamasina, Madagascar</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Hat Yai, Thailand</w:t>
            </w: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and</w:t>
            </w:r>
          </w:p>
        </w:tc>
        <w:tc>
          <w:tcPr>
            <w:tcW w:w="1320" w:type="dxa"/>
            <w:vAlign w:val="bottom"/>
            <w:vMerge w:val="continue"/>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540" w:type="dxa"/>
            <w:vAlign w:val="bottom"/>
            <w:tcBorders>
              <w:right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Closures</w:t>
            </w:r>
          </w:p>
        </w:tc>
        <w:tc>
          <w:tcPr>
            <w:tcW w:w="1320" w:type="dxa"/>
            <w:vAlign w:val="bottom"/>
          </w:tcPr>
          <w:p>
            <w:pPr>
              <w:ind w:left="180"/>
              <w:spacing w:after="0"/>
              <w:rPr>
                <w:sz w:val="20"/>
                <w:szCs w:val="20"/>
                <w:color w:val="auto"/>
              </w:rPr>
            </w:pPr>
            <w:r>
              <w:rPr>
                <w:rFonts w:ascii="Arial" w:cs="Arial" w:eastAsia="Arial" w:hAnsi="Arial"/>
                <w:sz w:val="14"/>
                <w:szCs w:val="14"/>
                <w:color w:val="auto"/>
              </w:rPr>
              <w:t>Lancaster, OH</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Oshkosh, WI</w:t>
            </w:r>
          </w:p>
        </w:tc>
        <w:tc>
          <w:tcPr>
            <w:tcW w:w="1700" w:type="dxa"/>
            <w:vAlign w:val="bottom"/>
          </w:tcPr>
          <w:p>
            <w:pPr>
              <w:ind w:left="20"/>
              <w:spacing w:after="0"/>
              <w:rPr>
                <w:sz w:val="20"/>
                <w:szCs w:val="20"/>
                <w:color w:val="auto"/>
              </w:rPr>
            </w:pPr>
            <w:r>
              <w:rPr>
                <w:rFonts w:ascii="Arial" w:cs="Arial" w:eastAsia="Arial" w:hAnsi="Arial"/>
                <w:sz w:val="14"/>
                <w:szCs w:val="14"/>
                <w:color w:val="auto"/>
              </w:rPr>
              <w:t>Laon,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Agadir, Morocco</w:t>
            </w:r>
          </w:p>
        </w:tc>
        <w:tc>
          <w:tcPr>
            <w:tcW w:w="2140" w:type="dxa"/>
            <w:vAlign w:val="bottom"/>
          </w:tcPr>
          <w:p>
            <w:pPr>
              <w:ind w:left="20"/>
              <w:spacing w:after="0"/>
              <w:rPr>
                <w:sz w:val="20"/>
                <w:szCs w:val="20"/>
                <w:color w:val="auto"/>
              </w:rPr>
            </w:pPr>
            <w:r>
              <w:rPr>
                <w:rFonts w:ascii="Arial" w:cs="Arial" w:eastAsia="Arial" w:hAnsi="Arial"/>
                <w:sz w:val="14"/>
                <w:szCs w:val="14"/>
                <w:color w:val="auto"/>
              </w:rPr>
              <w:t>Nakhon Pathom, Thailand</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Massillon, OH</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Kingston, Jamaica</w:t>
            </w:r>
          </w:p>
        </w:tc>
        <w:tc>
          <w:tcPr>
            <w:tcW w:w="1700" w:type="dxa"/>
            <w:vAlign w:val="bottom"/>
          </w:tcPr>
          <w:p>
            <w:pPr>
              <w:ind w:left="20"/>
              <w:spacing w:after="0"/>
              <w:rPr>
                <w:sz w:val="20"/>
                <w:szCs w:val="20"/>
                <w:color w:val="auto"/>
              </w:rPr>
            </w:pPr>
            <w:r>
              <w:rPr>
                <w:rFonts w:ascii="Arial" w:cs="Arial" w:eastAsia="Arial" w:hAnsi="Arial"/>
                <w:sz w:val="14"/>
                <w:szCs w:val="14"/>
                <w:color w:val="auto"/>
              </w:rPr>
              <w:t>Nantes,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Casablanca, Morocco</w:t>
            </w:r>
          </w:p>
        </w:tc>
        <w:tc>
          <w:tcPr>
            <w:tcW w:w="2140" w:type="dxa"/>
            <w:vAlign w:val="bottom"/>
          </w:tcPr>
          <w:p>
            <w:pPr>
              <w:ind w:left="20"/>
              <w:spacing w:after="0"/>
              <w:rPr>
                <w:sz w:val="20"/>
                <w:szCs w:val="20"/>
                <w:color w:val="auto"/>
              </w:rPr>
            </w:pPr>
            <w:r>
              <w:rPr>
                <w:rFonts w:ascii="Arial" w:cs="Arial" w:eastAsia="Arial" w:hAnsi="Arial"/>
                <w:sz w:val="14"/>
                <w:szCs w:val="14"/>
                <w:color w:val="auto"/>
              </w:rPr>
              <w:t>Samrong, Thailand</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Mill Park, OH</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La Villa, Mexico</w:t>
            </w:r>
          </w:p>
        </w:tc>
        <w:tc>
          <w:tcPr>
            <w:tcW w:w="1700" w:type="dxa"/>
            <w:vAlign w:val="bottom"/>
          </w:tcPr>
          <w:p>
            <w:pPr>
              <w:ind w:left="20"/>
              <w:spacing w:after="0"/>
              <w:rPr>
                <w:sz w:val="20"/>
                <w:szCs w:val="20"/>
                <w:color w:val="auto"/>
              </w:rPr>
            </w:pPr>
            <w:r>
              <w:rPr>
                <w:rFonts w:ascii="Arial" w:cs="Arial" w:eastAsia="Arial" w:hAnsi="Arial"/>
                <w:sz w:val="14"/>
                <w:szCs w:val="14"/>
                <w:color w:val="auto"/>
              </w:rPr>
              <w:t>Outreau,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Goleniow, Poland</w:t>
            </w:r>
          </w:p>
        </w:tc>
        <w:tc>
          <w:tcPr>
            <w:tcW w:w="2140" w:type="dxa"/>
            <w:vAlign w:val="bottom"/>
          </w:tcPr>
          <w:p>
            <w:pPr>
              <w:ind w:left="20"/>
              <w:spacing w:after="0"/>
              <w:rPr>
                <w:sz w:val="20"/>
                <w:szCs w:val="20"/>
                <w:color w:val="auto"/>
              </w:rPr>
            </w:pPr>
            <w:r>
              <w:rPr>
                <w:rFonts w:ascii="Arial" w:cs="Arial" w:eastAsia="Arial" w:hAnsi="Arial"/>
                <w:sz w:val="14"/>
                <w:szCs w:val="14"/>
                <w:color w:val="auto"/>
              </w:rPr>
              <w:t>Songkhla, Thailand</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Connellsville, PA</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Barbados, West Indies</w:t>
            </w:r>
          </w:p>
        </w:tc>
        <w:tc>
          <w:tcPr>
            <w:tcW w:w="1700" w:type="dxa"/>
            <w:vAlign w:val="bottom"/>
          </w:tcPr>
          <w:p>
            <w:pPr>
              <w:ind w:left="20"/>
              <w:spacing w:after="0"/>
              <w:rPr>
                <w:sz w:val="20"/>
                <w:szCs w:val="20"/>
                <w:color w:val="auto"/>
              </w:rPr>
            </w:pPr>
            <w:r>
              <w:rPr>
                <w:rFonts w:ascii="Arial" w:cs="Arial" w:eastAsia="Arial" w:hAnsi="Arial"/>
                <w:sz w:val="14"/>
                <w:szCs w:val="14"/>
                <w:color w:val="auto"/>
              </w:rPr>
              <w:t>Perigueux,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Pruszcz, Poland</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Mühldorf, Germany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Alcochete, Portugal</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Seesen, Germany (2)</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Novotitarovskaya, Russia</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Thessaloniki, Greece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Timashevsk, Russia</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Tema, Ghana</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Aldeanueva De Ebro, 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Kornye, Hungary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Las Torres De Cotillas,</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Nagykoros, Hungary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Athy, Ireland</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Llanera, 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Aprilia, Italy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Merida, 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Battipaglia, Italy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Osuna, 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Calerno S. Ilario d’Enza,</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Pontevedra, 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Italy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Sevilla, Spain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Nocera Superiore, Italy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Karacabey, Turkey</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Parma, Italy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Wisbech, U.K.</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Aerosol</w:t>
            </w:r>
          </w:p>
        </w:tc>
        <w:tc>
          <w:tcPr>
            <w:tcW w:w="1320" w:type="dxa"/>
            <w:vAlign w:val="bottom"/>
          </w:tcPr>
          <w:p>
            <w:pPr>
              <w:ind w:left="180"/>
              <w:spacing w:after="0"/>
              <w:rPr>
                <w:sz w:val="20"/>
                <w:szCs w:val="20"/>
                <w:color w:val="auto"/>
              </w:rPr>
            </w:pPr>
            <w:r>
              <w:rPr>
                <w:rFonts w:ascii="Arial" w:cs="Arial" w:eastAsia="Arial" w:hAnsi="Arial"/>
                <w:sz w:val="14"/>
                <w:szCs w:val="14"/>
                <w:color w:val="auto"/>
              </w:rPr>
              <w:t>Alsip, IL</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Faribault, MN</w:t>
            </w:r>
          </w:p>
        </w:tc>
        <w:tc>
          <w:tcPr>
            <w:tcW w:w="1700" w:type="dxa"/>
            <w:vAlign w:val="bottom"/>
          </w:tcPr>
          <w:p>
            <w:pPr>
              <w:ind w:left="20"/>
              <w:spacing w:after="0"/>
              <w:rPr>
                <w:sz w:val="20"/>
                <w:szCs w:val="20"/>
                <w:color w:val="auto"/>
              </w:rPr>
            </w:pPr>
            <w:r>
              <w:rPr>
                <w:rFonts w:ascii="Arial" w:cs="Arial" w:eastAsia="Arial" w:hAnsi="Arial"/>
                <w:sz w:val="14"/>
                <w:szCs w:val="14"/>
                <w:color w:val="auto"/>
              </w:rPr>
              <w:t>Spilamberto, Italy (2)</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Sutton, U.K.</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Arial" w:cs="Arial" w:eastAsia="Arial" w:hAnsi="Arial"/>
                <w:sz w:val="14"/>
                <w:szCs w:val="14"/>
                <w:color w:val="auto"/>
              </w:rPr>
              <w:t>Decatur, IL</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Spartanburg, SC</w:t>
            </w:r>
          </w:p>
        </w:tc>
        <w:tc>
          <w:tcPr>
            <w:tcW w:w="1700" w:type="dxa"/>
            <w:vAlign w:val="bottom"/>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5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Promotional &amp;</w:t>
            </w:r>
          </w:p>
        </w:tc>
        <w:tc>
          <w:tcPr>
            <w:tcW w:w="1320" w:type="dxa"/>
            <w:vAlign w:val="bottom"/>
          </w:tcPr>
          <w:p>
            <w:pPr>
              <w:ind w:left="180"/>
              <w:spacing w:after="0"/>
              <w:rPr>
                <w:sz w:val="20"/>
                <w:szCs w:val="20"/>
                <w:color w:val="auto"/>
              </w:rPr>
            </w:pPr>
            <w:r>
              <w:rPr>
                <w:rFonts w:ascii="Arial" w:cs="Arial" w:eastAsia="Arial" w:hAnsi="Arial"/>
                <w:sz w:val="14"/>
                <w:szCs w:val="14"/>
                <w:color w:val="auto"/>
              </w:rPr>
              <w:t>Belcamp, MD</w:t>
            </w:r>
          </w:p>
        </w:tc>
        <w:tc>
          <w:tcPr>
            <w:tcW w:w="2160" w:type="dxa"/>
            <w:vAlign w:val="bottom"/>
            <w:tcBorders>
              <w:right w:val="single" w:sz="8" w:color="auto"/>
            </w:tcBorders>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w w:val="97"/>
              </w:rPr>
              <w:t>Chatillon-sur-Seine,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Carlisle, U.K.</w:t>
            </w:r>
          </w:p>
        </w:tc>
        <w:tc>
          <w:tcPr>
            <w:tcW w:w="2140" w:type="dxa"/>
            <w:vAlign w:val="bottom"/>
          </w:tcPr>
          <w:p>
            <w:pPr>
              <w:ind w:left="20"/>
              <w:spacing w:after="0"/>
              <w:rPr>
                <w:sz w:val="20"/>
                <w:szCs w:val="20"/>
                <w:color w:val="auto"/>
              </w:rPr>
            </w:pPr>
            <w:r>
              <w:rPr>
                <w:rFonts w:ascii="Arial" w:cs="Arial" w:eastAsia="Arial" w:hAnsi="Arial"/>
                <w:sz w:val="14"/>
                <w:szCs w:val="14"/>
                <w:color w:val="auto"/>
              </w:rPr>
              <w:t>Henan, China</w:t>
            </w: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Specialty</w:t>
            </w: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Hoorn, Netherlands</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Mansfield, U.K.</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Huizhou, China</w:t>
            </w:r>
          </w:p>
        </w:tc>
        <w:tc>
          <w:tcPr>
            <w:tcW w:w="0" w:type="dxa"/>
            <w:vAlign w:val="bottom"/>
          </w:tcPr>
          <w:p>
            <w:pPr>
              <w:spacing w:after="0"/>
              <w:rPr>
                <w:sz w:val="1"/>
                <w:szCs w:val="1"/>
                <w:color w:val="auto"/>
              </w:rPr>
            </w:pPr>
          </w:p>
        </w:tc>
      </w:tr>
      <w:tr>
        <w:trPr>
          <w:trHeight w:val="110"/>
        </w:trPr>
        <w:tc>
          <w:tcPr>
            <w:tcW w:w="1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Packaging</w:t>
            </w:r>
          </w:p>
        </w:tc>
        <w:tc>
          <w:tcPr>
            <w:tcW w:w="1320" w:type="dxa"/>
            <w:vAlign w:val="bottom"/>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1700" w:type="dxa"/>
            <w:vAlign w:val="bottom"/>
            <w:vMerge w:val="continue"/>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Qingdao Chengyan, China</w:t>
            </w:r>
          </w:p>
        </w:tc>
        <w:tc>
          <w:tcPr>
            <w:tcW w:w="0" w:type="dxa"/>
            <w:vAlign w:val="bottom"/>
          </w:tcPr>
          <w:p>
            <w:pPr>
              <w:spacing w:after="0"/>
              <w:rPr>
                <w:sz w:val="1"/>
                <w:szCs w:val="1"/>
                <w:color w:val="auto"/>
              </w:rPr>
            </w:pPr>
          </w:p>
        </w:tc>
      </w:tr>
      <w:tr>
        <w:trPr>
          <w:trHeight w:val="91"/>
        </w:trPr>
        <w:tc>
          <w:tcPr>
            <w:tcW w:w="1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Shanghai, China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Tianjin, China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Tongxiang, China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Dong Nai, Vietnam</w:t>
            </w:r>
          </w:p>
        </w:tc>
        <w:tc>
          <w:tcPr>
            <w:tcW w:w="0" w:type="dxa"/>
            <w:vAlign w:val="bottom"/>
          </w:tcPr>
          <w:p>
            <w:pPr>
              <w:spacing w:after="0"/>
              <w:rPr>
                <w:sz w:val="1"/>
                <w:szCs w:val="1"/>
                <w:color w:val="auto"/>
              </w:rPr>
            </w:pPr>
          </w:p>
        </w:tc>
      </w:tr>
      <w:tr>
        <w:trPr>
          <w:trHeight w:val="228"/>
        </w:trPr>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Canmaking</w:t>
            </w:r>
          </w:p>
        </w:tc>
        <w:tc>
          <w:tcPr>
            <w:tcW w:w="1320" w:type="dxa"/>
            <w:vAlign w:val="bottom"/>
          </w:tcPr>
          <w:p>
            <w:pPr>
              <w:ind w:left="180"/>
              <w:spacing w:after="0"/>
              <w:rPr>
                <w:sz w:val="20"/>
                <w:szCs w:val="20"/>
                <w:color w:val="auto"/>
              </w:rPr>
            </w:pPr>
            <w:r>
              <w:rPr>
                <w:rFonts w:ascii="Arial" w:cs="Arial" w:eastAsia="Arial" w:hAnsi="Arial"/>
                <w:sz w:val="14"/>
                <w:szCs w:val="14"/>
                <w:color w:val="auto"/>
              </w:rPr>
              <w:t>Norwalk, CT</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Chippewa Falls, WI</w:t>
            </w:r>
          </w:p>
        </w:tc>
        <w:tc>
          <w:tcPr>
            <w:tcW w:w="1700" w:type="dxa"/>
            <w:vAlign w:val="bottom"/>
          </w:tcPr>
          <w:p>
            <w:pPr>
              <w:ind w:left="20"/>
              <w:spacing w:after="0"/>
              <w:rPr>
                <w:sz w:val="20"/>
                <w:szCs w:val="20"/>
                <w:color w:val="auto"/>
              </w:rPr>
            </w:pPr>
            <w:r>
              <w:rPr>
                <w:rFonts w:ascii="Arial" w:cs="Arial" w:eastAsia="Arial" w:hAnsi="Arial"/>
                <w:sz w:val="14"/>
                <w:szCs w:val="14"/>
                <w:color w:val="auto"/>
              </w:rPr>
              <w:t>Shipley, U.K. (3)</w:t>
            </w:r>
          </w:p>
        </w:tc>
        <w:tc>
          <w:tcPr>
            <w:tcW w:w="2540" w:type="dxa"/>
            <w:vAlign w:val="bottom"/>
            <w:tcBorders>
              <w:right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Equipment</w:t>
            </w:r>
          </w:p>
        </w:tc>
        <w:tc>
          <w:tcPr>
            <w:tcW w:w="1320" w:type="dxa"/>
            <w:vAlign w:val="bottom"/>
          </w:tcPr>
          <w:p>
            <w:pPr>
              <w:ind w:left="180"/>
              <w:spacing w:after="0"/>
              <w:rPr>
                <w:sz w:val="20"/>
                <w:szCs w:val="20"/>
                <w:color w:val="auto"/>
              </w:rPr>
            </w:pPr>
            <w:r>
              <w:rPr>
                <w:rFonts w:ascii="Arial" w:cs="Arial" w:eastAsia="Arial" w:hAnsi="Arial"/>
                <w:sz w:val="14"/>
                <w:szCs w:val="14"/>
                <w:color w:val="auto"/>
              </w:rPr>
              <w:t>Trevose, PA</w:t>
            </w:r>
          </w:p>
        </w:tc>
        <w:tc>
          <w:tcPr>
            <w:tcW w:w="21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Acayucan, Mexico</w:t>
            </w:r>
          </w:p>
        </w:tc>
        <w:tc>
          <w:tcPr>
            <w:tcW w:w="1700" w:type="dxa"/>
            <w:vAlign w:val="bottom"/>
          </w:tcPr>
          <w:p>
            <w:pPr>
              <w:spacing w:after="0"/>
              <w:rPr>
                <w:sz w:val="19"/>
                <w:szCs w:val="19"/>
                <w:color w:val="auto"/>
              </w:rPr>
            </w:pPr>
          </w:p>
        </w:tc>
        <w:tc>
          <w:tcPr>
            <w:tcW w:w="2540" w:type="dxa"/>
            <w:vAlign w:val="bottom"/>
            <w:tcBorders>
              <w:righ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and Other</w:t>
            </w: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w w:val="97"/>
              </w:rPr>
              <w:t>Crown Holdings, Inc.</w:t>
            </w:r>
          </w:p>
        </w:tc>
        <w:tc>
          <w:tcPr>
            <w:tcW w:w="2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10"/>
        </w:trPr>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Americas</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Europe</w:t>
            </w: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Asia Pacific</w:t>
            </w:r>
          </w:p>
        </w:tc>
      </w:tr>
      <w:tr>
        <w:trPr>
          <w:trHeight w:val="218"/>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Transit</w:t>
            </w:r>
          </w:p>
        </w:tc>
        <w:tc>
          <w:tcPr>
            <w:tcW w:w="1520" w:type="dxa"/>
            <w:vAlign w:val="bottom"/>
          </w:tcPr>
          <w:p>
            <w:pPr>
              <w:ind w:left="340"/>
              <w:spacing w:after="0"/>
              <w:rPr>
                <w:sz w:val="20"/>
                <w:szCs w:val="20"/>
                <w:color w:val="auto"/>
              </w:rPr>
            </w:pPr>
            <w:r>
              <w:rPr>
                <w:rFonts w:ascii="Arial" w:cs="Arial" w:eastAsia="Arial" w:hAnsi="Arial"/>
                <w:sz w:val="14"/>
                <w:szCs w:val="14"/>
                <w:color w:val="auto"/>
              </w:rPr>
              <w:t>Rainbow City, AL</w:t>
            </w:r>
          </w:p>
        </w:tc>
        <w:tc>
          <w:tcPr>
            <w:tcW w:w="1860" w:type="dxa"/>
            <w:vAlign w:val="bottom"/>
          </w:tcPr>
          <w:p>
            <w:pPr>
              <w:ind w:left="340"/>
              <w:spacing w:after="0"/>
              <w:rPr>
                <w:sz w:val="20"/>
                <w:szCs w:val="20"/>
                <w:color w:val="auto"/>
              </w:rPr>
            </w:pPr>
            <w:r>
              <w:rPr>
                <w:rFonts w:ascii="Arial" w:cs="Arial" w:eastAsia="Arial" w:hAnsi="Arial"/>
                <w:sz w:val="14"/>
                <w:szCs w:val="14"/>
                <w:color w:val="auto"/>
              </w:rPr>
              <w:t>Irvington, NJ</w:t>
            </w:r>
          </w:p>
        </w:tc>
        <w:tc>
          <w:tcPr>
            <w:tcW w:w="280" w:type="dxa"/>
            <w:vAlign w:val="bottom"/>
            <w:tcBorders>
              <w:right w:val="single" w:sz="8" w:color="auto"/>
            </w:tcBorders>
          </w:tcPr>
          <w:p>
            <w:pPr>
              <w:spacing w:after="0"/>
              <w:rPr>
                <w:sz w:val="18"/>
                <w:szCs w:val="18"/>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Virton, Belgium</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Weischlitz, Germany</w:t>
            </w:r>
          </w:p>
        </w:tc>
        <w:tc>
          <w:tcPr>
            <w:tcW w:w="2140" w:type="dxa"/>
            <w:vAlign w:val="bottom"/>
          </w:tcPr>
          <w:p>
            <w:pPr>
              <w:ind w:left="20"/>
              <w:spacing w:after="0"/>
              <w:rPr>
                <w:sz w:val="20"/>
                <w:szCs w:val="20"/>
                <w:color w:val="auto"/>
              </w:rPr>
            </w:pPr>
            <w:r>
              <w:rPr>
                <w:rFonts w:ascii="Arial" w:cs="Arial" w:eastAsia="Arial" w:hAnsi="Arial"/>
                <w:sz w:val="14"/>
                <w:szCs w:val="14"/>
                <w:color w:val="auto"/>
              </w:rPr>
              <w:t>Derrimut, Australia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Packaging</w:t>
            </w:r>
          </w:p>
        </w:tc>
        <w:tc>
          <w:tcPr>
            <w:tcW w:w="1520" w:type="dxa"/>
            <w:vAlign w:val="bottom"/>
          </w:tcPr>
          <w:p>
            <w:pPr>
              <w:ind w:left="340"/>
              <w:spacing w:after="0"/>
              <w:rPr>
                <w:sz w:val="20"/>
                <w:szCs w:val="20"/>
                <w:color w:val="auto"/>
              </w:rPr>
            </w:pPr>
            <w:r>
              <w:rPr>
                <w:rFonts w:ascii="Arial" w:cs="Arial" w:eastAsia="Arial" w:hAnsi="Arial"/>
                <w:sz w:val="14"/>
                <w:szCs w:val="14"/>
                <w:color w:val="auto"/>
              </w:rPr>
              <w:t>Benton, AR (2)</w:t>
            </w:r>
          </w:p>
        </w:tc>
        <w:tc>
          <w:tcPr>
            <w:tcW w:w="1860" w:type="dxa"/>
            <w:vAlign w:val="bottom"/>
          </w:tcPr>
          <w:p>
            <w:pPr>
              <w:ind w:left="340"/>
              <w:spacing w:after="0"/>
              <w:rPr>
                <w:sz w:val="20"/>
                <w:szCs w:val="20"/>
                <w:color w:val="auto"/>
              </w:rPr>
            </w:pPr>
            <w:r>
              <w:rPr>
                <w:rFonts w:ascii="Arial" w:cs="Arial" w:eastAsia="Arial" w:hAnsi="Arial"/>
                <w:sz w:val="14"/>
                <w:szCs w:val="14"/>
                <w:color w:val="auto"/>
              </w:rPr>
              <w:t>Cleveland, OH</w:t>
            </w:r>
          </w:p>
        </w:tc>
        <w:tc>
          <w:tcPr>
            <w:tcW w:w="280" w:type="dxa"/>
            <w:vAlign w:val="bottom"/>
            <w:tcBorders>
              <w:right w:val="single" w:sz="8" w:color="auto"/>
            </w:tcBorders>
          </w:tcPr>
          <w:p>
            <w:pPr>
              <w:spacing w:after="0"/>
              <w:rPr>
                <w:sz w:val="19"/>
                <w:szCs w:val="19"/>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Kardjali, Bulgaria</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Gorey, Ireland</w:t>
            </w:r>
          </w:p>
        </w:tc>
        <w:tc>
          <w:tcPr>
            <w:tcW w:w="2140" w:type="dxa"/>
            <w:vAlign w:val="bottom"/>
          </w:tcPr>
          <w:p>
            <w:pPr>
              <w:ind w:left="20"/>
              <w:spacing w:after="0"/>
              <w:rPr>
                <w:sz w:val="20"/>
                <w:szCs w:val="20"/>
                <w:color w:val="auto"/>
              </w:rPr>
            </w:pPr>
            <w:r>
              <w:rPr>
                <w:rFonts w:ascii="Arial" w:cs="Arial" w:eastAsia="Arial" w:hAnsi="Arial"/>
                <w:sz w:val="14"/>
                <w:szCs w:val="14"/>
                <w:color w:val="auto"/>
              </w:rPr>
              <w:t>Kurri Kurri, Australia</w:t>
            </w:r>
          </w:p>
        </w:tc>
      </w:tr>
      <w:tr>
        <w:trPr>
          <w:trHeight w:val="182"/>
        </w:trPr>
        <w:tc>
          <w:tcPr>
            <w:tcW w:w="1180" w:type="dxa"/>
            <w:vAlign w:val="bottom"/>
          </w:tcPr>
          <w:p>
            <w:pPr>
              <w:spacing w:after="0"/>
              <w:rPr>
                <w:sz w:val="15"/>
                <w:szCs w:val="15"/>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Fordyce, AR</w:t>
            </w:r>
          </w:p>
        </w:tc>
        <w:tc>
          <w:tcPr>
            <w:tcW w:w="1860" w:type="dxa"/>
            <w:vAlign w:val="bottom"/>
          </w:tcPr>
          <w:p>
            <w:pPr>
              <w:ind w:left="340"/>
              <w:spacing w:after="0"/>
              <w:rPr>
                <w:sz w:val="20"/>
                <w:szCs w:val="20"/>
                <w:color w:val="auto"/>
              </w:rPr>
            </w:pPr>
            <w:r>
              <w:rPr>
                <w:rFonts w:ascii="Arial" w:cs="Arial" w:eastAsia="Arial" w:hAnsi="Arial"/>
                <w:sz w:val="14"/>
                <w:szCs w:val="14"/>
                <w:color w:val="auto"/>
              </w:rPr>
              <w:t>Loveland, OH</w:t>
            </w:r>
          </w:p>
        </w:tc>
        <w:tc>
          <w:tcPr>
            <w:tcW w:w="280" w:type="dxa"/>
            <w:vAlign w:val="bottom"/>
            <w:tcBorders>
              <w:right w:val="single" w:sz="8" w:color="auto"/>
            </w:tcBorders>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Noerresundby, Denmark</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Kilkenny, Ireland</w:t>
            </w:r>
          </w:p>
        </w:tc>
        <w:tc>
          <w:tcPr>
            <w:tcW w:w="2140" w:type="dxa"/>
            <w:vAlign w:val="bottom"/>
          </w:tcPr>
          <w:p>
            <w:pPr>
              <w:ind w:left="20"/>
              <w:spacing w:after="0"/>
              <w:rPr>
                <w:sz w:val="20"/>
                <w:szCs w:val="20"/>
                <w:color w:val="auto"/>
              </w:rPr>
            </w:pPr>
            <w:r>
              <w:rPr>
                <w:rFonts w:ascii="Arial" w:cs="Arial" w:eastAsia="Arial" w:hAnsi="Arial"/>
                <w:sz w:val="14"/>
                <w:szCs w:val="14"/>
                <w:color w:val="auto"/>
              </w:rPr>
              <w:t>Qingdao, China</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Sheridan, AR</w:t>
            </w:r>
          </w:p>
        </w:tc>
        <w:tc>
          <w:tcPr>
            <w:tcW w:w="1860" w:type="dxa"/>
            <w:vAlign w:val="bottom"/>
          </w:tcPr>
          <w:p>
            <w:pPr>
              <w:ind w:left="340"/>
              <w:spacing w:after="0"/>
              <w:rPr>
                <w:sz w:val="20"/>
                <w:szCs w:val="20"/>
                <w:color w:val="auto"/>
              </w:rPr>
            </w:pPr>
            <w:r>
              <w:rPr>
                <w:rFonts w:ascii="Arial" w:cs="Arial" w:eastAsia="Arial" w:hAnsi="Arial"/>
                <w:sz w:val="14"/>
                <w:szCs w:val="14"/>
                <w:color w:val="auto"/>
              </w:rPr>
              <w:t>West Chester, OH</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Soenderborg, Denmark</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Nairobi, Kenya</w:t>
            </w:r>
          </w:p>
        </w:tc>
        <w:tc>
          <w:tcPr>
            <w:tcW w:w="2140" w:type="dxa"/>
            <w:vAlign w:val="bottom"/>
          </w:tcPr>
          <w:p>
            <w:pPr>
              <w:ind w:left="20"/>
              <w:spacing w:after="0"/>
              <w:rPr>
                <w:sz w:val="20"/>
                <w:szCs w:val="20"/>
                <w:color w:val="auto"/>
              </w:rPr>
            </w:pPr>
            <w:r>
              <w:rPr>
                <w:rFonts w:ascii="Arial" w:cs="Arial" w:eastAsia="Arial" w:hAnsi="Arial"/>
                <w:sz w:val="14"/>
                <w:szCs w:val="14"/>
                <w:color w:val="auto"/>
              </w:rPr>
              <w:t>Bangalore, India (3)</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Phoenix, AZ</w:t>
            </w:r>
          </w:p>
        </w:tc>
        <w:tc>
          <w:tcPr>
            <w:tcW w:w="1860" w:type="dxa"/>
            <w:vAlign w:val="bottom"/>
          </w:tcPr>
          <w:p>
            <w:pPr>
              <w:ind w:left="340"/>
              <w:spacing w:after="0"/>
              <w:rPr>
                <w:sz w:val="20"/>
                <w:szCs w:val="20"/>
                <w:color w:val="auto"/>
              </w:rPr>
            </w:pPr>
            <w:r>
              <w:rPr>
                <w:rFonts w:ascii="Arial" w:cs="Arial" w:eastAsia="Arial" w:hAnsi="Arial"/>
                <w:sz w:val="14"/>
                <w:szCs w:val="14"/>
                <w:color w:val="auto"/>
              </w:rPr>
              <w:t>Elizabethtown, PA</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Liljendal, Finland</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Heerlen,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Dahej, India</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Bay Point, CA</w:t>
            </w:r>
          </w:p>
        </w:tc>
        <w:tc>
          <w:tcPr>
            <w:tcW w:w="1860" w:type="dxa"/>
            <w:vAlign w:val="bottom"/>
          </w:tcPr>
          <w:p>
            <w:pPr>
              <w:ind w:left="340"/>
              <w:spacing w:after="0"/>
              <w:rPr>
                <w:sz w:val="20"/>
                <w:szCs w:val="20"/>
                <w:color w:val="auto"/>
              </w:rPr>
            </w:pPr>
            <w:r>
              <w:rPr>
                <w:rFonts w:ascii="Arial" w:cs="Arial" w:eastAsia="Arial" w:hAnsi="Arial"/>
                <w:sz w:val="14"/>
                <w:szCs w:val="14"/>
                <w:color w:val="auto"/>
              </w:rPr>
              <w:t>Hazleton, PA</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Masku, Finland</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Nuenen,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Karnataka, India</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Stockton, CA</w:t>
            </w:r>
          </w:p>
        </w:tc>
        <w:tc>
          <w:tcPr>
            <w:tcW w:w="1860" w:type="dxa"/>
            <w:vAlign w:val="bottom"/>
          </w:tcPr>
          <w:p>
            <w:pPr>
              <w:ind w:left="340"/>
              <w:spacing w:after="0"/>
              <w:rPr>
                <w:sz w:val="20"/>
                <w:szCs w:val="20"/>
                <w:color w:val="auto"/>
              </w:rPr>
            </w:pPr>
            <w:r>
              <w:rPr>
                <w:rFonts w:ascii="Arial" w:cs="Arial" w:eastAsia="Arial" w:hAnsi="Arial"/>
                <w:sz w:val="14"/>
                <w:szCs w:val="14"/>
                <w:color w:val="auto"/>
              </w:rPr>
              <w:t>South Canaan, PA</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Castelsarrasin,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Zwijndrecht,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Rudrapur, India</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Denver, CO</w:t>
            </w:r>
          </w:p>
        </w:tc>
        <w:tc>
          <w:tcPr>
            <w:tcW w:w="1860" w:type="dxa"/>
            <w:vAlign w:val="bottom"/>
          </w:tcPr>
          <w:p>
            <w:pPr>
              <w:ind w:left="340"/>
              <w:spacing w:after="0"/>
              <w:rPr>
                <w:sz w:val="20"/>
                <w:szCs w:val="20"/>
                <w:color w:val="auto"/>
              </w:rPr>
            </w:pPr>
            <w:r>
              <w:rPr>
                <w:rFonts w:ascii="Arial" w:cs="Arial" w:eastAsia="Arial" w:hAnsi="Arial"/>
                <w:sz w:val="14"/>
                <w:szCs w:val="14"/>
                <w:color w:val="auto"/>
              </w:rPr>
              <w:t>Imperial, PA</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Fontaine les Luxeuil,</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Kosice, Slovakia</w:t>
            </w:r>
          </w:p>
        </w:tc>
        <w:tc>
          <w:tcPr>
            <w:tcW w:w="2140" w:type="dxa"/>
            <w:vAlign w:val="bottom"/>
          </w:tcPr>
          <w:p>
            <w:pPr>
              <w:ind w:left="20"/>
              <w:spacing w:after="0"/>
              <w:rPr>
                <w:sz w:val="20"/>
                <w:szCs w:val="20"/>
                <w:color w:val="auto"/>
              </w:rPr>
            </w:pPr>
            <w:r>
              <w:rPr>
                <w:rFonts w:ascii="Arial" w:cs="Arial" w:eastAsia="Arial" w:hAnsi="Arial"/>
                <w:sz w:val="14"/>
                <w:szCs w:val="14"/>
                <w:color w:val="auto"/>
              </w:rPr>
              <w:t>Rudraram, India (2)</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Carrollton, GA</w:t>
            </w:r>
          </w:p>
        </w:tc>
        <w:tc>
          <w:tcPr>
            <w:tcW w:w="1860" w:type="dxa"/>
            <w:vAlign w:val="bottom"/>
          </w:tcPr>
          <w:p>
            <w:pPr>
              <w:ind w:left="340"/>
              <w:spacing w:after="0"/>
              <w:rPr>
                <w:sz w:val="20"/>
                <w:szCs w:val="20"/>
                <w:color w:val="auto"/>
              </w:rPr>
            </w:pPr>
            <w:r>
              <w:rPr>
                <w:rFonts w:ascii="Arial" w:cs="Arial" w:eastAsia="Arial" w:hAnsi="Arial"/>
                <w:sz w:val="14"/>
                <w:szCs w:val="14"/>
                <w:color w:val="auto"/>
              </w:rPr>
              <w:t>East Providence, RI</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Burseryd,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Silvassa, India (2)</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Douglasville, GA</w:t>
            </w:r>
          </w:p>
        </w:tc>
        <w:tc>
          <w:tcPr>
            <w:tcW w:w="1860" w:type="dxa"/>
            <w:vAlign w:val="bottom"/>
          </w:tcPr>
          <w:p>
            <w:pPr>
              <w:ind w:left="340"/>
              <w:spacing w:after="0"/>
              <w:rPr>
                <w:sz w:val="20"/>
                <w:szCs w:val="20"/>
                <w:color w:val="auto"/>
              </w:rPr>
            </w:pPr>
            <w:r>
              <w:rPr>
                <w:rFonts w:ascii="Arial" w:cs="Arial" w:eastAsia="Arial" w:hAnsi="Arial"/>
                <w:sz w:val="14"/>
                <w:szCs w:val="14"/>
                <w:color w:val="auto"/>
              </w:rPr>
              <w:t>Darlington, SC</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Manneville sur Risle,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Hjo,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Pohang, South Korea</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LaGrange, GA</w:t>
            </w:r>
          </w:p>
        </w:tc>
        <w:tc>
          <w:tcPr>
            <w:tcW w:w="1860" w:type="dxa"/>
            <w:vAlign w:val="bottom"/>
          </w:tcPr>
          <w:p>
            <w:pPr>
              <w:ind w:left="340"/>
              <w:spacing w:after="0"/>
              <w:rPr>
                <w:sz w:val="20"/>
                <w:szCs w:val="20"/>
                <w:color w:val="auto"/>
              </w:rPr>
            </w:pPr>
            <w:r>
              <w:rPr>
                <w:rFonts w:ascii="Arial" w:cs="Arial" w:eastAsia="Arial" w:hAnsi="Arial"/>
                <w:sz w:val="14"/>
                <w:szCs w:val="14"/>
                <w:color w:val="auto"/>
              </w:rPr>
              <w:t>Greer, SC</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Sandared,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Rayong, Thailand</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Macon, GA</w:t>
            </w:r>
          </w:p>
        </w:tc>
        <w:tc>
          <w:tcPr>
            <w:tcW w:w="1860" w:type="dxa"/>
            <w:vAlign w:val="bottom"/>
          </w:tcPr>
          <w:p>
            <w:pPr>
              <w:ind w:left="340"/>
              <w:spacing w:after="0"/>
              <w:rPr>
                <w:sz w:val="20"/>
                <w:szCs w:val="20"/>
                <w:color w:val="auto"/>
              </w:rPr>
            </w:pPr>
            <w:r>
              <w:rPr>
                <w:rFonts w:ascii="Arial" w:cs="Arial" w:eastAsia="Arial" w:hAnsi="Arial"/>
                <w:sz w:val="14"/>
                <w:szCs w:val="14"/>
                <w:color w:val="auto"/>
              </w:rPr>
              <w:t>Latta, SC</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Tournus, France</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Ystad,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Sriracha, Thailand</w:t>
            </w: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Bridgeview, IL</w:t>
            </w:r>
          </w:p>
        </w:tc>
        <w:tc>
          <w:tcPr>
            <w:tcW w:w="1860" w:type="dxa"/>
            <w:vAlign w:val="bottom"/>
          </w:tcPr>
          <w:p>
            <w:pPr>
              <w:ind w:left="340"/>
              <w:spacing w:after="0"/>
              <w:rPr>
                <w:sz w:val="20"/>
                <w:szCs w:val="20"/>
                <w:color w:val="auto"/>
              </w:rPr>
            </w:pPr>
            <w:r>
              <w:rPr>
                <w:rFonts w:ascii="Arial" w:cs="Arial" w:eastAsia="Arial" w:hAnsi="Arial"/>
                <w:sz w:val="14"/>
                <w:szCs w:val="14"/>
                <w:color w:val="auto"/>
              </w:rPr>
              <w:t>Orange, TX</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Dinslaken, Germany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Dietikon, Switzerland (2)</w:t>
            </w: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Dixmoor, IL</w:t>
            </w:r>
          </w:p>
        </w:tc>
        <w:tc>
          <w:tcPr>
            <w:tcW w:w="1860" w:type="dxa"/>
            <w:vAlign w:val="bottom"/>
          </w:tcPr>
          <w:p>
            <w:pPr>
              <w:ind w:left="340"/>
              <w:spacing w:after="0"/>
              <w:rPr>
                <w:sz w:val="20"/>
                <w:szCs w:val="20"/>
                <w:color w:val="auto"/>
              </w:rPr>
            </w:pPr>
            <w:r>
              <w:rPr>
                <w:rFonts w:ascii="Arial" w:cs="Arial" w:eastAsia="Arial" w:hAnsi="Arial"/>
                <w:sz w:val="14"/>
                <w:szCs w:val="14"/>
                <w:color w:val="auto"/>
              </w:rPr>
              <w:t>San Antonio, TX</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Goldkronach, Germany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Merenschwand, Switzerland</w:t>
            </w: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Glenview, IL</w:t>
            </w:r>
          </w:p>
        </w:tc>
        <w:tc>
          <w:tcPr>
            <w:tcW w:w="1860" w:type="dxa"/>
            <w:vAlign w:val="bottom"/>
          </w:tcPr>
          <w:p>
            <w:pPr>
              <w:ind w:left="340"/>
              <w:spacing w:after="0"/>
              <w:rPr>
                <w:sz w:val="20"/>
                <w:szCs w:val="20"/>
                <w:color w:val="auto"/>
              </w:rPr>
            </w:pPr>
            <w:r>
              <w:rPr>
                <w:rFonts w:ascii="Arial" w:cs="Arial" w:eastAsia="Arial" w:hAnsi="Arial"/>
                <w:sz w:val="14"/>
                <w:szCs w:val="14"/>
                <w:color w:val="auto"/>
              </w:rPr>
              <w:t>Danville, VA</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Hilden, Germany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Izmir, Turkey</w:t>
            </w: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Kankakee, IL (2)</w:t>
            </w:r>
          </w:p>
        </w:tc>
        <w:tc>
          <w:tcPr>
            <w:tcW w:w="1860" w:type="dxa"/>
            <w:vAlign w:val="bottom"/>
          </w:tcPr>
          <w:p>
            <w:pPr>
              <w:ind w:left="340"/>
              <w:spacing w:after="0"/>
              <w:rPr>
                <w:sz w:val="20"/>
                <w:szCs w:val="20"/>
                <w:color w:val="auto"/>
              </w:rPr>
            </w:pPr>
            <w:r>
              <w:rPr>
                <w:rFonts w:ascii="Arial" w:cs="Arial" w:eastAsia="Arial" w:hAnsi="Arial"/>
                <w:sz w:val="14"/>
                <w:szCs w:val="14"/>
                <w:color w:val="auto"/>
              </w:rPr>
              <w:t>Woodland, WA</w:t>
            </w:r>
          </w:p>
        </w:tc>
        <w:tc>
          <w:tcPr>
            <w:tcW w:w="280" w:type="dxa"/>
            <w:vAlign w:val="bottom"/>
            <w:tcBorders>
              <w:right w:val="single" w:sz="8" w:color="auto"/>
            </w:tcBorders>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Nurnberg, Germany</w:t>
            </w:r>
          </w:p>
        </w:tc>
        <w:tc>
          <w:tcPr>
            <w:tcW w:w="25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Kingswinford, U.K.</w:t>
            </w: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Elkhart, IN</w:t>
            </w:r>
          </w:p>
        </w:tc>
        <w:tc>
          <w:tcPr>
            <w:tcW w:w="1860" w:type="dxa"/>
            <w:vAlign w:val="bottom"/>
          </w:tcPr>
          <w:p>
            <w:pPr>
              <w:ind w:left="340"/>
              <w:spacing w:after="0"/>
              <w:rPr>
                <w:sz w:val="20"/>
                <w:szCs w:val="20"/>
                <w:color w:val="auto"/>
              </w:rPr>
            </w:pPr>
            <w:r>
              <w:rPr>
                <w:rFonts w:ascii="Arial" w:cs="Arial" w:eastAsia="Arial" w:hAnsi="Arial"/>
                <w:sz w:val="14"/>
                <w:szCs w:val="14"/>
                <w:color w:val="auto"/>
              </w:rPr>
              <w:t>Cabreuva, Brazil</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Gary, IN</w:t>
            </w:r>
          </w:p>
        </w:tc>
        <w:tc>
          <w:tcPr>
            <w:tcW w:w="1860" w:type="dxa"/>
            <w:vAlign w:val="bottom"/>
          </w:tcPr>
          <w:p>
            <w:pPr>
              <w:ind w:left="340"/>
              <w:spacing w:after="0"/>
              <w:rPr>
                <w:sz w:val="20"/>
                <w:szCs w:val="20"/>
                <w:color w:val="auto"/>
              </w:rPr>
            </w:pPr>
            <w:r>
              <w:rPr>
                <w:rFonts w:ascii="Arial" w:cs="Arial" w:eastAsia="Arial" w:hAnsi="Arial"/>
                <w:sz w:val="14"/>
                <w:szCs w:val="14"/>
                <w:color w:val="auto"/>
              </w:rPr>
              <w:t>Cambridge Ontario,</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Florence, KY</w:t>
            </w:r>
          </w:p>
        </w:tc>
        <w:tc>
          <w:tcPr>
            <w:tcW w:w="1860" w:type="dxa"/>
            <w:vAlign w:val="bottom"/>
          </w:tcPr>
          <w:p>
            <w:pPr>
              <w:ind w:left="340"/>
              <w:spacing w:after="0"/>
              <w:rPr>
                <w:sz w:val="20"/>
                <w:szCs w:val="20"/>
                <w:color w:val="auto"/>
              </w:rPr>
            </w:pPr>
            <w:r>
              <w:rPr>
                <w:rFonts w:ascii="Arial" w:cs="Arial" w:eastAsia="Arial" w:hAnsi="Arial"/>
                <w:sz w:val="14"/>
                <w:szCs w:val="14"/>
                <w:color w:val="auto"/>
              </w:rPr>
              <w:t>Canada</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Monroe, LA</w:t>
            </w:r>
          </w:p>
        </w:tc>
        <w:tc>
          <w:tcPr>
            <w:tcW w:w="1860" w:type="dxa"/>
            <w:vAlign w:val="bottom"/>
          </w:tcPr>
          <w:p>
            <w:pPr>
              <w:ind w:left="340"/>
              <w:spacing w:after="0"/>
              <w:rPr>
                <w:sz w:val="20"/>
                <w:szCs w:val="20"/>
                <w:color w:val="auto"/>
              </w:rPr>
            </w:pPr>
            <w:r>
              <w:rPr>
                <w:rFonts w:ascii="Arial" w:cs="Arial" w:eastAsia="Arial" w:hAnsi="Arial"/>
                <w:sz w:val="14"/>
                <w:szCs w:val="14"/>
                <w:color w:val="auto"/>
              </w:rPr>
              <w:t>Amatlan de los Reyes,</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West Monroe, LA</w:t>
            </w:r>
          </w:p>
        </w:tc>
        <w:tc>
          <w:tcPr>
            <w:tcW w:w="1860" w:type="dxa"/>
            <w:vAlign w:val="bottom"/>
          </w:tcPr>
          <w:p>
            <w:pPr>
              <w:ind w:left="340"/>
              <w:spacing w:after="0"/>
              <w:rPr>
                <w:sz w:val="20"/>
                <w:szCs w:val="20"/>
                <w:color w:val="auto"/>
              </w:rPr>
            </w:pPr>
            <w:r>
              <w:rPr>
                <w:rFonts w:ascii="Arial" w:cs="Arial" w:eastAsia="Arial" w:hAnsi="Arial"/>
                <w:sz w:val="14"/>
                <w:szCs w:val="14"/>
                <w:color w:val="auto"/>
              </w:rPr>
              <w:t>Mexico</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Brighton, MI</w:t>
            </w:r>
          </w:p>
        </w:tc>
        <w:tc>
          <w:tcPr>
            <w:tcW w:w="1860" w:type="dxa"/>
            <w:vAlign w:val="bottom"/>
          </w:tcPr>
          <w:p>
            <w:pPr>
              <w:ind w:left="340"/>
              <w:spacing w:after="0"/>
              <w:rPr>
                <w:sz w:val="20"/>
                <w:szCs w:val="20"/>
                <w:color w:val="auto"/>
              </w:rPr>
            </w:pPr>
            <w:r>
              <w:rPr>
                <w:rFonts w:ascii="Arial" w:cs="Arial" w:eastAsia="Arial" w:hAnsi="Arial"/>
                <w:sz w:val="14"/>
                <w:szCs w:val="14"/>
                <w:color w:val="auto"/>
              </w:rPr>
              <w:t>Cienega de Flores,</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Eden, NC</w:t>
            </w:r>
          </w:p>
        </w:tc>
        <w:tc>
          <w:tcPr>
            <w:tcW w:w="1860" w:type="dxa"/>
            <w:vAlign w:val="bottom"/>
          </w:tcPr>
          <w:p>
            <w:pPr>
              <w:ind w:left="340"/>
              <w:spacing w:after="0"/>
              <w:rPr>
                <w:sz w:val="20"/>
                <w:szCs w:val="20"/>
                <w:color w:val="auto"/>
              </w:rPr>
            </w:pPr>
            <w:r>
              <w:rPr>
                <w:rFonts w:ascii="Arial" w:cs="Arial" w:eastAsia="Arial" w:hAnsi="Arial"/>
                <w:sz w:val="14"/>
                <w:szCs w:val="14"/>
                <w:color w:val="auto"/>
              </w:rPr>
              <w:t>Mexico</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color w:val="auto"/>
              </w:rPr>
              <w:t>Salisbury, NC</w:t>
            </w:r>
          </w:p>
        </w:tc>
        <w:tc>
          <w:tcPr>
            <w:tcW w:w="1860" w:type="dxa"/>
            <w:vAlign w:val="bottom"/>
          </w:tcPr>
          <w:p>
            <w:pPr>
              <w:ind w:left="340"/>
              <w:spacing w:after="0"/>
              <w:rPr>
                <w:sz w:val="20"/>
                <w:szCs w:val="20"/>
                <w:color w:val="auto"/>
              </w:rPr>
            </w:pPr>
            <w:r>
              <w:rPr>
                <w:rFonts w:ascii="Arial" w:cs="Arial" w:eastAsia="Arial" w:hAnsi="Arial"/>
                <w:sz w:val="14"/>
                <w:szCs w:val="14"/>
                <w:color w:val="auto"/>
              </w:rPr>
              <w:t>Toluca, Mexico</w:t>
            </w:r>
          </w:p>
        </w:tc>
        <w:tc>
          <w:tcPr>
            <w:tcW w:w="28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269"/>
        </w:trPr>
        <w:tc>
          <w:tcPr>
            <w:tcW w:w="1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2020, the accrual for pending and future asbestos claims and related legal costs that are probable and estimable was $251 million.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been identified by the Environmental Protection Agency as a potentially responsible party (along with others, in most cases) at a number of sites.</w:t>
      </w:r>
    </w:p>
    <w:p>
      <w:pPr>
        <w:spacing w:after="0" w:line="116"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hyperlink w:anchor="page69">
        <w:r>
          <w:rPr>
            <w:rFonts w:ascii="Arial" w:cs="Arial" w:eastAsia="Arial" w:hAnsi="Arial"/>
            <w:sz w:val="16"/>
            <w:szCs w:val="16"/>
            <w:u w:val="single" w:color="auto"/>
            <w:color w:val="0000FF"/>
          </w:rPr>
          <w:t>Note 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71">
        <w:r>
          <w:rPr>
            <w:rFonts w:ascii="Arial" w:cs="Arial" w:eastAsia="Arial" w:hAnsi="Arial"/>
            <w:sz w:val="16"/>
            <w:szCs w:val="16"/>
            <w:u w:val="single" w:color="auto"/>
            <w:color w:val="0000FF"/>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the principal executive officers of the Company, including their ages and positions, is set forth in “Directors, Executive Officers and Corporate Governance” of this Annual Report.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40" w:lineRule="exact"/>
        <w:rPr>
          <w:sz w:val="20"/>
          <w:szCs w:val="20"/>
          <w:color w:val="auto"/>
        </w:rPr>
      </w:pPr>
    </w:p>
    <w:p>
      <w:pPr>
        <w:ind w:left="1340" w:right="80" w:hanging="1322"/>
        <w:spacing w:after="0" w:line="235" w:lineRule="auto"/>
        <w:tabs>
          <w:tab w:leader="none" w:pos="132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REGISTRANT’S COMMON EQUITY, RELATED STOCKHOLDER MATTERS AND ISSUER PURCHASES OF EQUITY SECURITIES</w:t>
      </w:r>
    </w:p>
    <w:p>
      <w:pPr>
        <w:spacing w:after="0" w:line="337"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Registrant’s common stock is listed on the New York Stock Exchange under ticker symbol CCK. On February 25, 2021 there were 3,688 registered shareholders of the Registrant’s common stock, including 1,378 participants in the Company’s Employee Stock Purchase Plan. The market price of the Registrant’s common stock at December 31, 2020 is set forth in Part II of this Annual Report under Quarterly Data (unaudited). The foregoing information regarding the number of registered shareholders of common stock does not include persons holding stock through clearinghouse systems. Details regarding the Company’s policy as to payment of cash dividends and repurchase of shares are set forth under </w:t>
      </w:r>
      <w:hyperlink w:anchor="page83">
        <w:r>
          <w:rPr>
            <w:rFonts w:ascii="Arial" w:cs="Arial" w:eastAsia="Arial" w:hAnsi="Arial"/>
            <w:sz w:val="16"/>
            <w:szCs w:val="16"/>
            <w:u w:val="single" w:color="auto"/>
            <w:color w:val="0000FF"/>
          </w:rPr>
          <w:t>Note 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December 31, 2020, there were 82,030 of the Company's shares surrendered to cover taxes 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COMPARATIVE STOCK PERFORMANCE </w:t>
      </w:r>
      <w:r>
        <w:rPr>
          <w:rFonts w:ascii="Arial" w:cs="Arial" w:eastAsia="Arial" w:hAnsi="Arial"/>
          <w:sz w:val="18"/>
          <w:szCs w:val="18"/>
          <w:color w:val="auto"/>
        </w:rPr>
        <w: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Five-Year Cumulative Total Return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2948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r>
      <w:tr>
        <w:trPr>
          <w:trHeight w:val="223"/>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Crown Holdings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 Jones U.S. Containers &amp; Packaging Index</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bl>
    <w:p>
      <w:pPr>
        <w:spacing w:after="0" w:line="200" w:lineRule="exact"/>
        <w:rPr>
          <w:sz w:val="20"/>
          <w:szCs w:val="20"/>
          <w:color w:val="auto"/>
        </w:rPr>
      </w:pPr>
    </w:p>
    <w:p>
      <w:pPr>
        <w:spacing w:after="0" w:line="384" w:lineRule="exact"/>
        <w:rPr>
          <w:sz w:val="20"/>
          <w:szCs w:val="20"/>
          <w:color w:val="auto"/>
        </w:rPr>
      </w:pPr>
    </w:p>
    <w:p>
      <w:pPr>
        <w:jc w:val="both"/>
        <w:ind w:left="580" w:hanging="329"/>
        <w:spacing w:after="0" w:line="261" w:lineRule="auto"/>
        <w:tabs>
          <w:tab w:leader="none" w:pos="57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209" w:lineRule="exact"/>
        <w:rPr>
          <w:rFonts w:ascii="Arial" w:cs="Arial" w:eastAsia="Arial" w:hAnsi="Arial"/>
          <w:sz w:val="16"/>
          <w:szCs w:val="16"/>
          <w:color w:val="auto"/>
        </w:rPr>
      </w:pP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Assumes that the value of the investment in Crown Holdings common stock and each index was $100 on December 31, 2015 and that all dividends were reinvested.</w:t>
      </w:r>
    </w:p>
    <w:p>
      <w:pPr>
        <w:spacing w:after="0" w:line="271" w:lineRule="exact"/>
        <w:rPr>
          <w:rFonts w:ascii="Arial" w:cs="Arial" w:eastAsia="Arial" w:hAnsi="Arial"/>
          <w:sz w:val="14"/>
          <w:szCs w:val="14"/>
          <w:color w:val="auto"/>
        </w:rPr>
      </w:pPr>
    </w:p>
    <w:p>
      <w:pPr>
        <w:ind w:left="580" w:hanging="329"/>
        <w:spacing w:after="0" w:line="275" w:lineRule="auto"/>
        <w:tabs>
          <w:tab w:leader="none" w:pos="47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Industry index is weighted by market capitalization and, as of December 31, 2020, was composed of Crown Holdings, Amcor, AptarGroup, Avery Dennison, Ball, Berry Global, Graphic Packaging, International Paper, Packaging Corp. of America, Sealed Air, Silgan, Sonoco and WestRock.</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Removing and reserving Item 6 ("Selected Financial Data") of Part II</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ind w:right="1540"/>
        <w:spacing w:after="0" w:line="308" w:lineRule="auto"/>
        <w:rPr>
          <w:sz w:val="20"/>
          <w:szCs w:val="20"/>
          <w:color w:val="auto"/>
        </w:rPr>
      </w:pPr>
      <w:r>
        <w:rPr>
          <w:rFonts w:ascii="Arial" w:cs="Arial" w:eastAsia="Arial" w:hAnsi="Arial"/>
          <w:sz w:val="17"/>
          <w:szCs w:val="17"/>
          <w:u w:val="single" w:color="auto"/>
          <w:color w:val="auto"/>
        </w:rPr>
        <w:t xml:space="preserve">ITEM 7.  MANAGEMENT'S DISCUSSION AND ANALYSIS OF FINANCIAL CONDITION AND RESULTS OF OPERATIONS </w:t>
      </w:r>
      <w:r>
        <w:rPr>
          <w:rFonts w:ascii="Arial" w:cs="Arial" w:eastAsia="Arial" w:hAnsi="Arial"/>
          <w:sz w:val="17"/>
          <w:szCs w:val="17"/>
          <w:color w:val="auto"/>
        </w:rPr>
        <w:t>(in millions, except per share, average settlement cost per asbestos claim, employee, shareholder and statistical data)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summarizes the significant factors affecting the results of operations and financial condition of Crown Holdings, Inc. (the "Company") as of and during the three-year period ended December 31, 2020. This discussion should be read in conjunction with the consolidated financial statements included in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STRATEGY AND TRENDS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 although volumes in certain of those markets were negatively affected by the impact of COVID-19 in 2020. The Company continues to invest in capacity expansion to meet the accelerating demand.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primary capital allocation focus has been to reduce leverage, as was successfully accomplished following previous acquisitions, and to begin to return capital to its shareholders. In November 2019, the Company announced a Board-led review of the Company's portfolio and capital allocation strategy, which is ongoing. The Company is currently marketing its European Tinplate business, which is comprised of its food cans, food closures, aerosol cans and promotional containers operations. There can be no assurances as to the timing, price realized or certainty of such a sale and as a result, a potential sale could result in a future impairment charge.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initiate a regularly quarterly dividend beginning in the first quarter of 2021. In addition, the Company anticipates opportunistically repurchasing shares of its common stock in 2021 pursuant to an authorization by the Company's Board of Directors to repurchase up to $1.5 billion of the Company's common stock through the end of 2023.</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direct response to the coronavirus pandemic, the Company has taken specific actions to ensure the safety of its employees. Following the implementation of travel and visitor restrictions in February, the Company continues to update its policies as new information becomes available. The Company has increased safety measures in its manufacturing facilities to protect the safety of its employees and the products they produce. In addition, as many employees as possible are working remotely.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 in transit.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19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continues to actively elevate its industry-leading commitment to sustainability, which is a core value of the Company. In July 2020, the Company debuted Twentyby30, a robust program that outlines twenty measurable environmental, social and governance goals to be completed by 2030 or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RESULTS OF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segments, the Mexican peso in the Company's Americas segments, the Thai baht in the Company's Asia Pacific segment and the Mexican peso, the Indian rupee and the euro in the Company's Transit Packaging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color w:val="auto"/>
              </w:rPr>
              <w:t>NET SALES AND SEGMENT INCOME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7"/>
        </w:trPr>
        <w:tc>
          <w:tcPr>
            <w:tcW w:w="3040" w:type="dxa"/>
            <w:vAlign w:val="bottom"/>
            <w:tcBorders>
              <w:top w:val="single" w:sz="8" w:color="auto"/>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$11,575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$11,665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$11,151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sales decreased primarily due to the pass-through of lower raw material costs and $59 from the impact of foreign currency translation, partially offset by 4% higher global beverage can sales unit volumes and 7% higher global food can sales unit volumes.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sales increased primarily due to $569 from an additional three months of Signode's operations, following its acquisition in April 2018, and 3% higher global beverage sales unit volumes, partially offset by the impact of foreign currency translation.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on a new beverage can line at its Toronto, Ontario plant in January 2020 and on the third line at its Nichols, NY facility in June 2020. Additionally, the Company has announced a new beverage can facility in Bowling Green, Kentucky, with the first line expected to begin production in the second quarter of 2021 and a second line scheduled for a late third quarter 2021 start-up. To meet the expanding requirements of specialty cans in the Pacific Northwest, the Company will construct a third line in its Olympia, Washington plant which is scheduled to begin production during the third quarter of 2021. The Company also announced construction of a new facility in Henry County, Virginia which is expected to commence operations during the first quarter of 2022.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In November 2019, the Company commenced operations at a new one-line beverage can facility in Rio Verde, Brazil. The Company will construct a second line at this facility that is expected to commence operations during the third quarter of 2021. The Company has also begun construction of a two-line facility in Minas Gerais, Brazil, with the first line expected to begin production during the second quarter of 2022 and the second line scheduled to start up during the fourth quarter of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sales and segment income in the Americas Beverage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increased primarily due to 9% higher sales unit volumes, partially offset by $83 from the impact of foreign currency translation.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higher sales unit volumes, partially offset by $18 from the impact of foreign currency translation.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2% higher sales unit volumes partially offset by the pass-through of lower aluminum costs and $20 from the impact of foreign currency translation.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higher sales unit volumes, lower freight costs and improved pricing in North America.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2018, the first line of a new beverage can plant in Valencia, Spain began operations and a second line began operations in February 2019. Additionally, in December 2019, the Company commenced operations at a new one-line plant in Parma, Italy. In the second quarter of 2020, both beverage can lines in the Seville, Spain plant began commercial production of aluminum cans.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sales and segment income in the European Beverage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sales decreased primarily due to the pass-through of lower aluminum costs, partially offset by $16 related to the impact of foreign currency translation.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improved operational performance and cost savings.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6% higher sales unit volumes, partially offset by $56 related to the impact of foreign currency translation and the pass-through of lower aluminum costs.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decreased primarily due to higher depreciation related to recent capacity expansion and line conversions and $5 from the impact of foreign currency translation, partially offset by higher sales unit volumes.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Food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where consumer preference continues to favor the can due to product protection and food preservation.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sales and segment income in the European Food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7% higher sales unit volumes and $26 from the impact of foreign currency translation, partially offset by the pass-through of lower raw material costs. Higher sales unit volumes were primarily due to improved harvest conditions and crop yields.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as higher sales unit volumes and cost reduction initiatives were partially offset by $18 arising from the carryover of higher tinplate costs from prior year-end inventory.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sales decreased primarily due to $102 from the impact of foreign currency translation, partially offset by the pass-through of higher raw material costs.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decreased primarily due to unfavorable product mix, higher tinplate and other operating costs that were not fully passed through in selling price and $11 from the impact of foreign currency translation.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In 2020, however, industry volumes decreased due to the impact of the coronavirus pandemic. The Company began commercial production at a new beverage can plant in Yangon, Myanmar in July 2018, a third beverage can line at the Phnom Penh, Cambodia plant in January 2019 and one-line plant in Nong Khae, Thailand in July 2020. Additionally, the Company has begun construction of a one-line beverage can plant in Vung Tao, Vietnam, which will begin commercial production in September 2021. In response to market conditions in China, the Company closed its Putian facility in 2018 and its Huizhou facility in early 2019. Following these closures, the Company has three beverage can plants in China with approximately $75 in annual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Net sales and segment income in the Asia Pacific segment were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6"/>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2018</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decreased primarily due to 4% lower beverage can sales unit volumes due to the impact of the coronavirus pandemic and the pass-through of lower aluminum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due to lower beverage can sales unit volumes, partially offset by cost reduction initiatives.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decreased primarily due to lower sales unit volumes related to plant closures in China and the pass-through of lower aluminum costs, partially offset by 12% higher sales unit volumes in Southeast Asia.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due to higher sales unit volumes.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completed its acquisition of Signode on April 3, 2018, which is reported as the Company's Transit Packaging segment. The Transit Packaging segment includes the Company's global consumables and equipment and tools businesses. Consumables include steel strap, plastic strap and industrial film and other related products that are used in a wide range of industries, and transit protection products that help prevent movement during transport for a wide range of industrial and consumer products. Equipment and tools includes manual, semi-automatic and automatic equipment and tools used in end-of-line operations to apply industrial solutions consumables.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120" w:type="dxa"/>
            <w:vAlign w:val="bottom"/>
          </w:tcPr>
          <w:p>
            <w:pPr>
              <w:ind w:left="4800"/>
              <w:spacing w:after="0"/>
              <w:rPr>
                <w:sz w:val="20"/>
                <w:szCs w:val="20"/>
                <w:color w:val="auto"/>
              </w:rPr>
            </w:pPr>
            <w:r>
              <w:rPr>
                <w:rFonts w:ascii="Arial" w:cs="Arial" w:eastAsia="Arial" w:hAnsi="Arial"/>
                <w:sz w:val="18"/>
                <w:szCs w:val="18"/>
                <w:b w:val="1"/>
                <w:bCs w:val="1"/>
                <w:color w:val="auto"/>
              </w:rPr>
              <w:t>Crown Holdings, Inc.</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729"/>
        </w:trPr>
        <w:tc>
          <w:tcPr>
            <w:tcW w:w="7120" w:type="dxa"/>
            <w:vAlign w:val="bottom"/>
          </w:tcPr>
          <w:p>
            <w:pPr>
              <w:spacing w:after="0"/>
              <w:rPr>
                <w:sz w:val="20"/>
                <w:szCs w:val="20"/>
                <w:color w:val="auto"/>
              </w:rPr>
            </w:pPr>
            <w:r>
              <w:rPr>
                <w:rFonts w:ascii="Arial" w:cs="Arial" w:eastAsia="Arial" w:hAnsi="Arial"/>
                <w:sz w:val="18"/>
                <w:szCs w:val="18"/>
                <w:color w:val="auto"/>
              </w:rPr>
              <w:t>Net sales and segment income in the Transit Packaging segment were as follows: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7"/>
        </w:trPr>
        <w:tc>
          <w:tcPr>
            <w:tcW w:w="7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the pass-through of lower raw material prices and $10 from the impact of foreign currency translation.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lower sales unit volumes, partially offset by the impact of cost reduction initiatives.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and segment income increased primarily due to $569 and $73 from an additional quarter of ownership in 2019 partially offset by lower sales unit volumes due to a slowdown in manufacturing activity in many global markets, unfavorable product mix and $33 and $4 from the impact of foreign currency translation.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segments include its food can and closures businesses in North America, its aerosol can businesses in North America and Europe, and its beverage tooling and equipment operations in the U.S. and U.K.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Net sales and segment income in other segments were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2018</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increased as higher sales in the Company's beverage can equipment operations and 9% higher sales unit volumes in the Company's North America food can business were partially offset by lower shipments in the Company's global aerosol can businesses, the pass-through of lower tinplate costs and $5 from the impact of foreign currency translation. The Company's North America food can business benefited from more at-home meal preparation during the coronavirus pandemic.</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decreased primarily due to $16 arising from the carryover of higher tinplate costs from the prior year-end inventory and lower shipments in the Company's global aerosol can businesses, partially offset by higher sales in the Company's beverage can equipment operations and higher sales unit volumes in the Company's North America food can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increased primarily due to the pass-through of higher tinplate costs and 5% higher sales unit volumes in the Company's North America food can business partially offset by lower sales unit volumes in the Company's equipment operations and $17 from the impact of foreign currency translation.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increased primarily due to higher sales unit volumes and lower freight costs in the Company's North America food can business and favorable product mix in the Company's equipment operations, partially offset by higher tinplate and other operating costs in the Company's global aerosol businesses that were not fully passed through in selling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Corporate and unallocated</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2018</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Corporate and unallocated costs increased from 2019 to 2020 primarily due to higher incentive compensation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unallocated costs increased from 2018 to 2019 primarily due to higher incentive compensation and claims activity in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from $378 in 2019 to $300 in 2020 primarily due to lower outstanding debt and lower interest rates.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from $384 in 2018 to $378 in 2019 primarily due to lower interest rates offset by higher average outstanding debt incurred to finance the Signode acquisition.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TAXES ON INCOME</w:t>
            </w:r>
          </w:p>
        </w:tc>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53"/>
        </w:trPr>
        <w:tc>
          <w:tcPr>
            <w:tcW w:w="6740" w:type="dxa"/>
            <w:vAlign w:val="bottom"/>
            <w:gridSpan w:val="2"/>
          </w:tcPr>
          <w:p>
            <w:pPr>
              <w:spacing w:after="0"/>
              <w:rPr>
                <w:sz w:val="20"/>
                <w:szCs w:val="20"/>
                <w:color w:val="auto"/>
              </w:rPr>
            </w:pPr>
            <w:r>
              <w:rPr>
                <w:rFonts w:ascii="Arial" w:cs="Arial" w:eastAsia="Arial" w:hAnsi="Arial"/>
                <w:sz w:val="18"/>
                <w:szCs w:val="18"/>
                <w:color w:val="auto"/>
              </w:rPr>
              <w:t>The Company's effective income tax rates were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6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740</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216</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in 2020 was 26.3%. The lower effective tax rate in 2019 included a benefit of $36 from the release of a valuation allowance against the Company's net deferred tax assets in Luxembourg and a benefit of $9 arising from tax law changes in India, partially offset by a charge of $15 to settle a tax contingency arising from a transaction that occurred prior to the acquisition of Signode in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in 2018 included $24 related to taxes on the distributions of foreign earnings, which were previously asserted to be indefinitely reinvested.</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additional information regarding income taxes, see </w:t>
      </w:r>
      <w:hyperlink w:anchor="page80">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ATTRIBUTABLE TO NONCONTROLLING INTERESTS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noncontrolling interest decreased from $115 in 2019 to $109 in 2020 primarily due to higher income in Brazil in 2019 related to a favorable court ruling for one of the Company's Brazilian subsidiaries related to indirect taxes.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income attributable to noncontrolling interest increased from $89 in 2018 to $115 in 2019 primarily due to higher earnings in the Company's beverage can operations in Brazil, including the impact of a favorable court ruling related to the recovery of indirect taxes paid in prior years.</w:t>
      </w:r>
    </w:p>
    <w:p>
      <w:pPr>
        <w:spacing w:after="0" w:line="173" w:lineRule="exact"/>
        <w:rPr>
          <w:sz w:val="20"/>
          <w:szCs w:val="20"/>
          <w:color w:val="auto"/>
        </w:rPr>
      </w:pPr>
    </w:p>
    <w:p>
      <w:pPr>
        <w:ind w:left="3680"/>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increased from $1,163 in 2019 to $1,315 in 2020 primarily due to higher income from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increased from $1,528 at December 31, 2019 to $1,783 at December 31, 2020 primarily due to higher sales unit volumes and the impact of foreign currency translation. Days sales outstanding for trade receivables, excluding the impact of unbilled receivables, increased from 36 at December 31, 2019 to 38 at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Inventories increased from $1,626 at December 31, 2019 to $1,673 at December 31, 2020 primarily due to the impact of foreign currency translation.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Inventory turnover was 63 days at December 31, 2019 compared to 64 days at December 31, 2020.</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Accounts payable increased from $2,646 at December 31, 2019 to $2,845 at December 31, 2020 and days outstanding for trade payables increased from 99 days at December 31, 2019 to 108 days at December 31, 2020 primarily due to higher sales unit volumes and the impact of foreign currency translation.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for investing activities increased from $374 in 2019 to $535 in 2020 primarily due to increased capital expenditures related to capacity expansion projects in the Americas Beverage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2021 to be approximately $850.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the Company had approximately $177 of capital commitments primarily related to its Americas Beverage segment. The Company expects to fund these commitments primarily through cash generated from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for financing activities decreased from $786 in 2019 to $239 in 2020 primarily due to lower net debt repayments in 2020. Additionally, in 2020 the Company repurchased $66 of capital stock and had an inflow of $43 from foreign exchange derivatives related to debt compared to an outflow of $16 in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$1,024 of the Company's $1,173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$663 was held by subsidiaries for which earnings are considered indefinitely reinvested. If such earnings were repatriated the Company may be required to record incremental foreign taxes on the repatriated funds.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revolving credit agreements provide capacity of $1,650. As of December 31, 2020, the Company had available capacity of $1,585 under its revolving credit facilities. The Company could have borrowed this amount at December 31, 2020 and still have been in compliance with its leverage ratio covenants.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total debt, less cash and cash equivalents, to total capitalization was 73.0% and 77.8% at December 31, 2020 and 2019. Total capitalization is defined by the Company as total debt plus total equity, less cash and cash equivalents.</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3.8 to 1.0 at December 31, 2020 was in compliance with the covenant requiring a ratio no greater than 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Company’s current sources of liquidity also include a securitization facility with a program limit up to a maximum of $375 that expires in July 2021, a securitization facility with a program limit of $282 that expires in November 2022, and an uncommitted securitization facility with a program limit of $175 that expires in December 2021. The Company accounts for transfers under these facilities as sales as further discussed in </w:t>
      </w:r>
      <w:hyperlink w:anchor="page58">
        <w:r>
          <w:rPr>
            <w:rFonts w:ascii="Arial" w:cs="Arial" w:eastAsia="Arial" w:hAnsi="Arial"/>
            <w:sz w:val="18"/>
            <w:szCs w:val="18"/>
            <w:u w:val="single" w:color="auto"/>
            <w:color w:val="0000FF"/>
          </w:rPr>
          <w:t>Note 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statements.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Cash payments required for purchase obligations, long-term debt maturities and interest payments and projected pension contributions in effect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summarized in the following table: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50"/>
              <w:spacing w:after="0"/>
              <w:rPr>
                <w:sz w:val="20"/>
                <w:szCs w:val="20"/>
                <w:color w:val="auto"/>
              </w:rPr>
            </w:pPr>
            <w:r>
              <w:rPr>
                <w:rFonts w:ascii="Arial" w:cs="Arial" w:eastAsia="Arial" w:hAnsi="Arial"/>
                <w:sz w:val="18"/>
                <w:szCs w:val="18"/>
                <w:color w:val="auto"/>
                <w:w w:val="94"/>
              </w:rPr>
              <w:t>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70"/>
              <w:spacing w:after="0" w:line="169" w:lineRule="exact"/>
              <w:rPr>
                <w:sz w:val="20"/>
                <w:szCs w:val="20"/>
                <w:color w:val="auto"/>
              </w:rPr>
            </w:pPr>
            <w:r>
              <w:rPr>
                <w:rFonts w:ascii="Arial" w:cs="Arial" w:eastAsia="Arial" w:hAnsi="Arial"/>
                <w:sz w:val="18"/>
                <w:szCs w:val="18"/>
                <w:color w:val="auto"/>
              </w:rPr>
              <w:t>2026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after</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on long-term debt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Projected pension contributions </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All amounts due in foreign currencies are translated at exchange rates as of December 31, 2020.</w:t>
      </w:r>
    </w:p>
    <w:p>
      <w:pPr>
        <w:spacing w:after="0" w:line="13" w:lineRule="exact"/>
        <w:rPr>
          <w:sz w:val="20"/>
          <w:szCs w:val="20"/>
          <w:color w:val="auto"/>
        </w:rPr>
      </w:pPr>
    </w:p>
    <w:p>
      <w:pPr>
        <w:ind w:right="2540" w:firstLine="8"/>
        <w:spacing w:after="0" w:line="241"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purchase commitments specify significant terms, including fixed or minimum quantities to be purchased; fixed, minimum or variable pricing provisions; and the approximate timing of transactions.</w:t>
      </w: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on long-term debt represents the interest that will accrue by year based on debt outstanding and interest rates in effect as of December 31, 2020.</w:t>
      </w:r>
    </w:p>
    <w:p>
      <w:pPr>
        <w:spacing w:after="0" w:line="1" w:lineRule="exact"/>
        <w:rPr>
          <w:rFonts w:ascii="Arial" w:cs="Arial" w:eastAsia="Arial" w:hAnsi="Arial"/>
          <w:sz w:val="14"/>
          <w:szCs w:val="14"/>
          <w:color w:val="auto"/>
        </w:rPr>
      </w:pPr>
    </w:p>
    <w:p>
      <w:pPr>
        <w:ind w:right="2220" w:firstLine="8"/>
        <w:spacing w:after="0" w:line="293" w:lineRule="auto"/>
        <w:tabs>
          <w:tab w:leader="none" w:pos="204" w:val="left"/>
        </w:tabs>
        <w:numPr>
          <w:ilvl w:val="0"/>
          <w:numId w:val="9"/>
        </w:numPr>
        <w:rPr>
          <w:rFonts w:ascii="Arial" w:cs="Arial" w:eastAsia="Arial" w:hAnsi="Arial"/>
          <w:sz w:val="13"/>
          <w:szCs w:val="13"/>
          <w:color w:val="auto"/>
        </w:rPr>
      </w:pPr>
      <w:r>
        <w:rPr>
          <w:rFonts w:ascii="Arial" w:cs="Arial" w:eastAsia="Arial" w:hAnsi="Arial"/>
          <w:sz w:val="13"/>
          <w:szCs w:val="13"/>
          <w:color w:val="auto"/>
        </w:rPr>
        <w:t>Pension projections require the use of numerous estimates and assumptions such as discount rates, rates of return on plan assets, compensation increases, health care cost increases, mortality and employee turnover and therefore projected contributions been provided for only five years.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has certain guarantees and indemnification agreements that could require the payment of cash upon the occurrence of certain events.</w:t>
      </w:r>
    </w:p>
    <w:p>
      <w:pPr>
        <w:spacing w:after="0" w:line="4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guarantees and agreements are further discussed under </w:t>
      </w:r>
      <w:hyperlink w:anchor="page71">
        <w:r>
          <w:rPr>
            <w:rFonts w:ascii="Arial" w:cs="Arial" w:eastAsia="Arial" w:hAnsi="Arial"/>
            <w:sz w:val="18"/>
            <w:szCs w:val="18"/>
            <w:u w:val="single" w:color="auto"/>
            <w:color w:val="0000FF"/>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As disclosed in </w:t>
      </w:r>
      <w:hyperlink w:anchor="page63">
        <w:r>
          <w:rPr>
            <w:rFonts w:ascii="Arial" w:cs="Arial" w:eastAsia="Arial" w:hAnsi="Arial"/>
            <w:sz w:val="16"/>
            <w:szCs w:val="16"/>
            <w:u w:val="single" w:color="auto"/>
            <w:color w:val="0000FF"/>
          </w:rPr>
          <w:t>Note L</w:t>
        </w:r>
      </w:hyperlink>
      <w:r>
        <w:rPr>
          <w:rFonts w:ascii="Arial" w:cs="Arial" w:eastAsia="Arial" w:hAnsi="Arial"/>
          <w:sz w:val="16"/>
          <w:szCs w:val="16"/>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w:t>
      </w:r>
    </w:p>
    <w:p>
      <w:pPr>
        <w:spacing w:after="0" w:line="2" w:lineRule="exact"/>
        <w:rPr>
          <w:sz w:val="20"/>
          <w:szCs w:val="20"/>
          <w:color w:val="auto"/>
        </w:rPr>
      </w:pPr>
    </w:p>
    <w:p>
      <w:pPr>
        <w:ind w:firstLine="8"/>
        <w:spacing w:after="0" w:line="260" w:lineRule="auto"/>
        <w:tabs>
          <w:tab w:leader="none" w:pos="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Seal Company, Inc., which are fully and unconditionally guaranteed by Crown Holdings, Inc. (Parent). No other subsidiary guarantees the debt and the guarantees are made on a joint and several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senior notes and guarantees are senior unsecured obligations of the issuers and the guarantors, and are:</w:t>
      </w:r>
    </w:p>
    <w:p>
      <w:pPr>
        <w:spacing w:after="0" w:line="252" w:lineRule="exact"/>
        <w:rPr>
          <w:sz w:val="20"/>
          <w:szCs w:val="20"/>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2"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ranked equal in right of payment to any existing or future senior indebtedness of the issuers and the guarantors;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ranked senior in right of payment to all existing and future subordinated indebtedness of the issuers and the guarantors.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660" w:hanging="328"/>
        <w:spacing w:after="0" w:line="25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transfer (including, without limitation, by way of consolidation or merger) by the Parent or any subsidiary of the Parent to any person or entity that is not the Parent or a subsidiary of the Parent of (1) all of the equity interests of, or all or substantially all of the properties and assets of, such guarantor; or (2)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provide a guarantee under the applicable indenture.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sz w:val="20"/>
                <w:szCs w:val="20"/>
                <w:color w:val="auto"/>
              </w:rPr>
            </w:pPr>
            <w:r>
              <w:rPr>
                <w:rFonts w:ascii="Arial" w:cs="Arial" w:eastAsia="Arial" w:hAnsi="Arial"/>
                <w:sz w:val="18"/>
                <w:szCs w:val="18"/>
                <w:i w:val="1"/>
                <w:iCs w:val="1"/>
                <w:color w:val="auto"/>
              </w:rPr>
              <w:t>Crown Cork Obligor Group</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2020" w:type="dxa"/>
            <w:vAlign w:val="bottom"/>
            <w:tcBorders>
              <w:top w:val="single" w:sz="8" w:color="auto"/>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December 31, 2020</w:t>
            </w:r>
          </w:p>
        </w:tc>
        <w:tc>
          <w:tcPr>
            <w:tcW w:w="40" w:type="dxa"/>
            <w:vAlign w:val="bottom"/>
          </w:tcPr>
          <w:p>
            <w:pPr>
              <w:spacing w:after="0"/>
              <w:rPr>
                <w:sz w:val="24"/>
                <w:szCs w:val="24"/>
                <w:color w:val="auto"/>
              </w:rPr>
            </w:pPr>
          </w:p>
        </w:tc>
      </w:tr>
      <w:tr>
        <w:trPr>
          <w:trHeight w:val="223"/>
        </w:trPr>
        <w:tc>
          <w:tcPr>
            <w:tcW w:w="8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8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r>
      <w:tr>
        <w:trPr>
          <w:trHeight w:val="230"/>
        </w:trPr>
        <w:tc>
          <w:tcPr>
            <w:tcW w:w="86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9"/>
                <w:szCs w:val="19"/>
                <w:color w:val="auto"/>
              </w:rPr>
            </w:pPr>
          </w:p>
        </w:tc>
      </w:tr>
      <w:tr>
        <w:trPr>
          <w:trHeight w:val="229"/>
        </w:trPr>
        <w:tc>
          <w:tcPr>
            <w:tcW w:w="8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9"/>
                <w:szCs w:val="19"/>
                <w:color w:val="auto"/>
              </w:rPr>
            </w:pPr>
          </w:p>
        </w:tc>
      </w:tr>
      <w:tr>
        <w:trPr>
          <w:trHeight w:val="272"/>
        </w:trPr>
        <w:tc>
          <w:tcPr>
            <w:tcW w:w="8640" w:type="dxa"/>
            <w:vAlign w:val="bottom"/>
            <w:gridSpan w:val="3"/>
          </w:tcPr>
          <w:p>
            <w:pPr>
              <w:spacing w:after="0"/>
              <w:rPr>
                <w:sz w:val="20"/>
                <w:szCs w:val="20"/>
                <w:color w:val="auto"/>
              </w:rPr>
            </w:pPr>
            <w:r>
              <w:rPr>
                <w:rFonts w:ascii="Arial" w:cs="Arial" w:eastAsia="Arial" w:hAnsi="Arial"/>
                <w:sz w:val="14"/>
                <w:szCs w:val="14"/>
                <w:color w:val="auto"/>
              </w:rPr>
              <w:t>(1) Includes $34 of expense related to intercompany interest with non-guarantor subsidiaries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98"/>
        </w:trPr>
        <w:tc>
          <w:tcPr>
            <w:tcW w:w="20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December 31, 2020</w:t>
            </w:r>
          </w:p>
        </w:tc>
        <w:tc>
          <w:tcPr>
            <w:tcW w:w="40" w:type="dxa"/>
            <w:vAlign w:val="bottom"/>
            <w:tcBorders>
              <w:bottom w:val="single" w:sz="8" w:color="auto"/>
            </w:tcBorders>
          </w:tcPr>
          <w:p>
            <w:pPr>
              <w:spacing w:after="0"/>
              <w:rPr>
                <w:sz w:val="24"/>
                <w:szCs w:val="24"/>
                <w:color w:val="auto"/>
              </w:rPr>
            </w:pPr>
          </w:p>
        </w:tc>
      </w:tr>
      <w:tr>
        <w:trPr>
          <w:trHeight w:val="223"/>
        </w:trPr>
        <w:tc>
          <w:tcPr>
            <w:tcW w:w="8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r>
      <w:tr>
        <w:trPr>
          <w:trHeight w:val="230"/>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9"/>
                <w:szCs w:val="19"/>
                <w:color w:val="auto"/>
              </w:rPr>
            </w:pPr>
          </w:p>
        </w:tc>
      </w:tr>
      <w:tr>
        <w:trPr>
          <w:trHeight w:val="230"/>
        </w:trPr>
        <w:tc>
          <w:tcPr>
            <w:tcW w:w="8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9"/>
                <w:szCs w:val="19"/>
                <w:color w:val="auto"/>
              </w:rPr>
            </w:pPr>
          </w:p>
        </w:tc>
      </w:tr>
      <w:tr>
        <w:trPr>
          <w:trHeight w:val="304"/>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4,305</w:t>
            </w:r>
          </w:p>
        </w:tc>
        <w:tc>
          <w:tcPr>
            <w:tcW w:w="40" w:type="dxa"/>
            <w:vAlign w:val="bottom"/>
          </w:tcPr>
          <w:p>
            <w:pPr>
              <w:spacing w:after="0"/>
              <w:rPr>
                <w:sz w:val="24"/>
                <w:szCs w:val="24"/>
                <w:color w:val="auto"/>
              </w:rPr>
            </w:pPr>
          </w:p>
        </w:tc>
      </w:tr>
      <w:tr>
        <w:trPr>
          <w:trHeight w:val="197"/>
        </w:trPr>
        <w:tc>
          <w:tcPr>
            <w:tcW w:w="8640" w:type="dxa"/>
            <w:vAlign w:val="bottom"/>
            <w:gridSpan w:val="3"/>
          </w:tcPr>
          <w:p>
            <w:pPr>
              <w:spacing w:after="0"/>
              <w:rPr>
                <w:sz w:val="20"/>
                <w:szCs w:val="20"/>
                <w:color w:val="auto"/>
              </w:rPr>
            </w:pPr>
            <w:r>
              <w:rPr>
                <w:rFonts w:ascii="Arial" w:cs="Arial" w:eastAsia="Arial" w:hAnsi="Arial"/>
                <w:sz w:val="14"/>
                <w:szCs w:val="14"/>
                <w:color w:val="auto"/>
              </w:rPr>
              <w:t>(1) Includes payables of $3,623 due to non-guarantor subsidiaries as of December 31, 2020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7"/>
        </w:trPr>
        <w:tc>
          <w:tcPr>
            <w:tcW w:w="8640" w:type="dxa"/>
            <w:vAlign w:val="bottom"/>
            <w:gridSpan w:val="3"/>
          </w:tcPr>
          <w:p>
            <w:pPr>
              <w:spacing w:after="0"/>
              <w:rPr>
                <w:sz w:val="20"/>
                <w:szCs w:val="20"/>
                <w:color w:val="auto"/>
              </w:rPr>
            </w:pPr>
            <w:r>
              <w:rPr>
                <w:rFonts w:ascii="Arial" w:cs="Arial" w:eastAsia="Arial" w:hAnsi="Arial"/>
                <w:sz w:val="18"/>
                <w:szCs w:val="18"/>
                <w:i w:val="1"/>
                <w:iCs w:val="1"/>
                <w:color w:val="auto"/>
              </w:rPr>
              <w:t>Crown Americas Obligor Group</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2020" w:type="dxa"/>
            <w:vAlign w:val="bottom"/>
            <w:tcBorders>
              <w:top w:val="single" w:sz="8" w:color="auto"/>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December 31, 2020</w:t>
            </w:r>
          </w:p>
        </w:tc>
        <w:tc>
          <w:tcPr>
            <w:tcW w:w="40" w:type="dxa"/>
            <w:vAlign w:val="bottom"/>
          </w:tcPr>
          <w:p>
            <w:pPr>
              <w:spacing w:after="0"/>
              <w:rPr>
                <w:sz w:val="24"/>
                <w:szCs w:val="24"/>
                <w:color w:val="auto"/>
              </w:rPr>
            </w:pPr>
          </w:p>
        </w:tc>
      </w:tr>
      <w:tr>
        <w:trPr>
          <w:trHeight w:val="223"/>
        </w:trPr>
        <w:tc>
          <w:tcPr>
            <w:tcW w:w="864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40" w:type="dxa"/>
            <w:vAlign w:val="bottom"/>
          </w:tcPr>
          <w:p>
            <w:pPr>
              <w:spacing w:after="0"/>
              <w:rPr>
                <w:sz w:val="19"/>
                <w:szCs w:val="19"/>
                <w:color w:val="auto"/>
              </w:rPr>
            </w:pPr>
          </w:p>
        </w:tc>
      </w:tr>
      <w:tr>
        <w:trPr>
          <w:trHeight w:val="230"/>
        </w:trPr>
        <w:tc>
          <w:tcPr>
            <w:tcW w:w="86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19"/>
                <w:szCs w:val="19"/>
                <w:color w:val="auto"/>
              </w:rPr>
            </w:pPr>
          </w:p>
        </w:tc>
      </w:tr>
      <w:tr>
        <w:trPr>
          <w:trHeight w:val="229"/>
        </w:trPr>
        <w:tc>
          <w:tcPr>
            <w:tcW w:w="8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9"/>
                <w:szCs w:val="19"/>
                <w:color w:val="auto"/>
              </w:rPr>
            </w:pPr>
          </w:p>
        </w:tc>
      </w:tr>
      <w:tr>
        <w:trPr>
          <w:trHeight w:val="230"/>
        </w:trPr>
        <w:tc>
          <w:tcPr>
            <w:tcW w:w="86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9"/>
                <w:szCs w:val="19"/>
                <w:color w:val="auto"/>
              </w:rPr>
            </w:pPr>
          </w:p>
        </w:tc>
      </w:tr>
      <w:tr>
        <w:trPr>
          <w:trHeight w:val="230"/>
        </w:trPr>
        <w:tc>
          <w:tcPr>
            <w:tcW w:w="8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9"/>
                <w:szCs w:val="19"/>
                <w:color w:val="auto"/>
              </w:rPr>
            </w:pPr>
          </w:p>
        </w:tc>
      </w:tr>
    </w:tbl>
    <w:p>
      <w:pPr>
        <w:spacing w:after="0" w:line="8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$409 of sales to non-guarantor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$41 of gross profit related to sales to non-guarantor subsidiaries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$61 of income related to intercompany interest and technology royalties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568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Crown Holdings, Inc.</w:t>
            </w:r>
          </w:p>
        </w:tc>
        <w:tc>
          <w:tcPr>
            <w:tcW w:w="2040" w:type="dxa"/>
            <w:vAlign w:val="bottom"/>
          </w:tcPr>
          <w:p>
            <w:pPr>
              <w:spacing w:after="0"/>
              <w:rPr>
                <w:sz w:val="20"/>
                <w:szCs w:val="20"/>
                <w:color w:val="auto"/>
              </w:rPr>
            </w:pPr>
          </w:p>
        </w:tc>
      </w:tr>
      <w:tr>
        <w:trPr>
          <w:trHeight w:val="769"/>
        </w:trPr>
        <w:tc>
          <w:tcPr>
            <w:tcW w:w="3240" w:type="dxa"/>
            <w:vAlign w:val="bottom"/>
            <w:tcBorders>
              <w:bottom w:val="single" w:sz="8" w:color="CCEEFF"/>
            </w:tcBorders>
          </w:tcPr>
          <w:p>
            <w:pPr>
              <w:spacing w:after="0"/>
              <w:rPr>
                <w:sz w:val="24"/>
                <w:szCs w:val="24"/>
                <w:color w:val="auto"/>
              </w:rPr>
            </w:pPr>
          </w:p>
        </w:tc>
        <w:tc>
          <w:tcPr>
            <w:tcW w:w="54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December 31, 2020</w:t>
            </w:r>
          </w:p>
        </w:tc>
      </w:tr>
      <w:tr>
        <w:trPr>
          <w:trHeight w:val="223"/>
        </w:trPr>
        <w:tc>
          <w:tcPr>
            <w:tcW w:w="3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324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304"/>
        </w:trPr>
        <w:tc>
          <w:tcPr>
            <w:tcW w:w="32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4,491</w:t>
            </w:r>
          </w:p>
        </w:tc>
      </w:tr>
    </w:tbl>
    <w:p>
      <w:pPr>
        <w:spacing w:after="0" w:line="1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receivables of $45 due from non-guarantor subsidiaries as of December 31, 2020</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receivables of $142 due from non-guarantor subsidiaries as of December 31, 2020</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payables of $54 due to non-guarantor subsidiaries as of December 31, 2020</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payables of $31 due to non-guarantor subsidiaries as of December 31, 2020</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therefore,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Company’s or such guarantor’s remaining assets constituted unreasonably small capital; or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provides information in U.S. dollars as of December 31, 2020 about the Company’s forward currency exchange contracts. The contracts primarily hedge anticipated transactions, unrecognized firm commitments and intercompany debt. The contracts with no amounts in the fair value column have a fair value of less than $1.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7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Crown Holdings, Inc.</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3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Contract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color w:val="auto"/>
                <w:w w:val="91"/>
              </w:rPr>
              <w:t>Contract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6"/>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Buy/Sell</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95"/>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0"/>
              </w:rPr>
              <w:t>contractual</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vMerge w:val="continue"/>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gain/(loss)</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exchange rate</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Euro/Sterling</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Sterling/Euro</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Euro/U.S. dollars</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Euro/Polish zloty</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Polish zloty/Euro</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U.S. dollars/Brazilian real</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dollars/Euro</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Singapore dollars/U.S. dollars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Euro/Swiss francs</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Sterling/U.S. dollars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dollars/Thai baht</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Euro/Singapore dollars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 dollars/Euro</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Euro/Swedish krona</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Euro/Danish krone</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1,930</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2020, the Company had additional contracts with an aggregate notional value of $102 to purchase or sell other currencies, primarily Asian currencies, including the Malaysian ringgit, Indonesian rupiah, and Hong Kong dollar; European currencies, including the Hungarian florint; the South African rand; the Australian dollar; and the Canadian dollar. The aggregate fair value of these contracts was a gain of less than $1.</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2020, the Company had cross-currency swaps with aggregate notional values of $1,075. The swaps are designated as hedges of the Company's net investment in a euro-based subsidiary and matures in 2026. The fair value of these contracts at December 31, 2020 was a net loss of $13.</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principal cash flows and related interest rates by year of maturity for the Company’s long-term debt obligations as of December 31, 2020. Interest rates represent the rates in effect as of 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Year of Maturity</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3"/>
              </w:rPr>
              <w:t>Thereafter</w:t>
            </w:r>
          </w:p>
        </w:tc>
      </w:tr>
      <w:tr>
        <w:trPr>
          <w:trHeight w:val="223"/>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2,276</w:t>
            </w: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future payments of long-term debt obligations at December 31, 2020 include $3,756 of U.S. dollar-denominated debt, $4,337 of euro-denominated debt and $48 of debt denominated in other currencies.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various raw materials, such as steel and aluminum in its manufacturing operations, which expose it to risk from adverse fluctuations in commodity prices. In 2020, consumption of steel and aluminum represented 16% and 35% of the Company’s consolidated cost of products sold, excluding depreciation and amortization. The Company primarily manages its risk to adverse commodity price fluctuations and surcharges through contracts that pass through raw material costs to customers.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2020, the Company had forward commodity contracts to hedge aluminum price fluctuations with a notional value of $243 and a net gain of $36. The maturities of the commodity contracts closely correlate to the anticipated purchases of those commodities.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Company's manufacturing facilities are dependent, to varying degrees, upon the availability of water and processed energy, such as natural gas and electricity.</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4">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further information on the Company’s derivative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211"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71">
        <w:r>
          <w:rPr>
            <w:rFonts w:ascii="Arial" w:cs="Arial" w:eastAsia="Arial" w:hAnsi="Arial"/>
            <w:sz w:val="18"/>
            <w:szCs w:val="18"/>
            <w:u w:val="single" w:color="auto"/>
            <w:color w:val="0000FF"/>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environmental matters including the Company's accrual for environmental remediation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jc w:val="both"/>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hyperlink w:anchor="page54">
        <w:r>
          <w:rPr>
            <w:rFonts w:ascii="Arial" w:cs="Arial" w:eastAsia="Arial" w:hAnsi="Arial"/>
            <w:sz w:val="17"/>
            <w:szCs w:val="17"/>
            <w:u w:val="single" w:color="auto"/>
            <w:color w:val="0000FF"/>
          </w:rPr>
          <w:t>Note 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Certain accounting policies, however, are considered to be critical in that (i) they are most important to the depiction of the Company’s financial condition and results of operations and (ii) their application requires management’s most subjective judgment in making estimates about the effect of matters that are inherently uncertain.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Asbestos Liabilities</w:t>
      </w:r>
    </w:p>
    <w:p>
      <w:pPr>
        <w:spacing w:after="0" w:line="252"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Company’s potential liability for asbestos cases is highly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 of state asbestos legislation (including the validity and applicability of the Pennsylvania legislation to non-Pennsylvania jurisdictions, where the substantial majority of the Company’s asbestos cases are filed). See </w:t>
      </w:r>
      <w:hyperlink w:anchor="page69">
        <w:r>
          <w:rPr>
            <w:rFonts w:ascii="Arial" w:cs="Arial" w:eastAsia="Arial" w:hAnsi="Arial"/>
            <w:sz w:val="17"/>
            <w:szCs w:val="17"/>
            <w:u w:val="single" w:color="auto"/>
            <w:color w:val="0000FF"/>
          </w:rPr>
          <w:t>Note N</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regarding the provision for asbestos-related costs.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 Company estimates its liability without limitation to a specified time period and provides for the estimated amounts expected to be paid related to outstanding claims, projected future claims and legal costs.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 it is difficult to predict at any time during the year whether the number of claims or average settlement cost over the five year period ending December 31 of such year will increase compared to the prior five year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a higher percentage of Crown Cork’s settlements have related to claims alleging serious disease (primarily mesothelioma) which are settled at higher dollar amounts. Accordingly, a higher percentage of claims projected into the future relate to serious diseases and are therefore valued at higher dollar amounts. As of December 31, 2020, more than 90% of the projected future claims in the Company’s accrual calculation relate to claims alleging serious diseases such as mesothelioma.</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five year average settlement cost per claim was $14,900 in 2018, $14,400 in 2019 and $13,100 in 2020. Although the five year average settlement cost per claim decreased in 2020,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2020 by $25. A 10% increase in these two factors at the same time would increase the estimated liability at December 31, 2020 by $53. A 10% decrease in these two factors at the same time would decrease the estimated liability at December 31, 2020 by $48.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obtains available information regarding multiples used in recent transactions, if any, involving transfers of controlling interests in the consumer and industrial packaging industries. The Company also reviews publicly available trading multiples based on the enterprise value and revenue of companies in the consumer and industrial packaging industries whose shares are publicly traded. The appropriate multiple is applied to the respective financial results of the reporting unit to obtain an estimated fair value.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its annual review for 2020 and determined that no adjustments to the carrying value of goodwill were necessary. Although no goodwill impairment was recorded, there can be no assurances that future goodwill impairments will not occur.</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European Aerosol and Promotional Packaging reporting unit operates in a low-growth environment with multiple competitors. As of October 1, 2020, the fair value of the reporting unit was 9% higher than its carrying value using the methods described above, a discount rate of 8.25% and an EBITDA multiple of 9.0 times. The maximum effect of weighting the Company's valuation approaches other than equally would increase or decrease the estimated fair value by $7. Assuming all other factors remain the same, a $1 decrease in forecasted annual Adjusted EBITDA would have resulted in an impairment charge of $1 and an increase in the discount rate from 8.25% to 9.25% changes the estimated fair value by $2. If future cash flows are less than the Company has included in its projections, impairment charges may be recorded. As of December 31, 2020, the reporting unit had $71 of goodwill.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Based upon continued reorganization within the Transit Packaging segment, the Equipment &amp; Tools and Consumable reporting units have been aggregated</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into a single reporting unit. The Company completed its an annual goodwill impairment test of each reporting unit prior to aggregating and concluded that no adjustments to the carrying value of goodwill were necessary.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 Impairment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an impairment review of its long-lived assets, including definite-lived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Postretirement Benefits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$92, including settlement charges of $66, in 2020 and currently projects its 2021 pension expense to be $48, using foreign currency exchange rates in effect at December 31, 2020.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projected future outlook of each asset class, inflation assumptions and the expected net value from active management of the assets based on actual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plan’s assumed rate of return was 6.75 % in 2020 and is 5.65% for 2021. The U.K. plan’s assumed rate of return was 3.0% in 2020 and is 2.0% for 2021. A 0.25% change in the expected rates of return would change 2021 pension expense by approximately $12.</w:t>
      </w:r>
    </w:p>
    <w:p>
      <w:pPr>
        <w:spacing w:after="0" w:line="197"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Discount rates were selected using a method that matches projected payouts from the plans to an actuarially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0.25% change in the discount rates from those used at December 31, 2020 would change 2021 pension expense by approximately $2 and postretirement expense by less than $1. A 0.25% change in the discount rates from those used at December 31, 2020 would have changed the pension benefit obligation by approximately $136 and the postretirement benefit obligation approximately $4 as of December 31, 2020. See </w:t>
      </w:r>
      <w:hyperlink w:anchor="page72">
        <w:r>
          <w:rPr>
            <w:rFonts w:ascii="Arial" w:cs="Arial" w:eastAsia="Arial" w:hAnsi="Arial"/>
            <w:sz w:val="17"/>
            <w:szCs w:val="17"/>
            <w:u w:val="single" w:color="auto"/>
            <w:color w:val="0000FF"/>
          </w:rPr>
          <w:t>Note 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on pension and postretirement benefit obligations and assumptions.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2020, the Company had pre-tax unrecognized net losses in other comprehensive income of $1,802 related to its pension plans and $45 related to its other postretirement benefit plans. Unrecognized gains and losses arise each year primarily due to changes in discount rates, differences in actual plan asset returns compared to expected returns, and changes in actuarial assumptions such as mortality.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2020 included charges of $84 for the amortization of unrecognized net losses, and the Company estimates charges of $96 in 2021. Amortizable losses are being recognized over either the average expected life of inactive employees or the remaining service life of active participants depending on the status of the individual plans. The weighted average amortization periods range between 6 - 16 years. An increase of 10% in the number of years used to amortize unrecognized losses in each plan would decrease estimated charges for 2021 by $8. A decrease of 10% in the number of years would increase the estimated 2021 charge by $10.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GUIDANCE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is currently evaluating the impact of adopting this standard and does not expect the guidance to have a material impact on its consolidated financial statements.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FASB issued guidance which provides optional expedients and exceptions for applying GAAP to certain contract modifications and hedging relationships that reference London Inter-bank Offered Rate (LIBOR) or another reference rate expected to be discontinued. The guidance is effective upon issuance and can be applied through December 31, 2022. The Company is currently evaluating the impact of this guidance on its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54">
        <w:r>
          <w:rPr>
            <w:rFonts w:ascii="Arial" w:cs="Arial" w:eastAsia="Arial" w:hAnsi="Arial"/>
            <w:sz w:val="18"/>
            <w:szCs w:val="18"/>
            <w:u w:val="single" w:color="auto"/>
            <w:color w:val="0000FF"/>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information on recently adopted accounting guidance.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52"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Statements in this Annual Report, including those in “Management’s Discussion and Analysis of Financial Condition and Results of Operations,” in the discussions of the provision for asbestos under </w:t>
      </w:r>
      <w:hyperlink w:anchor="page69">
        <w:r>
          <w:rPr>
            <w:rFonts w:ascii="Arial" w:cs="Arial" w:eastAsia="Arial" w:hAnsi="Arial"/>
            <w:sz w:val="16"/>
            <w:szCs w:val="16"/>
            <w:u w:val="single" w:color="auto"/>
            <w:color w:val="0000FF"/>
          </w:rPr>
          <w:t>Note 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other contingencies under </w:t>
      </w:r>
      <w:hyperlink w:anchor="page71">
        <w:r>
          <w:rPr>
            <w:rFonts w:ascii="Arial" w:cs="Arial" w:eastAsia="Arial" w:hAnsi="Arial"/>
            <w:sz w:val="16"/>
            <w:szCs w:val="16"/>
            <w:u w:val="single" w:color="auto"/>
            <w:color w:val="0000FF"/>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 and (vii) the expected outcome of contingencies, including with respect to asbestos-related litigation and pension and postretirement liabilities.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impact of Brexit;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the Tax Act and other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including in the Company’s Middle East operations,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(including the number and size of future claims and the terms of settlements, and the impact of bankruptcy filings by other companies with asbestos-related liabilities, any of which could increase Crown Cork’s asbestos-related costs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potential dispositions, acquisitions or other strategic realignments,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new tariffs and potential limits on steel supply in the U.S. from certain foreign countries; and changes in the Company’s strategic areas of focus, which may impact the Company’s operations, financial profile or levels of indebtedness.</w:t>
      </w:r>
    </w:p>
    <w:p>
      <w:pPr>
        <w:spacing w:after="0" w:line="198"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Some of the factors noted above are discussed elsewhere in this Annual Report and prior Company filings with the SEC, including within Part I, Item 1A, “</w:t>
      </w:r>
      <w:hyperlink w:anchor="page10">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in this Annual Report. In addition, other factors have been or may be discussed from time to time in the Company’s SEC filings.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within “Management’s Discussion and Analysis of Financial Condition and Results of Operations” under the captions “Market Risk” and "Forward Looking Statements" in this Annual Report is incorporated herein by reference.</w:t>
      </w:r>
    </w:p>
    <w:p>
      <w:pPr>
        <w:spacing w:after="0" w:line="2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December 31, 2020, the Company does have contracts that are indexed to LIBOR, including cross-currency swap contracts and certain of its term loan facilities, and continues to monitor this activity and evaluate the related risks.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3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Arial" w:cs="Arial" w:eastAsia="Arial" w:hAnsi="Arial"/>
                <w:sz w:val="18"/>
                <w:szCs w:val="18"/>
                <w:color w:val="auto"/>
                <w:w w:val="95"/>
              </w:rPr>
              <w:t>ITEM 8.</w:t>
            </w:r>
          </w:p>
        </w:tc>
        <w:tc>
          <w:tcPr>
            <w:tcW w:w="700" w:type="dxa"/>
            <w:vAlign w:val="bottom"/>
          </w:tcPr>
          <w:p>
            <w:pPr>
              <w:spacing w:after="0"/>
              <w:rPr>
                <w:sz w:val="17"/>
                <w:szCs w:val="17"/>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FINANCIAL STATEMENTS AND SUPPLEMENTARY DATA</w:t>
            </w:r>
          </w:p>
        </w:tc>
        <w:tc>
          <w:tcPr>
            <w:tcW w:w="980" w:type="dxa"/>
            <w:vAlign w:val="bottom"/>
          </w:tcPr>
          <w:p>
            <w:pPr>
              <w:spacing w:after="0"/>
              <w:rPr>
                <w:sz w:val="17"/>
                <w:szCs w:val="17"/>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33"/>
        </w:trPr>
        <w:tc>
          <w:tcPr>
            <w:tcW w:w="9880" w:type="dxa"/>
            <w:vAlign w:val="bottom"/>
            <w:gridSpan w:val="8"/>
          </w:tcPr>
          <w:p>
            <w:pPr>
              <w:spacing w:after="0"/>
              <w:rPr>
                <w:sz w:val="20"/>
                <w:szCs w:val="20"/>
                <w:color w:val="auto"/>
              </w:rPr>
            </w:pPr>
            <w:r>
              <w:rPr>
                <w:rFonts w:ascii="Arial" w:cs="Arial" w:eastAsia="Arial" w:hAnsi="Arial"/>
                <w:sz w:val="18"/>
                <w:szCs w:val="18"/>
                <w:color w:val="auto"/>
              </w:rPr>
              <w:t>INDEX TO FINANCIAL STATEMENTS</w:t>
            </w:r>
          </w:p>
        </w:tc>
        <w:tc>
          <w:tcPr>
            <w:tcW w:w="980" w:type="dxa"/>
            <w:vAlign w:val="bottom"/>
          </w:tcPr>
          <w:p>
            <w:pPr>
              <w:spacing w:after="0"/>
              <w:rPr>
                <w:sz w:val="24"/>
                <w:szCs w:val="24"/>
                <w:color w:val="auto"/>
              </w:rPr>
            </w:pPr>
          </w:p>
        </w:tc>
      </w:tr>
      <w:tr>
        <w:trPr>
          <w:trHeight w:val="479"/>
        </w:trPr>
        <w:tc>
          <w:tcPr>
            <w:tcW w:w="320" w:type="dxa"/>
            <w:vAlign w:val="bottom"/>
            <w:tcBorders>
              <w:top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w w:val="88"/>
              </w:rPr>
              <w:t>Financial Statements</w:t>
            </w:r>
          </w:p>
        </w:tc>
        <w:tc>
          <w:tcPr>
            <w:tcW w:w="1200" w:type="dxa"/>
            <w:vAlign w:val="bottom"/>
            <w:tcBorders>
              <w:top w:val="single" w:sz="8" w:color="auto"/>
            </w:tcBorders>
            <w:gridSpan w:val="2"/>
          </w:tcPr>
          <w:p>
            <w:pPr>
              <w:spacing w:after="0"/>
              <w:rPr>
                <w:sz w:val="24"/>
                <w:szCs w:val="24"/>
                <w:color w:val="auto"/>
              </w:rPr>
            </w:pPr>
          </w:p>
        </w:tc>
        <w:tc>
          <w:tcPr>
            <w:tcW w:w="68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520"/>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Management’s Report on Internal Control Over Financial Reporting</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00"/>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99"/>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Operations for the years ended December 31, 2020, 2019 and 2018</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86"/>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Comprehensive Income for the years ended December 31, 2020, 2019 and 2018</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99"/>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Consolidated Balance Sheets as of December 31, 2020 and 2019</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00"/>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99"/>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w w:val="97"/>
              </w:rPr>
              <w:t>Consolidated Statements of Changes in Shareholders' Equity for the years ended December 31, 2020, 2019 and 2018</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00"/>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99"/>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6"/>
          </w:tcPr>
          <w:p>
            <w:pPr>
              <w:ind w:left="40"/>
              <w:spacing w:after="0"/>
              <w:rPr>
                <w:sz w:val="20"/>
                <w:szCs w:val="20"/>
                <w:color w:val="auto"/>
              </w:rPr>
            </w:pPr>
            <w:r>
              <w:rPr>
                <w:rFonts w:ascii="Arial" w:cs="Arial" w:eastAsia="Arial" w:hAnsi="Arial"/>
                <w:sz w:val="18"/>
                <w:szCs w:val="18"/>
                <w:color w:val="auto"/>
              </w:rPr>
              <w:t>Supplementary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59"/>
        </w:trPr>
        <w:tc>
          <w:tcPr>
            <w:tcW w:w="320" w:type="dxa"/>
            <w:vAlign w:val="bottom"/>
          </w:tcPr>
          <w:p>
            <w:pPr>
              <w:spacing w:after="0"/>
              <w:rPr>
                <w:sz w:val="24"/>
                <w:szCs w:val="24"/>
                <w:color w:val="auto"/>
              </w:rPr>
            </w:pPr>
          </w:p>
        </w:tc>
        <w:tc>
          <w:tcPr>
            <w:tcW w:w="9560" w:type="dxa"/>
            <w:vAlign w:val="bottom"/>
            <w:gridSpan w:val="7"/>
          </w:tcPr>
          <w:p>
            <w:pPr>
              <w:ind w:left="20"/>
              <w:spacing w:after="0"/>
              <w:rPr>
                <w:sz w:val="20"/>
                <w:szCs w:val="20"/>
                <w:color w:val="auto"/>
              </w:rPr>
            </w:pPr>
            <w:r>
              <w:rPr>
                <w:rFonts w:ascii="Arial" w:cs="Arial" w:eastAsia="Arial" w:hAnsi="Arial"/>
                <w:sz w:val="18"/>
                <w:szCs w:val="18"/>
                <w:color w:val="auto"/>
              </w:rPr>
              <w:t>Financial Statement Schedule</w:t>
            </w:r>
          </w:p>
        </w:tc>
        <w:tc>
          <w:tcPr>
            <w:tcW w:w="9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140" w:type="dxa"/>
            <w:vAlign w:val="bottom"/>
            <w:gridSpan w:val="4"/>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20"/>
        </w:trPr>
        <w:tc>
          <w:tcPr>
            <w:tcW w:w="320" w:type="dxa"/>
            <w:vAlign w:val="bottom"/>
          </w:tcPr>
          <w:p>
            <w:pPr>
              <w:spacing w:after="0"/>
              <w:rPr>
                <w:sz w:val="24"/>
                <w:szCs w:val="24"/>
                <w:color w:val="auto"/>
              </w:rPr>
            </w:pPr>
          </w:p>
        </w:tc>
        <w:tc>
          <w:tcPr>
            <w:tcW w:w="9560" w:type="dxa"/>
            <w:vAlign w:val="bottom"/>
            <w:gridSpan w:val="7"/>
          </w:tcPr>
          <w:p>
            <w:pPr>
              <w:ind w:left="20"/>
              <w:spacing w:after="0"/>
              <w:rPr>
                <w:sz w:val="20"/>
                <w:szCs w:val="20"/>
                <w:color w:val="auto"/>
              </w:rPr>
            </w:pPr>
            <w:r>
              <w:rPr>
                <w:rFonts w:ascii="Arial" w:cs="Arial" w:eastAsia="Arial" w:hAnsi="Arial"/>
                <w:sz w:val="18"/>
                <w:szCs w:val="18"/>
                <w:color w:val="auto"/>
                <w:w w:val="99"/>
              </w:rPr>
              <w:t>Schedule II – Valuation and Qualifying Accounts and Reserves for the years ended December 31, 2020, 2019 and 2018</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40" w:top="121" w:right="6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its assessment, management has concluded that, as of December 31, 2020,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based on those criteria.</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Crown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Crown Holdings, Inc. and its subsidiaries (the “Company”) as of December 31, 2020 and 2019, and the related consolidated statements of operations, of comprehensive income, of changes in shareholders' equity and of cash flows for each of the three years in the period ended December 31, 2020, including the related notes and financial statement schedule listed in the accompanying index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A to the consolidated financial statements, the Company changed the manner in which it accounts for leases in 2019 and the manner in which it accounts for revenues from contracts with customers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European Aerosol and Promotional Packaging Reporting Unit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Notes A and E to the consolidated financial statements, the Company’s consolidated goodwill balance was $4.6 billion as of December 31, 2020. The Company performs a goodwill impairment review in the fourth quarter of each year or when facts and circumstances indicate goodwill may be impaired. Management determines the estimated fair value of the reporting unit based on an average of the estimated fair values using an income and a market approach. Management’s income approach utilizes significant assumptions, including revenue and adjusted EBITDA margin growth rates and discount rate. As disclosed by management, the goodwill associated with the European Aerosol and Promotional Packaging reporting unit was $71 million which was 9% higher than the carrying value.</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European Aerosol and Promotional Packaging reporting unit is a critical audit matter are the significant judgment by management when developing their estimated fair values. This in turn led to a high degree of auditor judgment, subjectivity and effort in performing procedures and evaluating significant assumptions within management’s cash flow projections used in the income approach related to revenue and adjusted EBITDA margin growth rates and the discount rate. In addition, the audit effort involved the use of professionals with specialized skill and knowledge.</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estimation of the fair value of the reporting unit. These procedures also included, among others, testing management’s process for estimating the fair value of the European Aerosol and Promotional Packaging reporting unit, testing the completeness, accuracy, and relevance of the underlying data used in the income approach, and evaluating the significant assumptions used by management related to revenue and adjusted EBITDA margin growth rates and the discount rate. Evaluating management’s assumptions related to the revenue and adjusted EBITDA margin growth rates included evaluating whether the judgments made by management were reasonable considering the current and past performance of the reporting unit, the consistency with external market and industry data, and whether these assumptions were consistent with evidence obtained in other areas of the audit. Professionals with specialized skill and knowledge were used to assist in the evaluation of the reasonableness of the discount rate assumption.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1928.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Cost of products sold,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Selling and administrative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4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Loss from early extinguishments of debt</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pension and postretirement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net earnings of affiliates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w:t>
            </w:r>
          </w:p>
        </w:tc>
        <w:tc>
          <w:tcPr>
            <w:tcW w:w="4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w:t>
            </w:r>
          </w:p>
        </w:tc>
        <w:tc>
          <w:tcPr>
            <w:tcW w:w="5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44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02"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Other comprehensive (loss) / income, net of tax</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qualifying as hedges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other comprehensive (loss) /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adjustments attributable to noncontrolling interests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660" w:top="121" w:right="1159" w:bottom="1440" w:gutter="0" w:footer="0" w:header="0"/>
        </w:sectPr>
      </w:pPr>
    </w:p>
    <w:bookmarkStart w:id="50" w:name="page51"/>
    <w:bookmarkEnd w:id="50"/>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millions,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70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1,783</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29"/>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70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r>
      <w:tr>
        <w:trPr>
          <w:trHeight w:val="142"/>
        </w:trPr>
        <w:tc>
          <w:tcPr>
            <w:tcW w:w="7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3"/>
        </w:trPr>
        <w:tc>
          <w:tcPr>
            <w:tcW w:w="7080" w:type="dxa"/>
            <w:vAlign w:val="bottom"/>
          </w:tcPr>
          <w:p>
            <w:pPr>
              <w:ind w:left="68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15,505</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7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8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08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r>
      <w:tr>
        <w:trPr>
          <w:trHeight w:val="229"/>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23"/>
        </w:trPr>
        <w:tc>
          <w:tcPr>
            <w:tcW w:w="70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142"/>
        </w:trPr>
        <w:tc>
          <w:tcPr>
            <w:tcW w:w="7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Postretirement and pension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30"/>
        </w:trPr>
        <w:tc>
          <w:tcPr>
            <w:tcW w:w="708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hyperlink w:anchor="page71">
              <w:r>
                <w:rPr>
                  <w:rFonts w:ascii="Arial" w:cs="Arial" w:eastAsia="Arial" w:hAnsi="Arial"/>
                  <w:sz w:val="18"/>
                  <w:szCs w:val="18"/>
                  <w:u w:val="single" w:color="auto"/>
                  <w:color w:val="0000FF"/>
                </w:rPr>
                <w:t>(Note O)</w:t>
              </w:r>
            </w:hyperlink>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08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Preferred stock, authorized: 30,000,000; none issued </w:t>
            </w:r>
            <w:hyperlink w:anchor="page83">
              <w:r>
                <w:rPr>
                  <w:rFonts w:ascii="Arial" w:cs="Arial" w:eastAsia="Arial" w:hAnsi="Arial"/>
                  <w:sz w:val="18"/>
                  <w:szCs w:val="18"/>
                  <w:u w:val="single" w:color="auto"/>
                  <w:color w:val="0000FF"/>
                </w:rPr>
                <w:t>(Note S)</w:t>
              </w:r>
            </w:hyperlink>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Common stock, par value: $5.00; authorized: 500,000,000 shares; issued: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80" w:type="dxa"/>
            <w:vAlign w:val="bottom"/>
            <w:shd w:val="clear" w:color="auto" w:fill="CCEEFF"/>
          </w:tcPr>
          <w:p>
            <w:pPr>
              <w:ind w:left="200"/>
              <w:spacing w:after="0"/>
              <w:rPr>
                <w:rFonts w:ascii="Arial" w:cs="Arial" w:eastAsia="Arial" w:hAnsi="Arial"/>
                <w:sz w:val="18"/>
                <w:szCs w:val="18"/>
                <w:color w:val="auto"/>
              </w:rPr>
            </w:pPr>
            <w:r>
              <w:rPr>
                <w:rFonts w:ascii="Arial" w:cs="Arial" w:eastAsia="Arial" w:hAnsi="Arial"/>
                <w:sz w:val="18"/>
                <w:szCs w:val="18"/>
                <w:color w:val="auto"/>
              </w:rPr>
              <w:t>185,744,072 shares (</w:t>
            </w:r>
            <w:hyperlink w:anchor="page83">
              <w:r>
                <w:rPr>
                  <w:rFonts w:ascii="Arial" w:cs="Arial" w:eastAsia="Arial" w:hAnsi="Arial"/>
                  <w:sz w:val="18"/>
                  <w:szCs w:val="18"/>
                  <w:u w:val="single" w:color="auto"/>
                  <w:color w:val="0000FF"/>
                </w:rPr>
                <w:t>Note S</w:t>
              </w:r>
            </w:hyperlink>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(3,193)</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(3,131)</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par value (2020 - 50,943,042 shares; 2019 - 50,166,194 shares)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Crown Holdings shareholders’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r>
      <w:tr>
        <w:trPr>
          <w:trHeight w:val="223"/>
        </w:trPr>
        <w:tc>
          <w:tcPr>
            <w:tcW w:w="70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7080" w:type="dxa"/>
            <w:vAlign w:val="bottom"/>
          </w:tcPr>
          <w:p>
            <w:pPr>
              <w:ind w:left="68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21" w:right="11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48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480" w:type="dxa"/>
            <w:vAlign w:val="bottom"/>
          </w:tcPr>
          <w:p>
            <w:pPr>
              <w:ind w:left="52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Pension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480" w:type="dxa"/>
            <w:vAlign w:val="bottom"/>
          </w:tcPr>
          <w:p>
            <w:pPr>
              <w:ind w:left="80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7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480" w:type="dxa"/>
            <w:vAlign w:val="bottom"/>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7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480" w:type="dxa"/>
            <w:vAlign w:val="bottom"/>
            <w:tcBorders>
              <w:bottom w:val="single" w:sz="8" w:color="CCEEFF"/>
            </w:tcBorders>
          </w:tcPr>
          <w:p>
            <w:pPr>
              <w:ind w:left="128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Beneficial interest in transferred receivables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(3,912)</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exchange derivatives related to acquisition</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Net investment hedges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10"/>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4,082</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Finance lease payments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Contribution from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 issued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48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 provided by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7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center"/>
              <w:ind w:right="1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1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Cumulative effect of change in accounting principle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Contribution from noncontrolling interests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noncontrolling interests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per share, employee and statistical data)</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Business and Principles of Consolidation</w:t>
      </w:r>
      <w:r>
        <w:rPr>
          <w:rFonts w:ascii="Arial" w:cs="Arial" w:eastAsia="Arial" w:hAnsi="Arial"/>
          <w:sz w:val="18"/>
          <w:szCs w:val="18"/>
          <w:color w:val="auto"/>
        </w:rPr>
        <w:t>. The consolidated financial statements include the accounts of Crown Holdings, Inc.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subsidiary companies (where the context requires, the “Company” shall include reference to the Company and its consolidated subsidiary companies).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worldwide leader in the design, manufacture and sale of packaging products and equipment for consumer goods and industrial products. The Company’s packaging for consumer goods include steel and aluminum cans for beverage, food, household and other consumer products, glass bottles for beverage products and metal vacuum closures and steel crowns sold through the Company's sales organization to the soft drink, food, citrus, brewing, household products, personal care and various other industries. The Company's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financial statements were prepared in conformity with accounting principles generally accepted in the United States of America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 Investments in companies in which the Company does not have control, but has the ability to exercise significant influence over operating and financial policies, are accounted for by the equity method. Other investments are carried at cost.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Foreign Currency Translation</w:t>
      </w:r>
      <w:r>
        <w:rPr>
          <w:rFonts w:ascii="Arial" w:cs="Arial" w:eastAsia="Arial" w:hAnsi="Arial"/>
          <w:sz w:val="17"/>
          <w:szCs w:val="17"/>
          <w:color w:val="auto"/>
        </w:rPr>
        <w:t>. For non-U.S. subsidiaries which operate in a local currency environment, assets and liabilities are translated into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On January 1, 2018, the Company adopted new accounting guidance which outlined a single comprehensive model to use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revenue arising from contracts with customers and superseded previous revenue guidance. Under previous guidance, the Company generally recognized revenue from product sales when the goods were shipped and title and risk of loss passed to the customer. Under the new guidance, revenues are recognized when control of the promised product is transferred to customers.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Company’s revenues from metal packaging products are derived from multi-year requirement contracts with 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the Company's transit packaging segment are generally derived from individual purchase orders which may include multiple goods and services which are separate performance obligations because they are distinct and separately identifiable.</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that is recognized over time 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in the Consolidated Balance Sheet with a corresponding decrease to inventory.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 For awards with a service or market condition, compensation expense is recognized over the vesting period on a straight-line</w:t>
      </w:r>
      <w:r>
        <w:rPr>
          <w:rFonts w:ascii="Arial" w:cs="Arial" w:eastAsia="Arial" w:hAnsi="Arial"/>
          <w:sz w:val="17"/>
          <w:szCs w:val="17"/>
          <w:b w:val="1"/>
          <w:bCs w:val="1"/>
          <w:color w:val="auto"/>
        </w:rPr>
        <w:t xml:space="preserve"> </w:t>
      </w:r>
      <w:r>
        <w:rPr>
          <w:rFonts w:ascii="Arial" w:cs="Arial" w:eastAsia="Arial" w:hAnsi="Arial"/>
          <w:sz w:val="17"/>
          <w:szCs w:val="17"/>
          <w:color w:val="auto"/>
        </w:rPr>
        <w:t>basis using the grant date fair value of the award and the estimated number of awards that are expected to vest. For awards with a performance condition, the Company assesses the probability of vesting at each reporting period and adjusts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1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Cash, Cash Equivalents and Restricted Cash</w:t>
      </w:r>
      <w:r>
        <w:rPr>
          <w:rFonts w:ascii="Arial" w:cs="Arial" w:eastAsia="Arial" w:hAnsi="Arial"/>
          <w:sz w:val="16"/>
          <w:szCs w:val="16"/>
          <w:color w:val="auto"/>
        </w:rPr>
        <w:t>. Cash equivalents represent investments with maturities of three months or less from the time of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and Allowance for Credit Losses. </w:t>
      </w:r>
      <w:r>
        <w:rPr>
          <w:rFonts w:ascii="Arial" w:cs="Arial" w:eastAsia="Arial" w:hAnsi="Arial"/>
          <w:sz w:val="18"/>
          <w:szCs w:val="18"/>
          <w:color w:val="auto"/>
        </w:rPr>
        <w:t>Trade accounts receivable are recorded at the invoiced amount and do not bear interest.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of expected credit losses is based on past events, historical experience, current conditions and forecasts that affect the collectability of accounts receivable.</w:t>
      </w:r>
    </w:p>
    <w:p>
      <w:pPr>
        <w:spacing w:after="0" w:line="2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Inventory Valuation</w:t>
      </w:r>
      <w:r>
        <w:rPr>
          <w:rFonts w:ascii="Arial" w:cs="Arial" w:eastAsia="Arial" w:hAnsi="Arial"/>
          <w:sz w:val="18"/>
          <w:szCs w:val="18"/>
          <w:color w:val="auto"/>
        </w:rPr>
        <w:t>. Inventories are stated at the lower of cost or net realizable value, with cost principally determined under the first-in, first-out</w:t>
      </w:r>
      <w:r>
        <w:rPr>
          <w:rFonts w:ascii="Arial" w:cs="Arial" w:eastAsia="Arial" w:hAnsi="Arial"/>
          <w:sz w:val="18"/>
          <w:szCs w:val="18"/>
          <w:b w:val="1"/>
          <w:bCs w:val="1"/>
          <w:color w:val="auto"/>
        </w:rPr>
        <w:t xml:space="preserve"> </w:t>
      </w:r>
      <w:r>
        <w:rPr>
          <w:rFonts w:ascii="Arial" w:cs="Arial" w:eastAsia="Arial" w:hAnsi="Arial"/>
          <w:sz w:val="18"/>
          <w:szCs w:val="18"/>
          <w:color w:val="auto"/>
        </w:rPr>
        <w:t>(“FIFO”) or average cost method.</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Property, Plant and Equipment</w:t>
      </w:r>
      <w:r>
        <w:rPr>
          <w:rFonts w:ascii="Arial" w:cs="Arial" w:eastAsia="Arial" w:hAnsi="Arial"/>
          <w:sz w:val="18"/>
          <w:szCs w:val="18"/>
          <w:color w:val="auto"/>
        </w:rPr>
        <w:t>. Property, plant and equipment (“PP&amp;E”) is carried at cost less accumulated depreciation and includes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new facilities and equipment and those costs which substantially increase the useful lives or capacity of existing PP&amp;E. Cost of constructed assets includes capitalized interest incurred during the construction and development period. Maintenance and repairs, including labor and material costs for planned major maintenance such as annual production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line overhauls, are expensed as incurred. When PP&amp;E is retired or otherwise disposed, the net carrying amount is eliminated with any gain or loss on disposition recognized in earnings at that time.</w:t>
      </w:r>
    </w:p>
    <w:p>
      <w:pPr>
        <w:spacing w:after="0" w:line="19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3980" w:type="dxa"/>
            <w:vAlign w:val="bottom"/>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w:t>
            </w:r>
          </w:p>
        </w:tc>
      </w:tr>
    </w:tbl>
    <w:p>
      <w:pPr>
        <w:spacing w:after="0" w:line="3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Goodwill and Intangible Assets</w:t>
      </w:r>
      <w:r>
        <w:rPr>
          <w:rFonts w:ascii="Arial" w:cs="Arial" w:eastAsia="Arial" w:hAnsi="Arial"/>
          <w:sz w:val="16"/>
          <w:szCs w:val="16"/>
          <w:color w:val="auto"/>
        </w:rPr>
        <w:t>. Assets and liabilities of acquired businesses are recorded under the acquisition method of accounting at their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was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margin growth rates and discount rate. If the carrying value of a reporting unit exceeds its fair value, any impairment loss is measured by comparing the carrying value of the reporting unit to its fair value, not to exceed the carrying amount of goodwill.</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Definite-lived intangible assets are carried at cost less accumulated amortization. Definite-lived intangibles are amortized on a straight-line basis over their estimated useful lives described below (in years). Definite-lived intangible assets are tested for impairment when facts and circumstances indicate the carrying value may not be recoverable from their undiscounted cash flows. If impaired, the assets are written down to fair value based on either discounted cash flows or appraised values.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42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jc w:val="right"/>
              <w:spacing w:after="0"/>
              <w:rPr>
                <w:sz w:val="20"/>
                <w:szCs w:val="20"/>
                <w:color w:val="auto"/>
              </w:rPr>
            </w:pPr>
            <w:r>
              <w:rPr>
                <w:rFonts w:ascii="Arial" w:cs="Arial" w:eastAsia="Arial" w:hAnsi="Arial"/>
                <w:sz w:val="18"/>
                <w:szCs w:val="18"/>
                <w:color w:val="auto"/>
              </w:rPr>
              <w:t>- 27</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6 - 8</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Long-term supply contracts</w:t>
            </w:r>
          </w:p>
        </w:tc>
        <w:tc>
          <w:tcPr>
            <w:tcW w:w="4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3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Impairment or Disposal of Long-Lived Assets</w:t>
      </w:r>
      <w:r>
        <w:rPr>
          <w:rFonts w:ascii="Arial" w:cs="Arial" w:eastAsia="Arial" w:hAnsi="Arial"/>
          <w:sz w:val="16"/>
          <w:szCs w:val="16"/>
          <w:color w:val="auto"/>
        </w:rPr>
        <w:t>. In the event that facts and circumstances indicate that the carrying value of long-lived assets,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PP&amp;E, may be impaired, the Company performs a recoverability evaluation. If the evaluation indicates that the carrying value of an asset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On January 1, 2019, the Company adopted new guidance on lease accounting. Under the guidance, lease classification criteria and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recognition were similar to previous guidance; however, all leases with a term longer than one year are recorded on the balance sheet through a right-of-use asset and a corresponding liability.</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operating and finance leases for land and buildings related to certain manufacturing facilities, warehouses and corporate offices, 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which lease payments are made. The Company's leases do not contain any material residual value guarantees or material restrictive covenants.</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Taxes on Income</w:t>
      </w:r>
      <w:r>
        <w:rPr>
          <w:rFonts w:ascii="Arial" w:cs="Arial" w:eastAsia="Arial" w:hAnsi="Arial"/>
          <w:sz w:val="18"/>
          <w:szCs w:val="18"/>
          <w:color w:val="auto"/>
        </w:rPr>
        <w:t>. The provision for income taxes is determined using the asset and liability approach. Deferred taxes represent the future expected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differences between the financial reporting and tax bases of assets and liabilities based upon enacted tax rates and laws. The Company has made an accounting policy election to treat taxes due on future U.S. inclusions of certain intangible income of foreign subsidiaries as a current period expense when incurred.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Derivatives and Hedging</w:t>
      </w:r>
      <w:r>
        <w:rPr>
          <w:rFonts w:ascii="Arial" w:cs="Arial" w:eastAsia="Arial" w:hAnsi="Arial"/>
          <w:sz w:val="17"/>
          <w:szCs w:val="17"/>
          <w:color w:val="auto"/>
        </w:rPr>
        <w:t>. All outstanding derivative financial instruments are recognized in the balance sheet at their fair values. The impact on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anticipated transactions are no longer probable.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Treasury Stock</w:t>
      </w:r>
      <w:r>
        <w:rPr>
          <w:rFonts w:ascii="Arial" w:cs="Arial" w:eastAsia="Arial" w:hAnsi="Arial"/>
          <w:sz w:val="18"/>
          <w:szCs w:val="18"/>
          <w:color w:val="auto"/>
        </w:rPr>
        <w:t>. Treasury stock is reported at par value. The excess of fair value over par value is first charged to paid-in capital, if any, and then to</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earnings.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development and engineering costs of $53 in 2020, $55 in 2019, and $51 in 2018 were expensed as incurred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of prior years’ data have been made to conform to the current year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and Reporting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2020, the Company adopted new guidance on the accounting for credit losses on financial instruments. The new guidance introduced an approach, based on expected losses, to estimate credit losses on certain types of financial instruments. The new approach to estimating credit losses applies to most financial assets measured at amortized cost and certain other instruments, including trade and other receivables, loans, held-to-maturity debt securities, net investments in operating leases and off-balance-sheet credit exposures. The guidance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the Company adopted new guidance, on a prospective basis, which aligns the accounting for implementation costs incurred in a cloud computing arrangement that is a service arrangement (i.e. hosting arrangement) with the guidance on capitalizing costs for internal use software. The guidance did not have a material impact on the Company's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is currently evaluating the impact of adopting this standard and does not expect the guidance to have a material impact on its consolidated financial statements.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FASB issued guidance which provides optional expedients and exceptions for applying GAAP to certain contract modifications and hedging relationships that reference London Inter-bank Offered Rate (LIBOR) or another reference rate expected to be discontinued. The guidance is effective upon issuance and can be applied through December 31, 2022. The Company is currently evaluating the impact of this guidance on its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Cash, Cash Equivalents, and Restricted Cash</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included in the Company's Consolidated Balance Sheets and Statement of Cash Flows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70"/>
        </w:trPr>
        <w:tc>
          <w:tcPr>
            <w:tcW w:w="7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4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1,238</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C. Receivables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1,783</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0"/>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uses receivables securitization and factoring facilities in the normal course of business as part of managing its cash flows. The Company primarily accounts for transfers under these facilities as sales because it has met the criteria for control of the receivables to be considered transferred.</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Company’s continuing involvement in the transfers is limited to servicing the receivables. The Company receives adequate compensation for servicing the receivables and no servicing asset or liability is recorded.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Company derecognized receivables of $1,270 and $1,318 related to the facilities.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2020, 2019 and 2018, the Company recorded expenses related to the facilities of $19, $23 and $21 as interest expense.</w:t>
      </w: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July 2018, the Company's North American securitization facility included a deferred purchase price component. Proceeds from the deferred purchase price were included in the beneficial interest in securitized receivables line in the Company's Consolidated Statement of Cash Flows.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D. Inventories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1,673</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1"/>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reportable segment for the years ended December 31, 2020 and 2019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17"/>
                <w:szCs w:val="17"/>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European</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European Food</w:t>
            </w:r>
          </w:p>
        </w:tc>
        <w:tc>
          <w:tcPr>
            <w:tcW w:w="18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Transit</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Other segments</w:t>
            </w:r>
          </w:p>
        </w:tc>
        <w:tc>
          <w:tcPr>
            <w:tcW w:w="280" w:type="dxa"/>
            <w:vAlign w:val="bottom"/>
          </w:tcPr>
          <w:p>
            <w:pPr>
              <w:spacing w:after="0"/>
              <w:rPr>
                <w:sz w:val="17"/>
                <w:szCs w:val="17"/>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Beverage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Beverage</w:t>
            </w:r>
          </w:p>
        </w:tc>
        <w:tc>
          <w:tcPr>
            <w:tcW w:w="130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Packaging</w:t>
            </w:r>
          </w:p>
        </w:tc>
        <w:tc>
          <w:tcPr>
            <w:tcW w:w="128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Goodwill acquired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the goodwill impairment included in other segments related to the European Aerosols and Promotional Packaging reporting unit. In recent years market demand for three-piece aerosol packaging has gradually declined. This decline combined with higher operating costs that had not been fully recovered in selling prices had an adverse impact on the expected future cash flows utilized in the Company’s valuation. As a result, the reporting unit's fair value declined below its carrying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December 31, 2020 and 2019 was net of the following accumulated impairments:</w:t>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800" w:type="dxa"/>
            <w:vAlign w:val="bottom"/>
          </w:tcPr>
          <w:p>
            <w:pPr>
              <w:ind w:left="1080"/>
              <w:spacing w:after="0"/>
              <w:rPr>
                <w:sz w:val="20"/>
                <w:szCs w:val="20"/>
                <w:color w:val="auto"/>
              </w:rPr>
            </w:pPr>
            <w:r>
              <w:rPr>
                <w:rFonts w:ascii="Arial" w:cs="Arial" w:eastAsia="Arial" w:hAnsi="Arial"/>
                <w:sz w:val="18"/>
                <w:szCs w:val="18"/>
                <w:color w:val="auto"/>
                <w:w w:val="93"/>
              </w:rPr>
              <w:t>Americas</w:t>
            </w:r>
          </w:p>
        </w:tc>
        <w:tc>
          <w:tcPr>
            <w:tcW w:w="24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w w:val="87"/>
              </w:rPr>
              <w:t>European</w:t>
            </w:r>
          </w:p>
        </w:tc>
        <w:tc>
          <w:tcPr>
            <w:tcW w:w="24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European Food</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Transit</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Other Segments</w:t>
            </w:r>
          </w:p>
        </w:tc>
        <w:tc>
          <w:tcPr>
            <w:tcW w:w="300" w:type="dxa"/>
            <w:vAlign w:val="bottom"/>
          </w:tcPr>
          <w:p>
            <w:pPr>
              <w:spacing w:after="0"/>
              <w:rPr>
                <w:sz w:val="18"/>
                <w:szCs w:val="18"/>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1800" w:type="dxa"/>
            <w:vAlign w:val="bottom"/>
          </w:tcPr>
          <w:p>
            <w:pPr>
              <w:ind w:left="1080"/>
              <w:spacing w:after="0"/>
              <w:rPr>
                <w:sz w:val="20"/>
                <w:szCs w:val="20"/>
                <w:color w:val="auto"/>
              </w:rPr>
            </w:pPr>
            <w:r>
              <w:rPr>
                <w:rFonts w:ascii="Arial" w:cs="Arial" w:eastAsia="Arial" w:hAnsi="Arial"/>
                <w:sz w:val="18"/>
                <w:szCs w:val="18"/>
                <w:color w:val="auto"/>
                <w:w w:val="90"/>
              </w:rPr>
              <w:t>Beverage</w:t>
            </w:r>
          </w:p>
        </w:tc>
        <w:tc>
          <w:tcPr>
            <w:tcW w:w="24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w w:val="88"/>
              </w:rPr>
              <w:t>Beverage</w:t>
            </w: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Packaging</w:t>
            </w:r>
          </w:p>
        </w:tc>
        <w:tc>
          <w:tcPr>
            <w:tcW w:w="15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impairments</w:t>
            </w:r>
          </w:p>
        </w:tc>
        <w:tc>
          <w:tcPr>
            <w:tcW w:w="18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2020</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2019</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color w:val="auto"/>
                <w:w w:val="95"/>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200" w:type="dxa"/>
            <w:vAlign w:val="bottom"/>
          </w:tcPr>
          <w:p>
            <w:pPr>
              <w:spacing w:after="0"/>
              <w:rPr>
                <w:sz w:val="14"/>
                <w:szCs w:val="14"/>
                <w:color w:val="auto"/>
              </w:rPr>
            </w:pPr>
          </w:p>
        </w:tc>
        <w:tc>
          <w:tcPr>
            <w:tcW w:w="1560" w:type="dxa"/>
            <w:vAlign w:val="bottom"/>
            <w:gridSpan w:val="2"/>
          </w:tcPr>
          <w:p>
            <w:pPr>
              <w:jc w:val="center"/>
              <w:ind w:right="400"/>
              <w:spacing w:after="0" w:line="169" w:lineRule="exact"/>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4"/>
                <w:szCs w:val="14"/>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December 31, 2020, 2019, and 2018 was $180, $186 and $148.</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Annual amortization expense for 2021 and 2022 is estimated to be $180, 2023 is estimated to be $179, 2024 is estimated to be $166, and 2025 is estimated to be $162.</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G. Property, Plant and Equipment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7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5,836</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7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Leases</w:t>
      </w:r>
    </w:p>
    <w:p>
      <w:pPr>
        <w:spacing w:after="0" w:line="256"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54">
        <w:r>
          <w:rPr>
            <w:rFonts w:ascii="Arial" w:cs="Arial" w:eastAsia="Arial" w:hAnsi="Arial"/>
            <w:sz w:val="18"/>
            <w:szCs w:val="18"/>
            <w:u w:val="single" w:color="auto"/>
            <w:color w:val="0000FF"/>
          </w:rPr>
          <w:t>Note A</w:t>
        </w:r>
      </w:hyperlink>
      <w:r>
        <w:rPr>
          <w:rFonts w:ascii="Arial" w:cs="Arial" w:eastAsia="Arial" w:hAnsi="Arial"/>
          <w:sz w:val="18"/>
          <w:szCs w:val="18"/>
          <w:color w:val="auto"/>
        </w:rPr>
        <w:t>, the Company adopted new guidance on lease accounting on January 1, 2019 on a modified retrospective basis. Total operating lease expense under the previous guidance was $50 for the year ended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w w:val="92"/>
              </w:rPr>
              <w:t>The components of lease expense for the years ended December 31, 2020 and 2019 were as follows: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520" w:type="dxa"/>
            <w:vAlign w:val="bottom"/>
            <w:vMerge w:val="restart"/>
          </w:tcPr>
          <w:p>
            <w:pPr>
              <w:ind w:left="20"/>
              <w:spacing w:after="0"/>
              <w:rPr>
                <w:sz w:val="20"/>
                <w:szCs w:val="20"/>
                <w:color w:val="auto"/>
              </w:rPr>
            </w:pPr>
            <w:r>
              <w:rPr>
                <w:rFonts w:ascii="Arial" w:cs="Arial" w:eastAsia="Arial" w:hAnsi="Arial"/>
                <w:sz w:val="18"/>
                <w:szCs w:val="18"/>
                <w:color w:val="auto"/>
              </w:rPr>
              <w:t>Operating lease costs:</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cost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lease cost</w:t>
            </w: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costs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Variable operating lease costs were $3 for the years ended December 31, 2020 and December 31, 2019. Interest on finance lease liabilities were less than $1 for the years ended December 31, 2020 and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ind w:left="4780"/>
              <w:spacing w:after="0"/>
              <w:rPr>
                <w:sz w:val="20"/>
                <w:szCs w:val="20"/>
                <w:color w:val="auto"/>
              </w:rPr>
            </w:pPr>
            <w:r>
              <w:rPr>
                <w:rFonts w:ascii="Arial" w:cs="Arial" w:eastAsia="Arial" w:hAnsi="Arial"/>
                <w:sz w:val="18"/>
                <w:szCs w:val="18"/>
                <w:b w:val="1"/>
                <w:bCs w:val="1"/>
                <w:color w:val="auto"/>
              </w:rPr>
              <w:t>Crown Holdings, Inc.</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70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58</w:t>
            </w:r>
          </w:p>
        </w:tc>
        <w:tc>
          <w:tcPr>
            <w:tcW w:w="98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400" w:type="dxa"/>
            <w:vAlign w:val="bottom"/>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98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6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finance leases was as follows: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Property, plant and equipment</w:t>
            </w:r>
          </w:p>
        </w:tc>
        <w:tc>
          <w:tcPr>
            <w:tcW w:w="140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98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98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20" w:type="dxa"/>
            <w:vAlign w:val="bottom"/>
            <w:gridSpan w:val="4"/>
            <w:vMerge w:val="restart"/>
          </w:tcPr>
          <w:p>
            <w:pPr>
              <w:spacing w:after="0"/>
              <w:rPr>
                <w:sz w:val="20"/>
                <w:szCs w:val="20"/>
                <w:color w:val="auto"/>
              </w:rPr>
            </w:pPr>
            <w:r>
              <w:rPr>
                <w:rFonts w:ascii="Arial" w:cs="Arial" w:eastAsia="Arial" w:hAnsi="Arial"/>
                <w:sz w:val="18"/>
                <w:szCs w:val="18"/>
                <w:color w:val="auto"/>
                <w:w w:val="90"/>
              </w:rPr>
              <w:t>The weighted average remaining lease term and weighted average discount rates for each year were as</w:t>
            </w: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520" w:type="dxa"/>
            <w:vAlign w:val="bottom"/>
            <w:gridSpan w:val="4"/>
            <w:vMerge w:val="continue"/>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79"/>
              </w:rPr>
              <w:t>follows: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Arial" w:cs="Arial" w:eastAsia="Arial" w:hAnsi="Arial"/>
                <w:sz w:val="18"/>
                <w:szCs w:val="18"/>
                <w:color w:val="auto"/>
                <w:w w:val="79"/>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06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2020 were as follows: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Finance 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 Company does not have material lease commitments that have not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9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Crown Holdings, Inc.</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770"/>
        </w:trPr>
        <w:tc>
          <w:tcPr>
            <w:tcW w:w="3500" w:type="dxa"/>
            <w:vAlign w:val="bottom"/>
          </w:tcPr>
          <w:p>
            <w:pPr>
              <w:spacing w:after="0"/>
              <w:rPr>
                <w:sz w:val="20"/>
                <w:szCs w:val="20"/>
                <w:color w:val="auto"/>
              </w:rPr>
            </w:pPr>
            <w:r>
              <w:rPr>
                <w:rFonts w:ascii="Arial" w:cs="Arial" w:eastAsia="Arial" w:hAnsi="Arial"/>
                <w:sz w:val="18"/>
                <w:szCs w:val="18"/>
                <w:b w:val="1"/>
                <w:bCs w:val="1"/>
                <w:color w:val="auto"/>
              </w:rPr>
              <w:t>I. Other Non-Current Assets</w:t>
            </w:r>
          </w:p>
        </w:tc>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6"/>
        </w:trPr>
        <w:tc>
          <w:tcPr>
            <w:tcW w:w="3500" w:type="dxa"/>
            <w:vAlign w:val="bottom"/>
          </w:tcPr>
          <w:p>
            <w:pPr>
              <w:spacing w:after="0"/>
              <w:rPr>
                <w:sz w:val="22"/>
                <w:szCs w:val="22"/>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assets</w:t>
            </w:r>
          </w:p>
        </w:tc>
        <w:tc>
          <w:tcPr>
            <w:tcW w:w="30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5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3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242</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3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derivatives</w:t>
            </w:r>
          </w:p>
        </w:tc>
        <w:tc>
          <w:tcPr>
            <w:tcW w:w="3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35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J. Accrued Liabilities</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Accrued taxes, other than on income</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Asbestos liabilities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liabilities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1,173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K.  Restructuring and Other</w:t>
            </w: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80" w:type="dxa"/>
            <w:vAlign w:val="bottom"/>
          </w:tcPr>
          <w:p>
            <w:pPr>
              <w:spacing w:after="0"/>
              <w:rPr>
                <w:sz w:val="20"/>
                <w:szCs w:val="20"/>
                <w:color w:val="auto"/>
              </w:rPr>
            </w:pPr>
            <w:r>
              <w:rPr>
                <w:rFonts w:ascii="Arial" w:cs="Arial" w:eastAsia="Arial" w:hAnsi="Arial"/>
                <w:sz w:val="18"/>
                <w:szCs w:val="18"/>
                <w:color w:val="auto"/>
              </w:rPr>
              <w:t>The Company recorded restructuring and other items as follows: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costs / (income)</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Activity</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Restructuring costs included charges of $19 related to an internal reorganization and headcount reductions within the Transit Packaging Division. The Company continues to identify cost reduction initiatives in its businesses and it is possible that the Company may record additional restructuring charges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Activity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costs included charges of $18 for termination benefits related to headcount reductions across the Company, including $14 related to for headcount reductions in the Company's European and Transit Packaging divisions.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costs / (income) of $41 included gains of $50 arising from favorable court rulings related to the recovery of indirect taxes paid in prior years by certain of the Company's Brazilian subsidiaries and a charge of $7 related to the settlement of a litigation matter related to Signode that arose prior to its acquisition by the Company in 2018.</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impairments and sales included gains of $13 related to asset sales partially offset by a charge of $6 related to a fire at a production facility in Asia.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Activity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Restructuring costs included $5 for termination benefits related to the closure of two beverage can plants in the Company's Asia Pacific segment, $12 of termination benefits related to other actions to reduce manufacturing capacity and headcount and other exit costs of $8 related to prior and current year restructuring actions.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costs / (income) of $2 included a benefit of $6 due to the favorable settlement of a litigation matter related to Mivisa that arose prior to its acquisition by the Company in 2014.</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 impairments and sales included asset impairment charges of $13 to write down the carrying value of fixed assets related to the closure of two beverage can plants in the Company's Asia Pacific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w w:val="89"/>
              </w:rPr>
              <w:t>Asset impairment and sales also includes gains on asset sales related to prior restructuring actions.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160" w:type="dxa"/>
            <w:vAlign w:val="bottom"/>
          </w:tcPr>
          <w:p>
            <w:pPr>
              <w:spacing w:after="0"/>
              <w:rPr>
                <w:sz w:val="20"/>
                <w:szCs w:val="20"/>
                <w:color w:val="auto"/>
              </w:rPr>
            </w:pPr>
            <w:r>
              <w:rPr>
                <w:rFonts w:ascii="Arial" w:cs="Arial" w:eastAsia="Arial" w:hAnsi="Arial"/>
                <w:sz w:val="18"/>
                <w:szCs w:val="18"/>
                <w:color w:val="auto"/>
              </w:rPr>
              <w:t>Transaction costs related to the acquisition of Signode.</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160" w:type="dxa"/>
            <w:vAlign w:val="bottom"/>
          </w:tcPr>
          <w:p>
            <w:pPr>
              <w:spacing w:after="0"/>
              <w:rPr>
                <w:sz w:val="20"/>
                <w:szCs w:val="20"/>
                <w:color w:val="auto"/>
              </w:rPr>
            </w:pPr>
            <w:r>
              <w:rPr>
                <w:rFonts w:ascii="Arial" w:cs="Arial" w:eastAsia="Arial" w:hAnsi="Arial"/>
                <w:sz w:val="18"/>
                <w:szCs w:val="18"/>
                <w:color w:val="auto"/>
              </w:rPr>
              <w:t>Restructuring charges by segment were as follows: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1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96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segments</w:t>
            </w: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6160" w:type="dxa"/>
            <w:vAlign w:val="bottom"/>
            <w:vMerge w:val="restart"/>
          </w:tcPr>
          <w:p>
            <w:pPr>
              <w:spacing w:after="0"/>
              <w:rPr>
                <w:sz w:val="20"/>
                <w:szCs w:val="20"/>
                <w:color w:val="auto"/>
              </w:rPr>
            </w:pPr>
            <w:r>
              <w:rPr>
                <w:rFonts w:ascii="Arial" w:cs="Arial" w:eastAsia="Arial" w:hAnsi="Arial"/>
                <w:sz w:val="18"/>
                <w:szCs w:val="18"/>
                <w:color w:val="auto"/>
              </w:rPr>
              <w:t>Restructuring charges by type were as follows:</w:t>
            </w: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6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benefits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exit costs</w:t>
            </w: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2020, the Company had a restructuring accrual of $20, primarily related to headcount reductions in its Transit Packaging and European divisions. The Company expects to pay these amounts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L.  Debt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Principal</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4"/>
              </w:rPr>
              <w:t>Carrying</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Principal</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amount</w:t>
            </w: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0"/>
              </w:rPr>
              <w:t>outstanding</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Borders>
              <w:top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7"/>
                <w:szCs w:val="17"/>
                <w:color w:val="auto"/>
              </w:rPr>
              <w:t>Short-term debt</w:t>
            </w: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121</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121</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Long-term debt</w:t>
            </w:r>
          </w:p>
        </w:tc>
        <w:tc>
          <w:tcPr>
            <w:tcW w:w="3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Senior secured borrowings: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 loan facilities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tcPr>
          <w:p>
            <w:pPr>
              <w:ind w:left="660"/>
              <w:spacing w:after="0"/>
              <w:rPr>
                <w:sz w:val="20"/>
                <w:szCs w:val="20"/>
                <w:color w:val="auto"/>
              </w:rPr>
            </w:pPr>
            <w:r>
              <w:rPr>
                <w:rFonts w:ascii="Arial" w:cs="Arial" w:eastAsia="Arial" w:hAnsi="Arial"/>
                <w:sz w:val="18"/>
                <w:szCs w:val="18"/>
                <w:color w:val="auto"/>
              </w:rPr>
              <w:t>U.S. dollar at LIBOR plus 1.5% due 2024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shd w:val="clear" w:color="auto" w:fill="CCEEFF"/>
          </w:tcPr>
          <w:p>
            <w:pPr>
              <w:ind w:left="660"/>
              <w:spacing w:after="0" w:line="230" w:lineRule="exact"/>
              <w:rPr>
                <w:sz w:val="20"/>
                <w:szCs w:val="20"/>
                <w:color w:val="auto"/>
              </w:rPr>
            </w:pPr>
            <w:r>
              <w:rPr>
                <w:rFonts w:ascii="Arial" w:cs="Arial" w:eastAsia="Arial" w:hAnsi="Arial"/>
                <w:sz w:val="18"/>
                <w:szCs w:val="18"/>
                <w:color w:val="auto"/>
              </w:rPr>
              <w:t>Euro at EURIBOR plus 1.5% due 2024</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Senior notes and debentures: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€650 at 4.0% due 2022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U. S. dollar at 4.50% due 2023</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€335 at 2.25% due 2023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€550 at 0.75% due 2023</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€600 at 2.625% due 2024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€600 at 3.375% due 2025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dollar at 4.25% due 2026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U.S. dollar at 4.75% due 2026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dollar at 7.375% due 2026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€500 at 2.875% due 2026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dollar at 7.50% due 2096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indebtedness in various currencies: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900" w:type="dxa"/>
            <w:vAlign w:val="bottom"/>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Fixed rate with rates in 2020 from 3.9% to 7.8% due through</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2026</w:t>
            </w:r>
          </w:p>
        </w:tc>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90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6"/>
              </w:rPr>
              <w:t>Variable rate with average rates in 2020 from 2.3% to 2.7%</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due through 2027</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long-term debt, less current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€317 and €450 at December 31, 2020 and 2019</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$8,617 at December 31, 2020 and $8,410 at December 31, 2019.</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facilities include provisions for letters of credit up to $310 that reduce the amount of borrowing capacity otherwise available. At December 31, 2020, the Company’s available borrowing capacity under the credit facilities was $1,585, equal to the facilities’ aggregate capacity of $1,650 less $65 of outstanding letters of credit. The interest rate on the facilities can vary from LIBOR or EURIBOR, with a floor of zero, plus a margin of up to 1.55%, depending on the facility, based on the Company's leverage ratio. The revolving credit facilities and term loan facilities require the Company to maintain a leverage ratio of no greater than 5.00 times at December 31, 2020. The Company was in compliance with all covenants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The weighted average interest rates were as follows: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7140" w:type="dxa"/>
            <w:vAlign w:val="bottom"/>
            <w:gridSpan w:val="2"/>
          </w:tcPr>
          <w:p>
            <w:pPr>
              <w:jc w:val="right"/>
              <w:ind w:righ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2"/>
                <w:szCs w:val="22"/>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facilities</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2.8 %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3.2 %</w:t>
            </w:r>
          </w:p>
        </w:tc>
      </w:tr>
    </w:tbl>
    <w:p>
      <w:pPr>
        <w:spacing w:after="0" w:line="3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Aggregate maturities of long-term debt, excluding unamortized discounts and debt issuance costs, for the five years subsequent to 2020 are $67, $901, $2,185, $1,966 and $743. Cash payments for interest during 2020, 2019 and 2018 were $302, $362 and $334.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Derivative and Other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reporting date. Level 2 includes inputs other than quoted prices in active markets included in Level 1, which are either directly or indirectly observable as of the reporting date. Level 3 includes unobservable pricing inputs that are not corroborated by market data or other objective sources. The Company has no items valued using Level 3 inputs other than certain pension plan assets.</w:t>
      </w:r>
    </w:p>
    <w:p>
      <w:pPr>
        <w:spacing w:after="0" w:line="21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184"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63">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as the underlying exposure.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release from accumulated other comprehensive income is the same as that of the underlying exposure. Contracts outstanding at December 31, 2020 mature between one and twenty-three months.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Company discontinues hedge accounting because it is no longer probable that an anticipated transaction will occur in the originally specified period, changes to fair value accumulated in other comprehensive income are recognized immediately in earnings.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commodity forwards to hedge anticipated purchases of various commodities, including aluminum, fuel oil and natural gas.</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June 2019, the Company entered into interest rate swaps to convert $200 of its U.S. dollar term loan facility from floating-rate to a fixed-rate of 1.82%.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interest rate swaps mature in June 2021.</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accumulated other comprehensive income ("AOCI") and earnings from changes in fair value related to derivative instruments designated as cash flow hedges.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designated as cash flow hedges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Commodities</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Arial" w:cs="Arial" w:eastAsia="Arial" w:hAnsi="Arial"/>
          <w:sz w:val="18"/>
          <w:szCs w:val="18"/>
          <w:color w:val="auto"/>
        </w:rPr>
        <w:t>Amount of gain / (loss) recognized in</w:t>
      </w:r>
    </w:p>
    <w:p>
      <w:pPr>
        <w:jc w:val="center"/>
        <w:ind w:right="4120"/>
        <w:spacing w:after="0"/>
        <w:rPr>
          <w:sz w:val="20"/>
          <w:szCs w:val="20"/>
          <w:color w:val="auto"/>
        </w:rPr>
      </w:pPr>
      <w:r>
        <w:rPr>
          <w:rFonts w:ascii="Arial" w:cs="Arial" w:eastAsia="Arial" w:hAnsi="Arial"/>
          <w:sz w:val="18"/>
          <w:szCs w:val="18"/>
          <w:color w:val="auto"/>
        </w:rPr>
        <w:t>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20231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2"/>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-334010</wp:posOffset>
            </wp:positionV>
            <wp:extent cx="450913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09135"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-633730</wp:posOffset>
            </wp:positionV>
            <wp:extent cx="450913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09135" cy="154305"/>
                    </a:xfrm>
                    <a:prstGeom prst="rect">
                      <a:avLst/>
                    </a:prstGeom>
                    <a:noFill/>
                  </pic:spPr>
                </pic:pic>
              </a:graphicData>
            </a:graphic>
          </wp:anchor>
        </w:drawing>
      </w:r>
    </w:p>
    <w:p>
      <w:pPr>
        <w:spacing w:after="0" w:line="234" w:lineRule="exact"/>
        <w:rPr>
          <w:sz w:val="20"/>
          <w:szCs w:val="20"/>
          <w:color w:val="auto"/>
        </w:rPr>
      </w:pPr>
    </w:p>
    <w:p>
      <w:pPr>
        <w:jc w:val="center"/>
        <w:ind w:right="4120"/>
        <w:spacing w:after="0"/>
        <w:rPr>
          <w:sz w:val="20"/>
          <w:szCs w:val="20"/>
          <w:color w:val="auto"/>
        </w:rPr>
      </w:pPr>
      <w:r>
        <w:rPr>
          <w:rFonts w:ascii="Arial" w:cs="Arial" w:eastAsia="Arial" w:hAnsi="Arial"/>
          <w:sz w:val="18"/>
          <w:szCs w:val="18"/>
          <w:color w:val="auto"/>
        </w:rPr>
        <w:t>Amount of loss reclassified from AOCI</w:t>
      </w:r>
    </w:p>
    <w:p>
      <w:pPr>
        <w:jc w:val="center"/>
        <w:ind w:right="4120"/>
        <w:spacing w:after="0"/>
        <w:rPr>
          <w:sz w:val="20"/>
          <w:szCs w:val="20"/>
          <w:color w:val="auto"/>
        </w:rPr>
      </w:pPr>
      <w:r>
        <w:rPr>
          <w:rFonts w:ascii="Arial" w:cs="Arial" w:eastAsia="Arial" w:hAnsi="Arial"/>
          <w:sz w:val="18"/>
          <w:szCs w:val="18"/>
          <w:color w:val="auto"/>
        </w:rPr>
        <w:t>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20231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200" w:space="720"/>
            <w:col w:w="73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340" w:type="dxa"/>
            <w:vAlign w:val="bottom"/>
          </w:tcPr>
          <w:p>
            <w:pPr>
              <w:spacing w:after="0"/>
              <w:rPr>
                <w:sz w:val="17"/>
                <w:szCs w:val="17"/>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7"/>
                <w:szCs w:val="17"/>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ind w:left="100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29"/>
        </w:trPr>
        <w:tc>
          <w:tcPr>
            <w:tcW w:w="39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tcPr>
          <w:p>
            <w:pPr>
              <w:ind w:left="10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2021, a net gain of $35 ($28, net of tax) is expected to be reclassified to earnings. No amounts were reclassified during the years ended December 31, 2020 and 2019 in connection with anticipated transactions that were no longer considered probable.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on earnings from foreign exchange contracts designated as fair value hedges was a gain of $27 for the year ended December 31, 2020 and a gain of $1 for the year ended December 31, 2019. These adjustments were reported within foreign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exchange in the Consolidated Statements of Operations and were offset by changes in the fair values of the related hedged items.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7"/>
          </w:tcPr>
          <w:p>
            <w:pPr>
              <w:spacing w:after="0"/>
              <w:rPr>
                <w:sz w:val="20"/>
                <w:szCs w:val="20"/>
                <w:color w:val="auto"/>
              </w:rPr>
            </w:pPr>
            <w:r>
              <w:rPr>
                <w:rFonts w:ascii="Arial" w:cs="Arial" w:eastAsia="Arial" w:hAnsi="Arial"/>
                <w:sz w:val="18"/>
                <w:szCs w:val="18"/>
                <w:color w:val="auto"/>
                <w:w w:val="92"/>
              </w:rPr>
              <w:t>The following table sets forth the impact on earnings from derivatives not designated as hedges.</w:t>
            </w:r>
          </w:p>
        </w:tc>
        <w:tc>
          <w:tcPr>
            <w:tcW w:w="1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02"/>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0"/>
              </w:rPr>
              <w:t>Pre-tax amount of gain / (loss) recognized</w:t>
            </w:r>
          </w:p>
        </w:tc>
        <w:tc>
          <w:tcPr>
            <w:tcW w:w="1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30"/>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0"/>
              </w:rPr>
              <w:t>in earnings</w:t>
            </w: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340" w:type="dxa"/>
            <w:vAlign w:val="bottom"/>
          </w:tcPr>
          <w:p>
            <w:pPr>
              <w:spacing w:after="0"/>
              <w:rPr>
                <w:sz w:val="19"/>
                <w:szCs w:val="19"/>
                <w:color w:val="auto"/>
              </w:rPr>
            </w:pPr>
          </w:p>
        </w:tc>
        <w:tc>
          <w:tcPr>
            <w:tcW w:w="1180" w:type="dxa"/>
            <w:vAlign w:val="bottom"/>
          </w:tcPr>
          <w:p>
            <w:pPr>
              <w:ind w:left="2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w w:val="94"/>
              </w:rPr>
              <w:t>Affected line item in the Statement of Operations</w:t>
            </w: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Cost of products sold</w:t>
            </w: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r>
      <w:tr>
        <w:trPr>
          <w:trHeight w:val="223"/>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designates certain debt and derivative instruments as net investment hedges to manage foreign currency risk relating to net investments in subsidiaries denominated in foreign currencies.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years ended December 31, 2020 and 2019, the Company recorded a loss of $1 ($1, net of tax) and a gain of $27 ($27, net of tax) in other comprehensive income for certain debt instruments that are designated as hedges of its net investment in a euro-based subsidiary. As of December 31, 2020, cumulative losses of $33 ($10, net of tax) were recognized in accumulated other comprehensive income related to these net investment hedges and the carrying amount of the hedged net investment was approximately €1,113 ($1,359) at December 31, 2020.</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2018, the Company entered into a series of cross-currency swaps with an aggregate notional value of $875. The swaps are designated as hedges of the Company's net investment in a euro-based subsidiary. Under the cross-currency contracts, the Company will receive semi-annual fixed U.S. dollar payments at a rate of 4.75% of the U.S. notional value and pay 1.84% on the euro notional value.</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May 2019, the Company entered into a cross-currency swap with an aggregate notional value of $200. The swap is designated as a hedge of the Company's net investment in a euro-based subsidiary. Under the cross-currency contract, the Company receives quarterly variable U.S. dollar payments at a rate of LIBOR plus a floating rate spread on the dollar notional value and pays EURIBOR plus a floating rate spread on the euro notional value. Gains or losses on net investment hedges remain in accumulated other comprehensive income until disposal of the underlying assets.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4"/>
              </w:rPr>
              <w:t>Amount of (loss) / gain recognized in AOCI</w:t>
            </w:r>
          </w:p>
        </w:tc>
      </w:tr>
      <w:tr>
        <w:trPr>
          <w:trHeight w:val="22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6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80" w:type="dxa"/>
            <w:vAlign w:val="bottom"/>
            <w:gridSpan w:val="4"/>
          </w:tcPr>
          <w:p>
            <w:pPr>
              <w:ind w:left="42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7"/>
                <w:szCs w:val="17"/>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7"/>
                <w:szCs w:val="17"/>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46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780" w:type="dxa"/>
            <w:vAlign w:val="bottom"/>
            <w:gridSpan w:val="2"/>
          </w:tcPr>
          <w:p>
            <w:pPr>
              <w:ind w:left="36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360" w:type="dxa"/>
            <w:vAlign w:val="bottom"/>
            <w:tcBorders>
              <w:top w:val="single" w:sz="8" w:color="auto"/>
              <w:bottom w:val="single" w:sz="8" w:color="auto"/>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w w:val="89"/>
              </w:rPr>
              <w:t>Derivatives designated as hedging instruments</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Arial" w:cs="Arial" w:eastAsia="Arial" w:hAnsi="Arial"/>
                <w:sz w:val="18"/>
                <w:szCs w:val="18"/>
                <w:color w:val="auto"/>
              </w:rPr>
              <w:t>Foreign exchange</w:t>
            </w:r>
          </w:p>
        </w:tc>
        <w:tc>
          <w:tcPr>
            <w:tcW w:w="1880" w:type="dxa"/>
            <w:vAlign w:val="bottom"/>
            <w:gridSpan w:val="4"/>
            <w:vMerge w:val="restart"/>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880" w:type="dxa"/>
            <w:vAlign w:val="bottom"/>
            <w:gridSpan w:val="4"/>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Arial" w:cs="Arial" w:eastAsia="Arial" w:hAnsi="Arial"/>
                <w:sz w:val="18"/>
                <w:szCs w:val="18"/>
                <w:color w:val="auto"/>
              </w:rPr>
              <w:t>Foreign exchange</w:t>
            </w:r>
          </w:p>
        </w:tc>
        <w:tc>
          <w:tcPr>
            <w:tcW w:w="1880" w:type="dxa"/>
            <w:vAlign w:val="bottom"/>
            <w:gridSpan w:val="4"/>
            <w:vMerge w:val="restart"/>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88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Commodities contracts</w:t>
            </w:r>
          </w:p>
        </w:tc>
        <w:tc>
          <w:tcPr>
            <w:tcW w:w="1880" w:type="dxa"/>
            <w:vAlign w:val="bottom"/>
            <w:gridSpan w:val="4"/>
            <w:vMerge w:val="restart"/>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880" w:type="dxa"/>
            <w:vAlign w:val="bottom"/>
            <w:gridSpan w:val="4"/>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Interest rate contracts</w:t>
            </w: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Arial" w:cs="Arial" w:eastAsia="Arial" w:hAnsi="Arial"/>
                <w:sz w:val="18"/>
                <w:szCs w:val="18"/>
                <w:color w:val="auto"/>
              </w:rPr>
              <w:t>Net investment hedge</w:t>
            </w: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6"/>
          </w:tcPr>
          <w:p>
            <w:pPr>
              <w:spacing w:after="0" w:line="169" w:lineRule="exact"/>
              <w:rPr>
                <w:sz w:val="20"/>
                <w:szCs w:val="20"/>
                <w:color w:val="auto"/>
              </w:rPr>
            </w:pPr>
            <w:r>
              <w:rPr>
                <w:rFonts w:ascii="Arial" w:cs="Arial" w:eastAsia="Arial" w:hAnsi="Arial"/>
                <w:sz w:val="18"/>
                <w:szCs w:val="18"/>
                <w:color w:val="auto"/>
              </w:rPr>
              <w:t>Derivatives not designated as hedging</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instruments</w:t>
            </w:r>
          </w:p>
        </w:tc>
        <w:tc>
          <w:tcPr>
            <w:tcW w:w="96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Foreign exchange</w:t>
            </w:r>
          </w:p>
        </w:tc>
        <w:tc>
          <w:tcPr>
            <w:tcW w:w="1880" w:type="dxa"/>
            <w:vAlign w:val="bottom"/>
            <w:gridSpan w:val="4"/>
            <w:vMerge w:val="restart"/>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w:t>
            </w:r>
          </w:p>
        </w:tc>
        <w:tc>
          <w:tcPr>
            <w:tcW w:w="1880" w:type="dxa"/>
            <w:vAlign w:val="bottom"/>
            <w:gridSpan w:val="4"/>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Arial" w:cs="Arial" w:eastAsia="Arial" w:hAnsi="Arial"/>
                <w:sz w:val="18"/>
                <w:szCs w:val="18"/>
                <w:color w:val="auto"/>
              </w:rPr>
              <w:t>Fair Value Hedge Carrying Amounts</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66"/>
        </w:trPr>
        <w:tc>
          <w:tcPr>
            <w:tcW w:w="266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Carrying amount of the hedged assets and</w:t>
            </w:r>
          </w:p>
        </w:tc>
      </w:tr>
      <w:tr>
        <w:trPr>
          <w:trHeight w:val="230"/>
        </w:trPr>
        <w:tc>
          <w:tcPr>
            <w:tcW w:w="2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w w:val="96"/>
              </w:rPr>
              <w:t>liabilities</w:t>
            </w:r>
          </w:p>
        </w:tc>
      </w:tr>
      <w:tr>
        <w:trPr>
          <w:trHeight w:val="223"/>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480" w:type="dxa"/>
            <w:vAlign w:val="bottom"/>
          </w:tcPr>
          <w:p>
            <w:pPr>
              <w:jc w:val="right"/>
              <w:spacing w:after="0"/>
              <w:rPr>
                <w:sz w:val="20"/>
                <w:szCs w:val="20"/>
                <w:color w:val="auto"/>
              </w:rPr>
            </w:pPr>
            <w:r>
              <w:rPr>
                <w:rFonts w:ascii="Arial" w:cs="Arial" w:eastAsia="Arial" w:hAnsi="Arial"/>
                <w:sz w:val="18"/>
                <w:szCs w:val="18"/>
                <w:color w:val="auto"/>
                <w:w w:val="91"/>
              </w:rPr>
              <w:t>December 31, 2020</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2"/>
              </w:rPr>
              <w:t>December 31, 2019</w:t>
            </w:r>
          </w:p>
        </w:tc>
      </w:tr>
      <w:tr>
        <w:trPr>
          <w:trHeight w:val="223"/>
        </w:trPr>
        <w:tc>
          <w:tcPr>
            <w:tcW w:w="7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Accrued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83</w:t>
            </w:r>
          </w:p>
        </w:tc>
      </w:tr>
    </w:tbl>
    <w:p>
      <w:pPr>
        <w:spacing w:after="0" w:line="336"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As of December 31, 2020 and 2019, the cumulative amounts of fair value hedging adjustments included in the carrying amount of the hedged assets and liabilities were net gains of $4 and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b w:val="1"/>
                <w:bCs w:val="1"/>
                <w:color w:val="auto"/>
                <w:w w:val="91"/>
              </w:rPr>
              <w:t>Crown Holdings, Inc.</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Gross amounts recognized in the</w:t>
            </w:r>
          </w:p>
        </w:tc>
        <w:tc>
          <w:tcPr>
            <w:tcW w:w="120" w:type="dxa"/>
            <w:vAlign w:val="bottom"/>
          </w:tcPr>
          <w:p>
            <w:pPr>
              <w:spacing w:after="0"/>
              <w:rPr>
                <w:sz w:val="24"/>
                <w:szCs w:val="24"/>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Gross amounts not offset in the</w:t>
            </w:r>
          </w:p>
        </w:tc>
        <w:tc>
          <w:tcPr>
            <w:tcW w:w="360" w:type="dxa"/>
            <w:vAlign w:val="bottom"/>
          </w:tcPr>
          <w:p>
            <w:pPr>
              <w:spacing w:after="0"/>
              <w:rPr>
                <w:sz w:val="24"/>
                <w:szCs w:val="24"/>
                <w:color w:val="auto"/>
              </w:rPr>
            </w:pPr>
          </w:p>
        </w:tc>
        <w:tc>
          <w:tcPr>
            <w:tcW w:w="1720" w:type="dxa"/>
            <w:vAlign w:val="bottom"/>
            <w:vMerge w:val="restart"/>
          </w:tcPr>
          <w:p>
            <w:pPr>
              <w:jc w:val="right"/>
              <w:ind w:right="53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gridSpan w:val="2"/>
          </w:tcPr>
          <w:p>
            <w:pPr>
              <w:ind w:left="300"/>
              <w:spacing w:after="0"/>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9"/>
                <w:szCs w:val="19"/>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Balance Sheet</w:t>
            </w:r>
          </w:p>
        </w:tc>
        <w:tc>
          <w:tcPr>
            <w:tcW w:w="3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Balance at December 31, 2020</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2019</w:t>
            </w:r>
          </w:p>
        </w:tc>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were: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color w:val="auto"/>
              </w:rPr>
              <w:t>December 31, 2020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1"/>
              </w:rPr>
              <w:t>December 31, 2019</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1,127</w:t>
            </w:r>
          </w:p>
        </w:tc>
        <w:tc>
          <w:tcPr>
            <w:tcW w:w="6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Commodities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Interest rate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r>
    </w:tbl>
    <w:p>
      <w:pPr>
        <w:spacing w:after="0" w:line="200" w:lineRule="exact"/>
        <w:rPr>
          <w:sz w:val="20"/>
          <w:szCs w:val="20"/>
          <w:color w:val="auto"/>
        </w:rPr>
      </w:pPr>
    </w:p>
    <w:p>
      <w:pPr>
        <w:spacing w:after="0" w:line="3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5"/>
          <w:szCs w:val="15"/>
          <w:b w:val="1"/>
          <w:bCs w:val="1"/>
          <w:color w:val="auto"/>
        </w:rPr>
        <w:t>Asbestos-Related Liabilities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w w:val="99"/>
              </w:rPr>
              <w:t>The Company's approximate claims activity for the years ended 2020, 2019 and 2018 was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7"/>
        </w:trPr>
        <w:tc>
          <w:tcPr>
            <w:tcW w:w="64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6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years ended December 31, 2020, 2019, and 2018, the Company made cash payments of $21, $22, and $21 to settle asbestos claims and pay related legal and defense costs.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each year, the Company performs an analysis of outstanding claims and categorizes by year of exposure and state filed.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December 31, 2019, the Company's outstanding claims were: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2"/>
          </w:tcPr>
          <w:p>
            <w:pPr>
              <w:ind w:left="8020"/>
              <w:spacing w:after="0"/>
              <w:rPr>
                <w:sz w:val="20"/>
                <w:szCs w:val="20"/>
                <w:color w:val="auto"/>
              </w:rPr>
            </w:pPr>
            <w:r>
              <w:rPr>
                <w:rFonts w:ascii="Arial" w:cs="Arial" w:eastAsia="Arial" w:hAnsi="Arial"/>
                <w:sz w:val="18"/>
                <w:szCs w:val="18"/>
                <w:color w:val="auto"/>
                <w:w w:val="84"/>
              </w:rPr>
              <w:t>2020</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16,500</w:t>
            </w:r>
          </w:p>
        </w:tc>
        <w:tc>
          <w:tcPr>
            <w:tcW w:w="6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Texas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80" w:type="dxa"/>
            <w:vAlign w:val="bottom"/>
            <w:gridSpan w:val="2"/>
          </w:tcPr>
          <w:p>
            <w:pPr>
              <w:ind w:left="360"/>
              <w:spacing w:after="0"/>
              <w:rPr>
                <w:sz w:val="20"/>
                <w:szCs w:val="20"/>
                <w:color w:val="auto"/>
              </w:rPr>
            </w:pPr>
            <w:r>
              <w:rPr>
                <w:rFonts w:ascii="Arial" w:cs="Arial" w:eastAsia="Arial" w:hAnsi="Arial"/>
                <w:sz w:val="18"/>
                <w:szCs w:val="18"/>
                <w:color w:val="auto"/>
              </w:rPr>
              <w:t>Pennsylvania</w:t>
            </w: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states that have enacted asbestos legislation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80" w:type="dxa"/>
            <w:vAlign w:val="bottom"/>
            <w:gridSpan w:val="2"/>
          </w:tcPr>
          <w:p>
            <w:pPr>
              <w:ind w:left="360"/>
              <w:spacing w:after="0"/>
              <w:rPr>
                <w:sz w:val="20"/>
                <w:szCs w:val="20"/>
                <w:color w:val="auto"/>
              </w:rPr>
            </w:pPr>
            <w:r>
              <w:rPr>
                <w:rFonts w:ascii="Arial" w:cs="Arial" w:eastAsia="Arial" w:hAnsi="Arial"/>
                <w:sz w:val="18"/>
                <w:szCs w:val="18"/>
                <w:color w:val="auto"/>
              </w:rPr>
              <w:t>Other states</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19,000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56,000</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the percentage of outstanding claims related to claimants alleging serious diseases (primarily mesothelioma and other malignancies)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460" w:type="dxa"/>
            <w:vAlign w:val="bottom"/>
          </w:tcPr>
          <w:p>
            <w:pPr>
              <w:jc w:val="right"/>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81% of the claims outstanding at the end of 2020 were filed by plaintiffs who do not claim a specific amount of damages or claim a minimum amount as established by court rules relating to jurisdiction; approximately 16% were filed by plaintiffs who claim damages of less than $5; approximately 3% were filed by plaintiffs who claim damages from $5 to less than $100 (36% of whom claim damages less than $25) and 14 claims were filed by plaintiffs who claim damages in excess of $100.</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the Company’s accrual for pending and future asbestos-related claims and related legal costs was $251, including $214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Commitments and Contingent Liabilities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along with others in most cases, has been identified by the EPA or a comparable state environmental agency as a Potentially Responsible Party (“PRP”) at a number of sites and has recorded aggregate accruals of $8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basic raw materials for its products are steel and aluminum,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P. Other Non-Current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Asbestos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Environmental</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Income taxes payable includes unrecognized tax benefits as discussed in </w:t>
      </w:r>
      <w:hyperlink w:anchor="page80">
        <w:r>
          <w:rPr>
            <w:rFonts w:ascii="Arial" w:cs="Arial" w:eastAsia="Arial" w:hAnsi="Arial"/>
            <w:sz w:val="18"/>
            <w:szCs w:val="18"/>
            <w:u w:val="single" w:color="auto"/>
            <w:color w:val="0000FF"/>
          </w:rPr>
          <w:t>Note R</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Pension and Other Postretirement Benefits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Pensions. </w:t>
      </w:r>
      <w:r>
        <w:rPr>
          <w:rFonts w:ascii="Arial" w:cs="Arial" w:eastAsia="Arial" w:hAnsi="Arial"/>
          <w:sz w:val="18"/>
          <w:szCs w:val="18"/>
          <w:color w:val="auto"/>
        </w:rPr>
        <w:t>The Company sponsors various pension plans covering certain U.S. and non-U.S. employees, and participates in certain multi-employer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benefits under the Company plans are based primarily on years of service and either the employees’ remuneration near retirement or a fixed dollar multiple.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4"/>
          </w:tcPr>
          <w:p>
            <w:pPr>
              <w:spacing w:after="0"/>
              <w:rPr>
                <w:sz w:val="20"/>
                <w:szCs w:val="20"/>
                <w:color w:val="auto"/>
              </w:rPr>
            </w:pPr>
            <w:r>
              <w:rPr>
                <w:rFonts w:ascii="Arial" w:cs="Arial" w:eastAsia="Arial" w:hAnsi="Arial"/>
                <w:sz w:val="18"/>
                <w:szCs w:val="18"/>
                <w:color w:val="auto"/>
              </w:rPr>
              <w:t>A measurement date of December 31 was used for all plans presented below.</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gridSpan w:val="4"/>
          </w:tcPr>
          <w:p>
            <w:pPr>
              <w:spacing w:after="0"/>
              <w:rPr>
                <w:sz w:val="20"/>
                <w:szCs w:val="20"/>
                <w:color w:val="auto"/>
              </w:rPr>
            </w:pPr>
            <w:r>
              <w:rPr>
                <w:rFonts w:ascii="Arial" w:cs="Arial" w:eastAsia="Arial" w:hAnsi="Arial"/>
                <w:sz w:val="18"/>
                <w:szCs w:val="18"/>
                <w:color w:val="auto"/>
              </w:rPr>
              <w:t>The components of pension expense were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U.S. Plans</w:t>
            </w: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Non-U.S. Plans</w:t>
            </w: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Curtailments</w:t>
            </w:r>
          </w:p>
        </w:tc>
        <w:tc>
          <w:tcPr>
            <w:tcW w:w="8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Amortization of actuarial loss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settlement charges in each year arose from the payment of lump sum buy-outs to settle certain pension obligations using plan assets.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incur additional settlement charges in 2021. The curtailment gain in 2019 was to recognize prior service credits that were previously recorded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in connection with the 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 non-U.S. defined benefit pension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Additional pension expense of $6 in 2020 and $5 in each of 2019 and 2018 was recognized for multi-employer plans.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projected benefit obligations, accumulated benefit obligations, plan assets and funded status of the Company's U.S. and non-U.S. plans were as follows: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340" w:type="dxa"/>
            <w:vAlign w:val="bottom"/>
            <w:gridSpan w:val="4"/>
          </w:tcPr>
          <w:p>
            <w:pPr>
              <w:ind w:left="620"/>
              <w:spacing w:after="0"/>
              <w:rPr>
                <w:sz w:val="20"/>
                <w:szCs w:val="20"/>
                <w:color w:val="auto"/>
              </w:rPr>
            </w:pPr>
            <w:r>
              <w:rPr>
                <w:rFonts w:ascii="Arial" w:cs="Arial" w:eastAsia="Arial" w:hAnsi="Arial"/>
                <w:sz w:val="18"/>
                <w:szCs w:val="18"/>
                <w:b w:val="1"/>
                <w:bCs w:val="1"/>
                <w:color w:val="auto"/>
                <w:w w:val="94"/>
              </w:rPr>
              <w:t>Crown Holdings, Inc.</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U.S. Plans</w:t>
            </w:r>
          </w:p>
        </w:tc>
        <w:tc>
          <w:tcPr>
            <w:tcW w:w="9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Non-U.S. Plans</w:t>
            </w:r>
          </w:p>
        </w:tc>
        <w:tc>
          <w:tcPr>
            <w:tcW w:w="86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r>
      <w:tr>
        <w:trPr>
          <w:trHeight w:val="169"/>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Projected Benefit Obligations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Benefit obligations at January 1</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1,440</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3,220</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Amendments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Curtailments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Benefit obligations at December 31</w:t>
            </w:r>
          </w:p>
        </w:tc>
        <w:tc>
          <w:tcPr>
            <w:tcW w:w="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4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w:t>
            </w:r>
          </w:p>
        </w:tc>
      </w:tr>
      <w:tr>
        <w:trPr>
          <w:trHeight w:val="169"/>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Plan Assets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Fair value of plan assets at January 1</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3,480</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Employer contributions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Fair value of plan assets at December 31</w:t>
            </w:r>
          </w:p>
        </w:tc>
        <w:tc>
          <w:tcPr>
            <w:tcW w:w="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4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w:t>
            </w:r>
          </w:p>
        </w:tc>
      </w:tr>
      <w:tr>
        <w:trPr>
          <w:trHeight w:val="196"/>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Funded status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Accumulated benefit obligations at December 31</w:t>
            </w:r>
          </w:p>
        </w:tc>
        <w:tc>
          <w:tcPr>
            <w:tcW w:w="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2020, actuarial losses for the Company’s U.S. and non-U.S. pension plans totaled $387. Actuarial gains and losses arise each year primarily due to changes in discount rates, differences in actual plan asset returns compared to expected returns, and changes in actuarial assumptions such as mortality. The loss in 2020 is primarily due to lower discount rates at the end of 2020 compared to 2019, partially offset by a gain of $268 primarily due to actual asset returns higher than expected returns.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U.S. pension plans with accumulated benefit obligations and projected benefit obligations in excess of plan assets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1,505</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1,445</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1,152</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Non-U.S. pension plans with accumulated benefit obligations in excess of plan assets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386</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Non-U.S. pension plans with projected benefit obligations in excess of plan assets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840" w:type="dxa"/>
            <w:vAlign w:val="bottom"/>
            <w:gridSpan w:val="2"/>
          </w:tcPr>
          <w:p>
            <w:pPr>
              <w:jc w:val="right"/>
              <w:ind w:right="1890"/>
              <w:spacing w:after="0"/>
              <w:rPr>
                <w:sz w:val="20"/>
                <w:szCs w:val="20"/>
                <w:color w:val="auto"/>
              </w:rPr>
            </w:pPr>
            <w:r>
              <w:rPr>
                <w:rFonts w:ascii="Arial" w:cs="Arial" w:eastAsia="Arial" w:hAnsi="Arial"/>
                <w:sz w:val="18"/>
                <w:szCs w:val="18"/>
                <w:b w:val="1"/>
                <w:bCs w:val="1"/>
                <w:color w:val="auto"/>
              </w:rPr>
              <w:t>Crown Holdings, Inc.</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0"/>
        </w:trPr>
        <w:tc>
          <w:tcPr>
            <w:tcW w:w="3580" w:type="dxa"/>
            <w:vAlign w:val="bottom"/>
          </w:tcPr>
          <w:p>
            <w:pPr>
              <w:spacing w:after="0"/>
              <w:rPr>
                <w:sz w:val="24"/>
                <w:szCs w:val="24"/>
                <w:color w:val="auto"/>
              </w:rPr>
            </w:pPr>
          </w:p>
        </w:tc>
        <w:tc>
          <w:tcPr>
            <w:tcW w:w="4840" w:type="dxa"/>
            <w:vAlign w:val="bottom"/>
            <w:gridSpan w:val="2"/>
          </w:tcPr>
          <w:p>
            <w:pPr>
              <w:jc w:val="right"/>
              <w:ind w:right="1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38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7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3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389</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 The assets of the plan are broadly diversified in terms of securities and security types in order to limit the potential of large losses from any one security.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The strategic ranges for asset allocation in the U.S. plans are as follows:</w:t>
            </w: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6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equities</w:t>
            </w:r>
          </w:p>
        </w:tc>
        <w:tc>
          <w:tcPr>
            <w:tcW w:w="1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39 %</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International equities</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12 %</w:t>
            </w:r>
          </w:p>
        </w:tc>
        <w:tc>
          <w:tcPr>
            <w:tcW w:w="560" w:type="dxa"/>
            <w:vAlign w:val="bottom"/>
          </w:tcPr>
          <w:p>
            <w:pPr>
              <w:ind w:left="200"/>
              <w:spacing w:after="0"/>
              <w:rPr>
                <w:sz w:val="20"/>
                <w:szCs w:val="20"/>
                <w:color w:val="auto"/>
              </w:rPr>
            </w:pPr>
            <w:r>
              <w:rPr>
                <w:rFonts w:ascii="Arial" w:cs="Arial" w:eastAsia="Arial" w:hAnsi="Arial"/>
                <w:sz w:val="18"/>
                <w:szCs w:val="18"/>
                <w:color w:val="auto"/>
              </w:rPr>
              <w:t>to</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16 %</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Balanced funds</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7 %</w:t>
            </w:r>
          </w:p>
        </w:tc>
        <w:tc>
          <w:tcPr>
            <w:tcW w:w="560" w:type="dxa"/>
            <w:vAlign w:val="bottom"/>
          </w:tcPr>
          <w:p>
            <w:pPr>
              <w:ind w:left="200"/>
              <w:spacing w:after="0"/>
              <w:rPr>
                <w:sz w:val="20"/>
                <w:szCs w:val="20"/>
                <w:color w:val="auto"/>
              </w:rPr>
            </w:pPr>
            <w:r>
              <w:rPr>
                <w:rFonts w:ascii="Arial" w:cs="Arial" w:eastAsia="Arial" w:hAnsi="Arial"/>
                <w:sz w:val="18"/>
                <w:szCs w:val="18"/>
                <w:color w:val="auto"/>
              </w:rPr>
              <w:t>to</w:t>
            </w: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7 %</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investment strategy in its U.K. plan, the largest non-U.S. plan, is designed to achieve a funding level of 100% within the next 6 years. The Company seeks to achieve this objective with a risk level commensurate with a 5% chance of the funding level falling between 4% and 7% in any one year. The strategic ranges for asset allocation in the U.K. plan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grade credit</w:t>
            </w:r>
          </w:p>
        </w:tc>
        <w:tc>
          <w:tcPr>
            <w:tcW w:w="3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30 %</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0 %</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funds</w:t>
            </w:r>
          </w:p>
        </w:tc>
        <w:tc>
          <w:tcPr>
            <w:tcW w:w="3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0 %</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0 %</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credit</w:t>
            </w:r>
          </w:p>
        </w:tc>
        <w:tc>
          <w:tcPr>
            <w:tcW w:w="3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0 %</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0 %</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30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 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 Investments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Investments</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Measured Using NAV per Share Practical Expedient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2020 and 2019 are summarized in the tables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91"/>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3"/>
              </w:rPr>
              <w:t>Non-U.S. plan</w:t>
            </w:r>
          </w:p>
        </w:tc>
        <w:tc>
          <w:tcPr>
            <w:tcW w:w="320" w:type="dxa"/>
            <w:vAlign w:val="bottom"/>
          </w:tcPr>
          <w:p>
            <w:pPr>
              <w:spacing w:after="0"/>
              <w:rPr>
                <w:sz w:val="14"/>
                <w:szCs w:val="14"/>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Level 1</w:t>
            </w:r>
          </w:p>
        </w:tc>
        <w:tc>
          <w:tcPr>
            <w:tcW w:w="6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large cap equity</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U.S. large cap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mid/small cap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Mutual funds – global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 U.S.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Mutual funds – fixed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gridSpan w:val="3"/>
          </w:tcPr>
          <w:p>
            <w:pPr>
              <w:spacing w:after="0" w:line="169" w:lineRule="exact"/>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issued debt securities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Structured debt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fixed income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Investment funds – global equity</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gridSpan w:val="3"/>
          </w:tcPr>
          <w:p>
            <w:pPr>
              <w:spacing w:after="0" w:line="169" w:lineRule="exact"/>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real estate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Real estate – direct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 in fair value hierarchy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Investments measured at NAV Practical Expedient (a)</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Investment funds – fixed income</w:t>
            </w:r>
          </w:p>
        </w:tc>
        <w:tc>
          <w:tcPr>
            <w:tcW w:w="27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global equity</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Investment funds – emerging markets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91"/>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3"/>
              </w:rPr>
              <w:t>Non-U.S. plan</w:t>
            </w:r>
          </w:p>
        </w:tc>
        <w:tc>
          <w:tcPr>
            <w:tcW w:w="320" w:type="dxa"/>
            <w:vAlign w:val="bottom"/>
          </w:tcPr>
          <w:p>
            <w:pPr>
              <w:spacing w:after="0"/>
              <w:rPr>
                <w:sz w:val="14"/>
                <w:szCs w:val="14"/>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Arial" w:cs="Arial" w:eastAsia="Arial" w:hAnsi="Arial"/>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Structured debt</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Level 3</w:t>
            </w:r>
          </w:p>
        </w:tc>
        <w:tc>
          <w:tcPr>
            <w:tcW w:w="3780" w:type="dxa"/>
            <w:vAlign w:val="bottom"/>
            <w:tcBorders>
              <w:bottom w:val="single" w:sz="8" w:color="CCEEFF"/>
            </w:tcBorders>
            <w:gridSpan w:val="2"/>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Investment funds – real estate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Private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 direct</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 in fair value hierarchy</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Arial" w:cs="Arial" w:eastAsia="Arial" w:hAnsi="Arial"/>
                <w:sz w:val="18"/>
                <w:szCs w:val="18"/>
                <w:color w:val="auto"/>
              </w:rPr>
              <w:t>Investments measured at NAV Practical Expedient (a)</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Total investments at fair value</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 Certain investments that are measured at fair value using the NAV per share practical expedient have not been classified in the fair value hierarchy.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Accrued income excluded from the tables above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8"/>
                <w:szCs w:val="18"/>
                <w:color w:val="auto"/>
              </w:rPr>
            </w:pPr>
          </w:p>
        </w:tc>
      </w:tr>
      <w:tr>
        <w:trPr>
          <w:trHeight w:val="21"/>
        </w:trPr>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 assets</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Non-U.S. plan assets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Plan assets include $323 and $244 of the Company’s common stock at December 31, 2020 and 2019.</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80" w:type="dxa"/>
            <w:vAlign w:val="bottom"/>
            <w:gridSpan w:val="4"/>
          </w:tcPr>
          <w:p>
            <w:pPr>
              <w:ind w:left="800"/>
              <w:spacing w:after="0"/>
              <w:rPr>
                <w:sz w:val="20"/>
                <w:szCs w:val="20"/>
                <w:color w:val="auto"/>
              </w:rPr>
            </w:pPr>
            <w:r>
              <w:rPr>
                <w:rFonts w:ascii="Arial" w:cs="Arial" w:eastAsia="Arial" w:hAnsi="Arial"/>
                <w:sz w:val="18"/>
                <w:szCs w:val="18"/>
                <w:b w:val="1"/>
                <w:bCs w:val="1"/>
                <w:color w:val="auto"/>
              </w:rPr>
              <w:t>Crown Holdings, Inc.</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0140" w:type="dxa"/>
            <w:vAlign w:val="bottom"/>
            <w:gridSpan w:val="12"/>
          </w:tcPr>
          <w:p>
            <w:pPr>
              <w:spacing w:after="0"/>
              <w:rPr>
                <w:sz w:val="20"/>
                <w:szCs w:val="20"/>
                <w:color w:val="auto"/>
              </w:rPr>
            </w:pPr>
            <w:r>
              <w:rPr>
                <w:rFonts w:ascii="Arial" w:cs="Arial" w:eastAsia="Arial" w:hAnsi="Arial"/>
                <w:sz w:val="18"/>
                <w:szCs w:val="18"/>
                <w:color w:val="auto"/>
                <w:w w:val="91"/>
              </w:rPr>
              <w:t>The following tables reconcile the beginning and ending balances of plan assets measured using significant unobservable inputs (Level 3).</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86"/>
              </w:rPr>
              <w:t>Hedge</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2"/>
              </w:rPr>
              <w:t>Private</w:t>
            </w:r>
          </w:p>
        </w:tc>
        <w:tc>
          <w:tcPr>
            <w:tcW w:w="280" w:type="dxa"/>
            <w:vAlign w:val="bottom"/>
          </w:tcPr>
          <w:p>
            <w:pPr>
              <w:spacing w:after="0"/>
              <w:rPr>
                <w:sz w:val="17"/>
                <w:szCs w:val="17"/>
                <w:color w:val="auto"/>
              </w:rPr>
            </w:pPr>
          </w:p>
        </w:tc>
        <w:tc>
          <w:tcPr>
            <w:tcW w:w="118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w w:val="91"/>
              </w:rPr>
              <w:t>Real</w:t>
            </w:r>
          </w:p>
        </w:tc>
        <w:tc>
          <w:tcPr>
            <w:tcW w:w="320" w:type="dxa"/>
            <w:vAlign w:val="bottom"/>
          </w:tcPr>
          <w:p>
            <w:pPr>
              <w:spacing w:after="0"/>
              <w:rPr>
                <w:sz w:val="17"/>
                <w:szCs w:val="17"/>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funds</w:t>
            </w:r>
          </w:p>
        </w:tc>
        <w:tc>
          <w:tcPr>
            <w:tcW w:w="2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equity</w:t>
            </w:r>
          </w:p>
        </w:tc>
        <w:tc>
          <w:tcPr>
            <w:tcW w:w="28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estate</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returns – assets held at reporting date</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Asset returns – assets sold during the period</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net</w:t>
            </w:r>
          </w:p>
        </w:tc>
        <w:tc>
          <w:tcPr>
            <w:tcW w:w="1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Asset returns – assets held at reporting date</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returns – assets sold during the period</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sales and settlements, net</w:t>
            </w:r>
          </w:p>
        </w:tc>
        <w:tc>
          <w:tcPr>
            <w:tcW w:w="1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the pension plan assets valued using net asset value as a practical expedient:</w:t>
      </w:r>
    </w:p>
    <w:p>
      <w:pPr>
        <w:spacing w:after="0" w:line="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Redemption Notice</w:t>
      </w:r>
    </w:p>
    <w:tbl>
      <w:tblPr>
        <w:tblLayout w:type="fixed"/>
        <w:tblInd w:w="0" w:type="dxa"/>
        <w:tblCellMar>
          <w:top w:w="0" w:type="dxa"/>
          <w:left w:w="0" w:type="dxa"/>
          <w:bottom w:w="0" w:type="dxa"/>
          <w:right w:w="0" w:type="dxa"/>
        </w:tblCellMar>
      </w:tblPr>
      <w:tr>
        <w:trPr>
          <w:trHeight w:val="214"/>
        </w:trPr>
        <w:tc>
          <w:tcPr>
            <w:tcW w:w="3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4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Redemption Frequency</w:t>
            </w: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Period</w:t>
            </w: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1- 5 days</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141</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Monthly</w:t>
            </w:r>
          </w:p>
        </w:tc>
        <w:tc>
          <w:tcPr>
            <w:tcW w:w="1560" w:type="dxa"/>
            <w:vAlign w:val="bottom"/>
          </w:tcPr>
          <w:p>
            <w:pPr>
              <w:jc w:val="right"/>
              <w:spacing w:after="0"/>
              <w:rPr>
                <w:sz w:val="20"/>
                <w:szCs w:val="20"/>
                <w:color w:val="auto"/>
              </w:rPr>
            </w:pPr>
            <w:r>
              <w:rPr>
                <w:rFonts w:ascii="Arial" w:cs="Arial" w:eastAsia="Arial" w:hAnsi="Arial"/>
                <w:sz w:val="18"/>
                <w:szCs w:val="18"/>
                <w:color w:val="auto"/>
              </w:rPr>
              <w:t>1 - 15 days</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Daily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Hedge funds</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Monthly</w:t>
            </w:r>
          </w:p>
        </w:tc>
        <w:tc>
          <w:tcPr>
            <w:tcW w:w="1560" w:type="dxa"/>
            <w:vAlign w:val="bottom"/>
          </w:tcPr>
          <w:p>
            <w:pPr>
              <w:jc w:val="right"/>
              <w:spacing w:after="0"/>
              <w:rPr>
                <w:sz w:val="20"/>
                <w:szCs w:val="20"/>
                <w:color w:val="auto"/>
              </w:rPr>
            </w:pPr>
            <w:r>
              <w:rPr>
                <w:rFonts w:ascii="Arial" w:cs="Arial" w:eastAsia="Arial" w:hAnsi="Arial"/>
                <w:sz w:val="18"/>
                <w:szCs w:val="18"/>
                <w:color w:val="auto"/>
              </w:rPr>
              <w:t>1 - 30 days</w:t>
            </w:r>
          </w:p>
        </w:tc>
      </w:tr>
      <w:tr>
        <w:trPr>
          <w:trHeight w:val="203"/>
        </w:trPr>
        <w:tc>
          <w:tcPr>
            <w:tcW w:w="3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1- 5 days</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Monthly</w:t>
            </w:r>
          </w:p>
        </w:tc>
        <w:tc>
          <w:tcPr>
            <w:tcW w:w="1560" w:type="dxa"/>
            <w:vAlign w:val="bottom"/>
          </w:tcPr>
          <w:p>
            <w:pPr>
              <w:jc w:val="right"/>
              <w:spacing w:after="0"/>
              <w:rPr>
                <w:sz w:val="20"/>
                <w:szCs w:val="20"/>
                <w:color w:val="auto"/>
              </w:rPr>
            </w:pPr>
            <w:r>
              <w:rPr>
                <w:rFonts w:ascii="Arial" w:cs="Arial" w:eastAsia="Arial" w:hAnsi="Arial"/>
                <w:sz w:val="18"/>
                <w:szCs w:val="18"/>
                <w:color w:val="auto"/>
              </w:rPr>
              <w:t>1 - 15 days</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Daily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Hedge funds</w:t>
            </w:r>
          </w:p>
        </w:tc>
        <w:tc>
          <w:tcPr>
            <w:tcW w:w="16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328</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Monthly</w:t>
            </w:r>
          </w:p>
        </w:tc>
        <w:tc>
          <w:tcPr>
            <w:tcW w:w="1560" w:type="dxa"/>
            <w:vAlign w:val="bottom"/>
          </w:tcPr>
          <w:p>
            <w:pPr>
              <w:jc w:val="right"/>
              <w:spacing w:after="0"/>
              <w:rPr>
                <w:sz w:val="20"/>
                <w:szCs w:val="20"/>
                <w:color w:val="auto"/>
              </w:rPr>
            </w:pPr>
            <w:r>
              <w:rPr>
                <w:rFonts w:ascii="Arial" w:cs="Arial" w:eastAsia="Arial" w:hAnsi="Arial"/>
                <w:sz w:val="18"/>
                <w:szCs w:val="18"/>
                <w:color w:val="auto"/>
              </w:rPr>
              <w:t>1 - 30 days</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assets valued using net asset value as a practical expedient do not have any unfunded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Pension assets and liabilities included in the Consolidated Balance Sheets were:</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76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current liability at December 31, 2020, represents the expected required payments to be made for unfunded plans over the next twelve months. Total estimated 2021 employer contributions are $22 for the Company’s pension plans.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8"/>
          </w:tcPr>
          <w:p>
            <w:pPr>
              <w:spacing w:after="0"/>
              <w:rPr>
                <w:sz w:val="20"/>
                <w:szCs w:val="20"/>
                <w:color w:val="auto"/>
              </w:rPr>
            </w:pPr>
            <w:r>
              <w:rPr>
                <w:rFonts w:ascii="Arial" w:cs="Arial" w:eastAsia="Arial" w:hAnsi="Arial"/>
                <w:sz w:val="18"/>
                <w:szCs w:val="18"/>
                <w:color w:val="auto"/>
                <w:w w:val="90"/>
              </w:rPr>
              <w:t>Changes in the net loss and prior service cost (credit) for the Company’s pension plans were: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4"/>
                <w:szCs w:val="14"/>
                <w:color w:val="auto"/>
              </w:rPr>
            </w:pPr>
          </w:p>
        </w:tc>
        <w:tc>
          <w:tcPr>
            <w:tcW w:w="88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4"/>
              </w:rPr>
              <w:t>Prior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4"/>
                <w:szCs w:val="14"/>
                <w:color w:val="auto"/>
              </w:rPr>
            </w:pPr>
          </w:p>
        </w:tc>
        <w:tc>
          <w:tcPr>
            <w:tcW w:w="90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4"/>
              </w:rPr>
              <w:t>Prior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4"/>
                <w:szCs w:val="14"/>
                <w:color w:val="auto"/>
              </w:rPr>
            </w:pPr>
          </w:p>
        </w:tc>
        <w:tc>
          <w:tcPr>
            <w:tcW w:w="88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Prior</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service</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service</w:t>
            </w: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w w:val="98"/>
              </w:rPr>
              <w:t>service</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Reclassification to net periodic benefit cost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gain /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as of December 31, 2020 are: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100" w:type="dxa"/>
            <w:vAlign w:val="bottom"/>
          </w:tcPr>
          <w:p>
            <w:pPr>
              <w:jc w:val="center"/>
              <w:ind w:left="370"/>
              <w:spacing w:after="0"/>
              <w:rPr>
                <w:sz w:val="20"/>
                <w:szCs w:val="20"/>
                <w:color w:val="auto"/>
              </w:rPr>
            </w:pPr>
            <w:r>
              <w:rPr>
                <w:rFonts w:ascii="Arial" w:cs="Arial" w:eastAsia="Arial" w:hAnsi="Arial"/>
                <w:sz w:val="18"/>
                <w:szCs w:val="18"/>
                <w:color w:val="auto"/>
                <w:w w:val="91"/>
              </w:rPr>
              <w:t>U.S.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Non-U.S.</w:t>
            </w:r>
          </w:p>
        </w:tc>
      </w:tr>
      <w:tr>
        <w:trPr>
          <w:trHeight w:val="229"/>
        </w:trPr>
        <w:tc>
          <w:tcPr>
            <w:tcW w:w="43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8"/>
              </w:rPr>
              <w:t>plans</w:t>
            </w: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plans</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429</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w:t>
            </w:r>
          </w:p>
        </w:tc>
      </w:tr>
    </w:tbl>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6"/>
          </w:tcPr>
          <w:p>
            <w:pPr>
              <w:spacing w:after="0"/>
              <w:rPr>
                <w:sz w:val="20"/>
                <w:szCs w:val="20"/>
                <w:color w:val="auto"/>
              </w:rPr>
            </w:pPr>
            <w:r>
              <w:rPr>
                <w:rFonts w:ascii="Arial" w:cs="Arial" w:eastAsia="Arial" w:hAnsi="Arial"/>
                <w:sz w:val="18"/>
                <w:szCs w:val="18"/>
                <w:color w:val="auto"/>
                <w:w w:val="91"/>
              </w:rPr>
              <w:t>The weighted average actuarial assumptions used to calculate the benefit obligations at December 31 were: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U.S. Plans</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20" w:type="dxa"/>
            <w:vAlign w:val="bottom"/>
          </w:tcPr>
          <w:p>
            <w:pPr>
              <w:spacing w:after="0"/>
              <w:rPr>
                <w:sz w:val="20"/>
                <w:szCs w:val="20"/>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566"/>
        </w:trPr>
        <w:tc>
          <w:tcPr>
            <w:tcW w:w="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Non-U.S. Plans</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20" w:type="dxa"/>
            <w:vAlign w:val="bottom"/>
          </w:tcPr>
          <w:p>
            <w:pPr>
              <w:spacing w:after="0"/>
              <w:rPr>
                <w:sz w:val="20"/>
                <w:szCs w:val="20"/>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566"/>
        </w:trPr>
        <w:tc>
          <w:tcPr>
            <w:tcW w:w="7860" w:type="dxa"/>
            <w:vAlign w:val="bottom"/>
            <w:gridSpan w:val="6"/>
          </w:tcPr>
          <w:p>
            <w:pPr>
              <w:spacing w:after="0"/>
              <w:rPr>
                <w:sz w:val="20"/>
                <w:szCs w:val="20"/>
                <w:color w:val="auto"/>
              </w:rPr>
            </w:pPr>
            <w:r>
              <w:rPr>
                <w:rFonts w:ascii="Arial" w:cs="Arial" w:eastAsia="Arial" w:hAnsi="Arial"/>
                <w:sz w:val="18"/>
                <w:szCs w:val="18"/>
                <w:color w:val="auto"/>
                <w:w w:val="98"/>
              </w:rPr>
              <w:t>The weighted average actuarial assumptions used to calculate pension expense for each year were: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U.S. Plans</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 - service cost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Discount rate - interest cost</w:t>
            </w:r>
          </w:p>
        </w:tc>
        <w:tc>
          <w:tcPr>
            <w:tcW w:w="16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20" w:type="dxa"/>
            <w:vAlign w:val="bottom"/>
          </w:tcPr>
          <w:p>
            <w:pPr>
              <w:spacing w:after="0"/>
              <w:rPr>
                <w:sz w:val="20"/>
                <w:szCs w:val="20"/>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Long-term rate of return</w:t>
            </w:r>
          </w:p>
        </w:tc>
        <w:tc>
          <w:tcPr>
            <w:tcW w:w="160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539"/>
        </w:trPr>
        <w:tc>
          <w:tcPr>
            <w:tcW w:w="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Non-U.S. Plans</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 - service cost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Discount rate - interest cost</w:t>
            </w:r>
          </w:p>
        </w:tc>
        <w:tc>
          <w:tcPr>
            <w:tcW w:w="16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20" w:type="dxa"/>
            <w:vAlign w:val="bottom"/>
          </w:tcPr>
          <w:p>
            <w:pPr>
              <w:spacing w:after="0"/>
              <w:rPr>
                <w:sz w:val="20"/>
                <w:szCs w:val="20"/>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Long-term rate of return</w:t>
            </w:r>
          </w:p>
        </w:tc>
        <w:tc>
          <w:tcPr>
            <w:tcW w:w="16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4.4 %</w:t>
            </w:r>
          </w:p>
        </w:tc>
      </w:tr>
    </w:tbl>
    <w:p>
      <w:pPr>
        <w:spacing w:after="0" w:line="33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Postretirement Benefit Plans. </w:t>
      </w:r>
      <w:r>
        <w:rPr>
          <w:rFonts w:ascii="Arial" w:cs="Arial" w:eastAsia="Arial" w:hAnsi="Arial"/>
          <w:sz w:val="18"/>
          <w:szCs w:val="18"/>
          <w:color w:val="auto"/>
        </w:rPr>
        <w:t>The Company sponsors unfunded plans to provide health care and life insurance benefits to certain pensioners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3"/>
          </w:tcPr>
          <w:p>
            <w:pPr>
              <w:spacing w:after="0"/>
              <w:rPr>
                <w:sz w:val="20"/>
                <w:szCs w:val="20"/>
                <w:color w:val="auto"/>
              </w:rPr>
            </w:pPr>
            <w:r>
              <w:rPr>
                <w:rFonts w:ascii="Arial" w:cs="Arial" w:eastAsia="Arial" w:hAnsi="Arial"/>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Postretirement Benefits</w:t>
            </w: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actuarial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credit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Changes in the benefit obligations were: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w w:val="94"/>
              </w:rPr>
              <w:t>2019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obligations at January 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Benefit obligations at December 31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0" w:type="dxa"/>
            <w:vAlign w:val="bottom"/>
            <w:gridSpan w:val="12"/>
            <w:vMerge w:val="restart"/>
          </w:tcPr>
          <w:p>
            <w:pPr>
              <w:spacing w:after="0"/>
              <w:rPr>
                <w:sz w:val="20"/>
                <w:szCs w:val="20"/>
                <w:color w:val="auto"/>
              </w:rPr>
            </w:pPr>
            <w:r>
              <w:rPr>
                <w:rFonts w:ascii="Arial" w:cs="Arial" w:eastAsia="Arial" w:hAnsi="Arial"/>
                <w:sz w:val="18"/>
                <w:szCs w:val="18"/>
                <w:color w:val="auto"/>
                <w:w w:val="94"/>
              </w:rPr>
              <w:t>Changes in the net loss and prior service credit for the Company’s postretirement benefit plans were:</w:t>
            </w: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60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Net</w:t>
            </w:r>
          </w:p>
        </w:tc>
        <w:tc>
          <w:tcPr>
            <w:tcW w:w="220" w:type="dxa"/>
            <w:vAlign w:val="bottom"/>
          </w:tcPr>
          <w:p>
            <w:pPr>
              <w:spacing w:after="0"/>
              <w:rPr>
                <w:sz w:val="14"/>
                <w:szCs w:val="14"/>
                <w:color w:val="auto"/>
              </w:rPr>
            </w:pPr>
          </w:p>
        </w:tc>
        <w:tc>
          <w:tcPr>
            <w:tcW w:w="900" w:type="dxa"/>
            <w:vAlign w:val="bottom"/>
            <w:gridSpan w:val="2"/>
          </w:tcPr>
          <w:p>
            <w:pPr>
              <w:jc w:val="right"/>
              <w:ind w:right="310"/>
              <w:spacing w:after="0" w:line="169" w:lineRule="exact"/>
              <w:rPr>
                <w:sz w:val="20"/>
                <w:szCs w:val="20"/>
                <w:color w:val="auto"/>
              </w:rPr>
            </w:pPr>
            <w:r>
              <w:rPr>
                <w:rFonts w:ascii="Arial" w:cs="Arial" w:eastAsia="Arial" w:hAnsi="Arial"/>
                <w:sz w:val="18"/>
                <w:szCs w:val="18"/>
                <w:color w:val="auto"/>
              </w:rPr>
              <w:t>Prior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ind w:left="160"/>
              <w:spacing w:after="0" w:line="169" w:lineRule="exact"/>
              <w:rPr>
                <w:sz w:val="20"/>
                <w:szCs w:val="20"/>
                <w:color w:val="auto"/>
              </w:rPr>
            </w:pPr>
            <w:r>
              <w:rPr>
                <w:rFonts w:ascii="Arial" w:cs="Arial" w:eastAsia="Arial" w:hAnsi="Arial"/>
                <w:sz w:val="18"/>
                <w:szCs w:val="18"/>
                <w:color w:val="auto"/>
              </w:rPr>
              <w:t>Net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4"/>
              </w:rPr>
              <w:t>Prior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4"/>
          </w:tcPr>
          <w:p>
            <w:pPr>
              <w:jc w:val="right"/>
              <w:spacing w:after="0" w:line="169" w:lineRule="exact"/>
              <w:rPr>
                <w:sz w:val="20"/>
                <w:szCs w:val="20"/>
                <w:color w:val="auto"/>
              </w:rPr>
            </w:pPr>
            <w:r>
              <w:rPr>
                <w:rFonts w:ascii="Arial" w:cs="Arial" w:eastAsia="Arial" w:hAnsi="Arial"/>
                <w:sz w:val="18"/>
                <w:szCs w:val="18"/>
                <w:color w:val="auto"/>
                <w:w w:val="85"/>
              </w:rPr>
              <w:t>Net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Prior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loss</w:t>
            </w:r>
          </w:p>
        </w:tc>
        <w:tc>
          <w:tcPr>
            <w:tcW w:w="220" w:type="dxa"/>
            <w:vAlign w:val="bottom"/>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19"/>
                <w:szCs w:val="19"/>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service</w:t>
            </w:r>
          </w:p>
        </w:tc>
        <w:tc>
          <w:tcPr>
            <w:tcW w:w="6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service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Reclassification to net periodic benefit cost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9"/>
              </w:rPr>
              <w:t>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gain /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Expected future benefit payments are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gridSpan w:val="6"/>
          </w:tcPr>
          <w:p>
            <w:pPr>
              <w:jc w:val="right"/>
              <w:ind w:right="460"/>
              <w:spacing w:after="0"/>
              <w:rPr>
                <w:sz w:val="20"/>
                <w:szCs w:val="20"/>
                <w:color w:val="auto"/>
              </w:rPr>
            </w:pPr>
            <w:r>
              <w:rPr>
                <w:rFonts w:ascii="Arial" w:cs="Arial" w:eastAsia="Arial" w:hAnsi="Arial"/>
                <w:sz w:val="18"/>
                <w:szCs w:val="18"/>
                <w:color w:val="auto"/>
              </w:rPr>
              <w:t>Benefit Payments</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6480" w:type="dxa"/>
            <w:vAlign w:val="bottom"/>
            <w:gridSpan w:val="8"/>
          </w:tcPr>
          <w:p>
            <w:pPr>
              <w:spacing w:after="0"/>
              <w:rPr>
                <w:sz w:val="20"/>
                <w:szCs w:val="20"/>
                <w:color w:val="auto"/>
              </w:rPr>
            </w:pPr>
            <w:r>
              <w:rPr>
                <w:rFonts w:ascii="Arial" w:cs="Arial" w:eastAsia="Arial" w:hAnsi="Arial"/>
                <w:sz w:val="18"/>
                <w:szCs w:val="18"/>
                <w:color w:val="auto"/>
                <w:w w:val="99"/>
              </w:rPr>
              <w:t>The assumed health care cost trend rates at December 31, 2020 were as follows: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2020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Rate that the cost trend rate gradually declines to</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Year that the rate reaches the rate it is assumed to remain</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11180" w:type="dxa"/>
            <w:vAlign w:val="bottom"/>
            <w:gridSpan w:val="27"/>
          </w:tcPr>
          <w:p>
            <w:pPr>
              <w:spacing w:after="0"/>
              <w:rPr>
                <w:sz w:val="20"/>
                <w:szCs w:val="20"/>
                <w:color w:val="auto"/>
              </w:rPr>
            </w:pPr>
            <w:r>
              <w:rPr>
                <w:rFonts w:ascii="Arial" w:cs="Arial" w:eastAsia="Arial" w:hAnsi="Arial"/>
                <w:sz w:val="18"/>
                <w:szCs w:val="18"/>
                <w:color w:val="auto"/>
                <w:w w:val="96"/>
              </w:rPr>
              <w:t>Weighted average discount rates used to calculate the benefit obligations at the end of each year and the cost for each year are presented below.</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2.8 %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3.5 %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w w:val="91"/>
              </w:rPr>
              <w:t>4.1 %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4.8 %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3.3 %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Defined Contribution Benefit Plans. </w:t>
      </w:r>
      <w:r>
        <w:rPr>
          <w:rFonts w:ascii="Arial" w:cs="Arial" w:eastAsia="Arial" w:hAnsi="Arial"/>
          <w:sz w:val="18"/>
          <w:szCs w:val="18"/>
          <w:color w:val="auto"/>
        </w:rPr>
        <w:t>The Company also sponsors defined contribution benefit plans in certain jurisdictions including the U.S.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U.K. In 2020, the Company recognized expense of $13 related to these plans.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Crown Holdings, Inc.</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4740" w:type="dxa"/>
            <w:vAlign w:val="bottom"/>
          </w:tcPr>
          <w:p>
            <w:pPr>
              <w:spacing w:after="0"/>
              <w:rPr>
                <w:sz w:val="20"/>
                <w:szCs w:val="20"/>
                <w:color w:val="auto"/>
              </w:rPr>
            </w:pPr>
            <w:r>
              <w:rPr>
                <w:rFonts w:ascii="Arial" w:cs="Arial" w:eastAsia="Arial" w:hAnsi="Arial"/>
                <w:sz w:val="18"/>
                <w:szCs w:val="18"/>
                <w:b w:val="1"/>
                <w:bCs w:val="1"/>
                <w:color w:val="auto"/>
              </w:rPr>
              <w:t>R.  Income Taxes</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w w:val="91"/>
              </w:rPr>
              <w:t>The components of income before income taxes were as follows:</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2020</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1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2020</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1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foreign</w:t>
            </w:r>
          </w:p>
        </w:tc>
        <w:tc>
          <w:tcPr>
            <w:tcW w:w="12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1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foreign</w:t>
            </w:r>
          </w:p>
        </w:tc>
        <w:tc>
          <w:tcPr>
            <w:tcW w:w="12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statutory federal income tax rate to pre-tax income as a result of the following items: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rate at 21%</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Tax on foreign income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taxes on foreign income, net of credits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Valuation allowance changes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contingencies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Tax law changes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benefits from certain incentives in Brazil which allow it to pay reduced income taxes. The incentives expire at various dates beginning in December 2025. These incentives increased net income attributable to the Company by $17 in both 2020 and 2019 and $14 in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taxes of $189, $173 and $177 in 2020, 2019 and 2018.</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2019, the Company recorded an income tax benefit of $36 related to a deferred tax valuation allowance release resulting from an internal reorganization. Additionally, the Company recorded a charge of $15 related to the settlement of a pre-acquisition tax contingency that arose from a transaction that occurred prior to its acquisition of Signode in 2018. The Company also recorded a benefit of $9 arising from tax law changes in India.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the Company recorded a charge of $24 related to local taxes on the distributions of foreign earnings, which were previously asserted to be indefinitely reinvested.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the Company has not provided deferred taxes on approximately $1,500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The components of deferred taxes at December 31 were: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2019</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Assets</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carryforwards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Postretirement and postemployment benefits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Asbestos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Accruals and other</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Right of use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Valuation allowances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(205)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Tax carryforwards expire as follows: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78"/>
              </w:rPr>
              <w:t>Year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Unlimited</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 carryforwards expiring in 2022 include $63 of U.S. federal foreign tax credits which, based on current projections, the Company believes it will utilize before expiration. Tax carryforwards expiring after 2025 include $115 of U.S. state tax loss carryforwards. The unlimited category includes $39 of Luxembourg tax loss carryforwards and $69 of French tax loss carryforwards.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Realization of any portion of the Company’s deferred tax assets is dependent upon the availability of taxable income in the relevant jurisdictions. The Company considers all sources of taxable income, including (i) taxable income in any available carry back period, (ii) the reversal of taxable temporary differences, (iii) tax-planning strategies, and (iv) taxable income expected to be generated in the future other than from reversing temporary differences. The Company also considers whether there have been cumulative losses in recent years. The Company records a valuation allowance when it is more likely than not that some portion or all of the deferred tax assets will not be realized.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valuation allowances at December 31, 2020 includes $171 primarily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7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Crown Holdings, Inc.</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69"/>
        </w:trPr>
        <w:tc>
          <w:tcPr>
            <w:tcW w:w="4340" w:type="dxa"/>
            <w:vAlign w:val="bottom"/>
          </w:tcPr>
          <w:p>
            <w:pPr>
              <w:spacing w:after="0"/>
              <w:rPr>
                <w:sz w:val="20"/>
                <w:szCs w:val="20"/>
                <w:color w:val="auto"/>
              </w:rPr>
            </w:pPr>
            <w:r>
              <w:rPr>
                <w:rFonts w:ascii="Arial" w:cs="Arial" w:eastAsia="Arial" w:hAnsi="Arial"/>
                <w:sz w:val="18"/>
                <w:szCs w:val="18"/>
                <w:color w:val="auto"/>
              </w:rPr>
              <w:t>A reconciliation of unrecognized tax benefits follows:</w:t>
            </w: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340" w:type="dxa"/>
            <w:vAlign w:val="bottom"/>
          </w:tcPr>
          <w:p>
            <w:pPr>
              <w:spacing w:after="0"/>
              <w:rPr>
                <w:sz w:val="22"/>
                <w:szCs w:val="22"/>
                <w:color w:val="auto"/>
              </w:rPr>
            </w:pPr>
          </w:p>
        </w:tc>
        <w:tc>
          <w:tcPr>
            <w:tcW w:w="2720" w:type="dxa"/>
            <w:vAlign w:val="bottom"/>
            <w:gridSpan w:val="2"/>
          </w:tcPr>
          <w:p>
            <w:pPr>
              <w:jc w:val="right"/>
              <w:ind w:right="5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6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Additions related to acquisitions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unrecognized tax benefits include potential liabilities related to transfer pricing, foreign withholding taxes, and non-deductibility of expenses and exclude $2 of interest and penalties as of December 31,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interest and penalties recorded in income tax expense was less than $1 in 2020, 2019 and 2018. As of December 31, 2020, unrecognized tax benefits of $44, if recognized, would affect the Company's effective tax rate.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years that remained subject to examination by major tax jurisdictions as of December 31, 2020 were, 2010 and subsequent years for Germany; 2013 and subsequent years for India; 2015 and subsequent years for Italy, Mexico and Spain; 2016 and subsequent years for the Brazil, France and the U.K. and 2017 and subsequent years for the Canada and the U.S. In addition, tax authorities in certain jurisdictions, including France and the U.S., may examine earlier years when tax carryforwards that were generated in those years are subsequently utilized.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S.  Capital Stock</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880" w:type="dxa"/>
            <w:vAlign w:val="bottom"/>
            <w:gridSpan w:val="3"/>
          </w:tcPr>
          <w:p>
            <w:pPr>
              <w:spacing w:after="0"/>
              <w:rPr>
                <w:sz w:val="20"/>
                <w:szCs w:val="20"/>
                <w:color w:val="auto"/>
              </w:rPr>
            </w:pPr>
            <w:r>
              <w:rPr>
                <w:rFonts w:ascii="Arial" w:cs="Arial" w:eastAsia="Arial" w:hAnsi="Arial"/>
                <w:sz w:val="18"/>
                <w:szCs w:val="18"/>
                <w:color w:val="auto"/>
              </w:rPr>
              <w:t>A summary of common share activity for the years ended December 31 follows (in shares):</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6"/>
        </w:trPr>
        <w:tc>
          <w:tcPr>
            <w:tcW w:w="6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at January 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135,577,878</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135,173,948</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134,275,609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340" w:type="dxa"/>
            <w:vAlign w:val="bottom"/>
          </w:tcPr>
          <w:p>
            <w:pPr>
              <w:jc w:val="right"/>
              <w:spacing w:after="0"/>
              <w:rPr>
                <w:sz w:val="20"/>
                <w:szCs w:val="20"/>
                <w:color w:val="auto"/>
              </w:rPr>
            </w:pPr>
            <w:r>
              <w:rPr>
                <w:rFonts w:ascii="Arial" w:cs="Arial" w:eastAsia="Arial" w:hAnsi="Arial"/>
                <w:sz w:val="18"/>
                <w:szCs w:val="18"/>
                <w:color w:val="auto"/>
              </w:rPr>
              <w:t>(1,240,328)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(106,388)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(92,167)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upon exercise of employee stock options</w:t>
            </w: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Restricted stock issued to employees, net of forfeitures</w:t>
            </w:r>
          </w:p>
        </w:tc>
        <w:tc>
          <w:tcPr>
            <w:tcW w:w="1340" w:type="dxa"/>
            <w:vAlign w:val="bottom"/>
          </w:tcPr>
          <w:p>
            <w:pPr>
              <w:jc w:val="right"/>
              <w:spacing w:after="0"/>
              <w:rPr>
                <w:sz w:val="20"/>
                <w:szCs w:val="20"/>
                <w:color w:val="auto"/>
              </w:rPr>
            </w:pPr>
            <w:r>
              <w:rPr>
                <w:rFonts w:ascii="Arial" w:cs="Arial" w:eastAsia="Arial" w:hAnsi="Arial"/>
                <w:sz w:val="18"/>
                <w:szCs w:val="18"/>
                <w:color w:val="auto"/>
              </w:rPr>
              <w:t>439,700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416,695</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958,672</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non-employee directors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w:t>
            </w:r>
          </w:p>
        </w:tc>
        <w:tc>
          <w:tcPr>
            <w:tcW w:w="4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4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31,834</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Common shares outstanding at December 31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134,801,030</w:t>
            </w:r>
          </w:p>
        </w:tc>
        <w:tc>
          <w:tcPr>
            <w:tcW w:w="4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135,577,878</w:t>
            </w:r>
          </w:p>
        </w:tc>
        <w:tc>
          <w:tcPr>
            <w:tcW w:w="4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135,173,948</w:t>
            </w:r>
          </w:p>
        </w:tc>
      </w:tr>
      <w:tr>
        <w:trPr>
          <w:trHeight w:val="20"/>
        </w:trPr>
        <w:tc>
          <w:tcPr>
            <w:tcW w:w="6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2021, the Company announced plans to initiate a regularly quarterly dividend beginning in the first quarter of 2021. On February 25, 2021, the Company's Board of Directors declared a dividend of $0.20 per share payable on March 25, 2021 to shareholders of record as of March 11, 2021. In addition, the Company's Board of Directors authorized the repurchase of an aggregate amount of $1.5 billion of Company common stock through the end of 2023.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 The repurchased shares, if any, are expected to be used for the Company's stock-based benefit plans, as required, and to offset dilution resulting from the issuance of shares thereunder.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when declared by the Company's Board of Directors and in accordance with the restrictions set forth in the Company's debt agreements. While the Company's debt agreements impose restrictions on the Company's ability to pay dividends and repurchase common stock, debt agreements generally permit dividends and common stock repurchases provided that the Company is in compliance with applicable financial and other covenants and meets certain liquidity requirements.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Accumulated Other Comprehensive Loss Attributable to Crown Holdings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 for the years ended December 31, 2020 and 2019.</w:t>
      </w:r>
    </w:p>
    <w:tbl>
      <w:tblPr>
        <w:tblLayout w:type="fixed"/>
        <w:tblInd w:w="0" w:type="dxa"/>
        <w:tblCellMar>
          <w:top w:w="0" w:type="dxa"/>
          <w:left w:w="0" w:type="dxa"/>
          <w:bottom w:w="0" w:type="dxa"/>
          <w:right w:w="0" w:type="dxa"/>
        </w:tblCellMar>
      </w:tblPr>
      <w:tr>
        <w:trPr>
          <w:trHeight w:val="178"/>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8" w:lineRule="exact"/>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5"/>
                <w:szCs w:val="15"/>
                <w:color w:val="auto"/>
              </w:rPr>
            </w:pPr>
          </w:p>
        </w:tc>
        <w:tc>
          <w:tcPr>
            <w:tcW w:w="1200" w:type="dxa"/>
            <w:vAlign w:val="bottom"/>
            <w:gridSpan w:val="2"/>
          </w:tcPr>
          <w:p>
            <w:pPr>
              <w:jc w:val="center"/>
              <w:ind w:right="320"/>
              <w:spacing w:after="0" w:line="178" w:lineRule="exact"/>
              <w:rPr>
                <w:sz w:val="20"/>
                <w:szCs w:val="20"/>
                <w:color w:val="auto"/>
              </w:rPr>
            </w:pPr>
            <w:r>
              <w:rPr>
                <w:rFonts w:ascii="Arial" w:cs="Arial" w:eastAsia="Arial" w:hAnsi="Arial"/>
                <w:sz w:val="18"/>
                <w:szCs w:val="18"/>
                <w:color w:val="auto"/>
                <w:w w:val="87"/>
              </w:rPr>
              <w:t>Gains and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320" w:type="dxa"/>
            <w:vAlign w:val="bottom"/>
            <w:gridSpan w:val="3"/>
          </w:tcPr>
          <w:p>
            <w:pPr>
              <w:jc w:val="center"/>
              <w:ind w:right="180"/>
              <w:spacing w:after="0" w:line="176" w:lineRule="exact"/>
              <w:rPr>
                <w:sz w:val="20"/>
                <w:szCs w:val="20"/>
                <w:color w:val="auto"/>
              </w:rPr>
            </w:pPr>
            <w:r>
              <w:rPr>
                <w:rFonts w:ascii="Arial" w:cs="Arial" w:eastAsia="Arial" w:hAnsi="Arial"/>
                <w:sz w:val="18"/>
                <w:szCs w:val="18"/>
                <w:color w:val="auto"/>
                <w:w w:val="85"/>
              </w:rPr>
              <w:t>losses on cash</w:t>
            </w:r>
          </w:p>
        </w:tc>
        <w:tc>
          <w:tcPr>
            <w:tcW w:w="24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benefit 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flow hedges</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 income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64">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72">
        <w:r>
          <w:rPr>
            <w:rFonts w:ascii="Arial" w:cs="Arial" w:eastAsia="Arial" w:hAnsi="Arial"/>
            <w:sz w:val="18"/>
            <w:szCs w:val="18"/>
            <w:u w:val="single" w:color="auto"/>
            <w:color w:val="0000FF"/>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U. Revenue</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7440" w:type="dxa"/>
            <w:vAlign w:val="bottom"/>
          </w:tcPr>
          <w:p>
            <w:pPr>
              <w:spacing w:after="0"/>
              <w:rPr>
                <w:sz w:val="20"/>
                <w:szCs w:val="20"/>
                <w:color w:val="auto"/>
              </w:rPr>
            </w:pPr>
            <w:r>
              <w:rPr>
                <w:rFonts w:ascii="Arial" w:cs="Arial" w:eastAsia="Arial" w:hAnsi="Arial"/>
                <w:sz w:val="18"/>
                <w:szCs w:val="18"/>
                <w:color w:val="auto"/>
                <w:w w:val="95"/>
              </w:rPr>
              <w:t>For the years ended December 31, 2020 and 2019, the Company recognized revenue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11,575</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6">
        <w:r>
          <w:rPr>
            <w:rFonts w:ascii="Arial" w:cs="Arial" w:eastAsia="Arial" w:hAnsi="Arial"/>
            <w:sz w:val="18"/>
            <w:szCs w:val="18"/>
            <w:u w:val="single" w:color="auto"/>
            <w:color w:val="0000FF"/>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 These equipment contracts, including payment terms, are typically less than one year in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and liabilities as of December 31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2019</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30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1460" w:type="dxa"/>
            <w:vAlign w:val="bottom"/>
          </w:tcPr>
          <w:p>
            <w:pPr>
              <w:spacing w:after="0"/>
              <w:rPr>
                <w:sz w:val="19"/>
                <w:szCs w:val="19"/>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99"/>
              </w:rPr>
              <w:t>(5)</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146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25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2020, the Company satisfied performance obligations related to contract assets at December 31, 2019 related to the Company's equipment business and European food business and also recorded new contract assets related to work in process for these businesses.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2020, the Company recognized revenue of $5 related to contract liabilities at December 31, 2019 for performance obligations satisfied during the period.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Stock-Based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At December 31, 2020, there were 2.3 million authorized shares available for future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and Deferred Stock</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Annually, the Company awards shares of restricted stock to certain senior executives in the form of time-vested restricted stock and performance-based shares. The time-vested restricted stock vests ratably over three years.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disability, death or, subject to Company approval, retirement, receive accelerated vesting of their time-vested awards to the date of termination. However, restrictions lapse on performance-based awards, if at all, on the original vesting date.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issues shares of time-vesting restricted stock to U.S. employees and deferred stock to non-U.S. employees which vest ratably over three to five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 summary of restricted and deferred stock activity follows:</w:t>
            </w:r>
          </w:p>
        </w:tc>
        <w:tc>
          <w:tcPr>
            <w:tcW w:w="1760" w:type="dxa"/>
            <w:vAlign w:val="bottom"/>
          </w:tcPr>
          <w:p>
            <w:pPr>
              <w:spacing w:after="0"/>
              <w:rPr>
                <w:sz w:val="20"/>
                <w:szCs w:val="20"/>
                <w:color w:val="auto"/>
              </w:rPr>
            </w:pPr>
          </w:p>
        </w:tc>
      </w:tr>
      <w:tr>
        <w:trPr>
          <w:trHeight w:val="256"/>
        </w:trPr>
        <w:tc>
          <w:tcPr>
            <w:tcW w:w="926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Number of shares</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January 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2,102,654</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Awarded:</w:t>
            </w:r>
          </w:p>
        </w:tc>
        <w:tc>
          <w:tcPr>
            <w:tcW w:w="1760" w:type="dxa"/>
            <w:vAlign w:val="bottom"/>
          </w:tcPr>
          <w:p>
            <w:pPr>
              <w:spacing w:after="0"/>
              <w:rPr>
                <w:sz w:val="19"/>
                <w:szCs w:val="19"/>
                <w:color w:val="auto"/>
              </w:rPr>
            </w:pPr>
          </w:p>
        </w:tc>
      </w:tr>
      <w:tr>
        <w:trPr>
          <w:trHeight w:val="230"/>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Time-vesting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286,593</w:t>
            </w: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Performance-based</w:t>
            </w:r>
          </w:p>
        </w:tc>
        <w:tc>
          <w:tcPr>
            <w:tcW w:w="1760" w:type="dxa"/>
            <w:vAlign w:val="bottom"/>
          </w:tcPr>
          <w:p>
            <w:pPr>
              <w:jc w:val="right"/>
              <w:spacing w:after="0"/>
              <w:rPr>
                <w:sz w:val="20"/>
                <w:szCs w:val="20"/>
                <w:color w:val="auto"/>
              </w:rPr>
            </w:pPr>
            <w:r>
              <w:rPr>
                <w:rFonts w:ascii="Arial" w:cs="Arial" w:eastAsia="Arial" w:hAnsi="Arial"/>
                <w:sz w:val="18"/>
                <w:szCs w:val="18"/>
                <w:color w:val="auto"/>
              </w:rPr>
              <w:t>166,018</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760" w:type="dxa"/>
            <w:vAlign w:val="bottom"/>
            <w:shd w:val="clear" w:color="auto" w:fill="CCEEFF"/>
          </w:tcPr>
          <w:p>
            <w:pPr>
              <w:spacing w:after="0"/>
              <w:rPr>
                <w:sz w:val="19"/>
                <w:szCs w:val="19"/>
                <w:color w:val="auto"/>
              </w:rPr>
            </w:pPr>
          </w:p>
        </w:tc>
      </w:tr>
      <w:tr>
        <w:trPr>
          <w:trHeight w:val="229"/>
        </w:trPr>
        <w:tc>
          <w:tcPr>
            <w:tcW w:w="9260" w:type="dxa"/>
            <w:vAlign w:val="bottom"/>
          </w:tcPr>
          <w:p>
            <w:pPr>
              <w:ind w:left="360"/>
              <w:spacing w:after="0"/>
              <w:rPr>
                <w:sz w:val="20"/>
                <w:szCs w:val="20"/>
                <w:color w:val="auto"/>
              </w:rPr>
            </w:pPr>
            <w:r>
              <w:rPr>
                <w:rFonts w:ascii="Arial" w:cs="Arial" w:eastAsia="Arial" w:hAnsi="Arial"/>
                <w:sz w:val="18"/>
                <w:szCs w:val="18"/>
                <w:color w:val="auto"/>
              </w:rPr>
              <w:t>Time-vesting</w:t>
            </w:r>
          </w:p>
        </w:tc>
        <w:tc>
          <w:tcPr>
            <w:tcW w:w="1760" w:type="dxa"/>
            <w:vAlign w:val="bottom"/>
          </w:tcPr>
          <w:p>
            <w:pPr>
              <w:jc w:val="right"/>
              <w:spacing w:after="0"/>
              <w:rPr>
                <w:sz w:val="20"/>
                <w:szCs w:val="20"/>
                <w:color w:val="auto"/>
              </w:rPr>
            </w:pPr>
            <w:r>
              <w:rPr>
                <w:rFonts w:ascii="Arial" w:cs="Arial" w:eastAsia="Arial" w:hAnsi="Arial"/>
                <w:sz w:val="18"/>
                <w:szCs w:val="18"/>
                <w:color w:val="auto"/>
              </w:rPr>
              <w:t>(447,469)</w:t>
            </w:r>
          </w:p>
        </w:tc>
      </w:tr>
      <w:tr>
        <w:trPr>
          <w:trHeight w:val="229"/>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Performance-based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760" w:type="dxa"/>
            <w:vAlign w:val="bottom"/>
          </w:tcPr>
          <w:p>
            <w:pPr>
              <w:spacing w:after="0"/>
              <w:rPr>
                <w:sz w:val="19"/>
                <w:szCs w:val="19"/>
                <w:color w:val="auto"/>
              </w:rPr>
            </w:pPr>
          </w:p>
        </w:tc>
      </w:tr>
      <w:tr>
        <w:trPr>
          <w:trHeight w:val="229"/>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Time-vesting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(92,681)</w:t>
            </w:r>
          </w:p>
        </w:tc>
      </w:tr>
      <w:tr>
        <w:trPr>
          <w:trHeight w:val="23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Performance-based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2020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1,825,759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average grant-date fair value of restricted stock awarded in 2020, 2019 and 2018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Time-vested</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70.07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72.08</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46.08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57.24</w:t>
            </w:r>
          </w:p>
        </w:tc>
      </w:tr>
    </w:tbl>
    <w:p>
      <w:pPr>
        <w:spacing w:after="0" w:line="33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fair values of the performance-based awards that include a market condition were calculated using a Monte Carlo valuation model and the following weighted average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bl>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December 31, 2020, unrecognized compensation cost related to outstanding restricted and deferred stock was $62. The weighted average period over which the expense is expected to be recognized is 2.3 years. The aggregate market value of the shares released on the vesting dates was $49 in 2020.</w:t>
      </w:r>
    </w:p>
    <w:p>
      <w:pPr>
        <w:spacing w:after="0" w:line="390"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stock options and restricted stock as calculated under the treasury stock method.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shares outstanding (in millions):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dilutive stock options and restricted stock</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EPS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Contingently issuable shares excluded from the computation of diluted earnings per share</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because the effect would have been anti-dilutive</w:t>
            </w: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generally organized by product line and geography within four divisions: Americas, Europe, Asia Pacific and Transit Packaging. Within the Americas and European divisions, the Company has determined that it has the following reportable segments: Americas Beverage within the Americas, and European Beverage and European Food within Europe. The Company's Asia Pacific and Transit Packaging Divisions are reportable segments.</w:t>
      </w: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segments include the Company's food can and closures businesses in North America, aerosol can businesses in North America and Europe, its promotional packaging business in Europe, and its beverage tooling and equipment operations in the U.S. and U.K.</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performance and allocates resources based on segment income. Segment income, which is not a defined term under GAAP, is defined by the Company as income from operations adjusted to exclude intangibles amortization charges, provisions for asbestos and restructuring and other, the impact of fair value adjustments related to inventory acquired in an acquisition and the timing impact of hedge ineffectiveness. Segment income should not be considered in isolation or as a substitute for net income data prepared in accordance with GAAP and may not be comparable to calculations of similarly titled measures by other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information about operating segments for the three years ended December 31, 2020, 2019 and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4"/>
          </w:tcPr>
          <w:p>
            <w:pPr>
              <w:ind w:left="1460"/>
              <w:spacing w:after="0"/>
              <w:rPr>
                <w:sz w:val="20"/>
                <w:szCs w:val="20"/>
                <w:color w:val="auto"/>
              </w:rPr>
            </w:pPr>
            <w:r>
              <w:rPr>
                <w:rFonts w:ascii="Arial" w:cs="Arial" w:eastAsia="Arial" w:hAnsi="Arial"/>
                <w:sz w:val="18"/>
                <w:szCs w:val="18"/>
                <w:color w:val="auto"/>
                <w:w w:val="84"/>
              </w:rPr>
              <w:t>2020</w:t>
            </w: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Inter-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External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8"/>
                <w:szCs w:val="18"/>
                <w:color w:val="auto"/>
                <w:w w:val="86"/>
              </w:rPr>
              <w:t>segment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1"/>
                <w:szCs w:val="21"/>
                <w:color w:val="auto"/>
              </w:rPr>
            </w:pPr>
          </w:p>
        </w:tc>
      </w:tr>
      <w:tr>
        <w:trPr>
          <w:trHeight w:val="230"/>
        </w:trPr>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8"/>
                <w:szCs w:val="18"/>
                <w:color w:val="auto"/>
                <w:w w:val="85"/>
              </w:rPr>
              <w:t>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8"/>
                <w:szCs w:val="18"/>
                <w:color w:val="auto"/>
                <w:w w:val="85"/>
              </w:rPr>
              <w:t>sales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89"/>
              </w:rPr>
              <w:t>expenditures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96"/>
              </w:rPr>
              <w:t>income</w:t>
            </w:r>
          </w:p>
        </w:tc>
        <w:tc>
          <w:tcPr>
            <w:tcW w:w="80" w:type="dxa"/>
            <w:vAlign w:val="bottom"/>
          </w:tcPr>
          <w:p>
            <w:pPr>
              <w:spacing w:after="0"/>
              <w:rPr>
                <w:sz w:val="20"/>
                <w:szCs w:val="20"/>
                <w:color w:val="auto"/>
              </w:rPr>
            </w:pPr>
          </w:p>
        </w:tc>
      </w:tr>
      <w:tr>
        <w:trPr>
          <w:trHeight w:val="223"/>
        </w:trPr>
        <w:tc>
          <w:tcPr>
            <w:tcW w:w="3260" w:type="dxa"/>
            <w:vAlign w:val="bottom"/>
            <w:tcBorders>
              <w:top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r>
      <w:tr>
        <w:trPr>
          <w:trHeight w:val="229"/>
        </w:trPr>
        <w:tc>
          <w:tcPr>
            <w:tcW w:w="3260" w:type="dxa"/>
            <w:vAlign w:val="bottom"/>
            <w:gridSpan w:val="6"/>
          </w:tcPr>
          <w:p>
            <w:pPr>
              <w:ind w:left="20"/>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r>
      <w:tr>
        <w:trPr>
          <w:trHeight w:val="230"/>
        </w:trPr>
        <w:tc>
          <w:tcPr>
            <w:tcW w:w="3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r>
      <w:tr>
        <w:trPr>
          <w:trHeight w:val="229"/>
        </w:trPr>
        <w:tc>
          <w:tcPr>
            <w:tcW w:w="3260" w:type="dxa"/>
            <w:vAlign w:val="bottom"/>
            <w:gridSpan w:val="6"/>
          </w:tcPr>
          <w:p>
            <w:pPr>
              <w:ind w:left="20"/>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r>
      <w:tr>
        <w:trPr>
          <w:trHeight w:val="229"/>
        </w:trPr>
        <w:tc>
          <w:tcPr>
            <w:tcW w:w="3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r>
      <w:tr>
        <w:trPr>
          <w:trHeight w:val="223"/>
        </w:trPr>
        <w:tc>
          <w:tcPr>
            <w:tcW w:w="3260" w:type="dxa"/>
            <w:vAlign w:val="bottom"/>
            <w:gridSpan w:val="6"/>
          </w:tcPr>
          <w:p>
            <w:pPr>
              <w:ind w:left="20"/>
              <w:spacing w:after="0"/>
              <w:rPr>
                <w:sz w:val="20"/>
                <w:szCs w:val="20"/>
                <w:color w:val="auto"/>
              </w:rPr>
            </w:pPr>
            <w:r>
              <w:rPr>
                <w:rFonts w:ascii="Arial" w:cs="Arial" w:eastAsia="Arial" w:hAnsi="Arial"/>
                <w:sz w:val="18"/>
                <w:szCs w:val="18"/>
                <w:color w:val="auto"/>
              </w:rPr>
              <w:t>Total reportable segments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9"/>
                <w:szCs w:val="19"/>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260" w:type="dxa"/>
            <w:vAlign w:val="bottom"/>
            <w:gridSpan w:val="6"/>
            <w:shd w:val="clear" w:color="auto" w:fill="CCEEFF"/>
          </w:tcPr>
          <w:p>
            <w:pPr>
              <w:ind w:left="20"/>
              <w:spacing w:after="0" w:line="196" w:lineRule="exact"/>
              <w:rPr>
                <w:sz w:val="20"/>
                <w:szCs w:val="20"/>
                <w:color w:val="auto"/>
              </w:rPr>
            </w:pPr>
            <w:r>
              <w:rPr>
                <w:rFonts w:ascii="Arial" w:cs="Arial" w:eastAsia="Arial" w:hAnsi="Arial"/>
                <w:sz w:val="18"/>
                <w:szCs w:val="18"/>
                <w:color w:val="auto"/>
              </w:rPr>
              <w:t>Other segments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3260" w:type="dxa"/>
            <w:vAlign w:val="bottom"/>
            <w:gridSpan w:val="6"/>
          </w:tcPr>
          <w:p>
            <w:pPr>
              <w:ind w:left="20"/>
              <w:spacing w:after="0"/>
              <w:rPr>
                <w:sz w:val="20"/>
                <w:szCs w:val="20"/>
                <w:color w:val="auto"/>
              </w:rPr>
            </w:pPr>
            <w:r>
              <w:rPr>
                <w:rFonts w:ascii="Arial" w:cs="Arial" w:eastAsia="Arial" w:hAnsi="Arial"/>
                <w:sz w:val="18"/>
                <w:szCs w:val="18"/>
                <w:color w:val="auto"/>
              </w:rPr>
              <w:t>Corporate and unallocated items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8"/>
        </w:trPr>
        <w:tc>
          <w:tcPr>
            <w:tcW w:w="3260" w:type="dxa"/>
            <w:vAlign w:val="bottom"/>
            <w:tcBorders>
              <w:top w:val="single" w:sz="8" w:color="CCEEFF"/>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84"/>
        </w:trPr>
        <w:tc>
          <w:tcPr>
            <w:tcW w:w="3260" w:type="dxa"/>
            <w:vAlign w:val="bottom"/>
            <w:gridSpan w:val="6"/>
          </w:tcPr>
          <w:p>
            <w:pPr>
              <w:ind w:left="152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Inter-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9"/>
        </w:trPr>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External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segment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1"/>
                <w:szCs w:val="21"/>
                <w:color w:val="auto"/>
              </w:rPr>
            </w:pPr>
          </w:p>
        </w:tc>
      </w:tr>
      <w:tr>
        <w:trPr>
          <w:trHeight w:val="230"/>
        </w:trPr>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0"/>
              </w:rPr>
              <w:t>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sales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expenditures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income</w:t>
            </w:r>
          </w:p>
        </w:tc>
        <w:tc>
          <w:tcPr>
            <w:tcW w:w="80" w:type="dxa"/>
            <w:vAlign w:val="bottom"/>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318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tcBorders>
              <w:top w:val="single" w:sz="8" w:color="auto"/>
            </w:tcBorders>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auto"/>
            </w:tcBorders>
            <w:shd w:val="clear" w:color="auto" w:fill="CCEEFF"/>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Total reportable segments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Borders>
              <w:bottom w:val="single" w:sz="8" w:color="auto"/>
            </w:tcBorders>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3180" w:type="dxa"/>
            <w:vAlign w:val="bottom"/>
            <w:gridSpan w:val="5"/>
            <w:shd w:val="clear" w:color="auto" w:fill="CCEEFF"/>
          </w:tcPr>
          <w:p>
            <w:pPr>
              <w:ind w:left="20"/>
              <w:spacing w:after="0" w:line="196" w:lineRule="exact"/>
              <w:rPr>
                <w:sz w:val="20"/>
                <w:szCs w:val="20"/>
                <w:color w:val="auto"/>
              </w:rPr>
            </w:pPr>
            <w:r>
              <w:rPr>
                <w:rFonts w:ascii="Arial" w:cs="Arial" w:eastAsia="Arial" w:hAnsi="Arial"/>
                <w:sz w:val="18"/>
                <w:szCs w:val="18"/>
                <w:color w:val="auto"/>
              </w:rPr>
              <w:t>Other segments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Corporate and unallocated items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8"/>
        </w:trPr>
        <w:tc>
          <w:tcPr>
            <w:tcW w:w="80" w:type="dxa"/>
            <w:vAlign w:val="bottom"/>
          </w:tcPr>
          <w:p>
            <w:pPr>
              <w:spacing w:after="0"/>
              <w:rPr>
                <w:sz w:val="21"/>
                <w:szCs w:val="21"/>
                <w:color w:val="auto"/>
              </w:rPr>
            </w:pPr>
          </w:p>
        </w:tc>
        <w:tc>
          <w:tcPr>
            <w:tcW w:w="318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84"/>
        </w:trPr>
        <w:tc>
          <w:tcPr>
            <w:tcW w:w="3260" w:type="dxa"/>
            <w:vAlign w:val="bottom"/>
            <w:gridSpan w:val="6"/>
          </w:tcPr>
          <w:p>
            <w:pPr>
              <w:ind w:left="152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Inter-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9"/>
        </w:trPr>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External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segment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1"/>
                <w:szCs w:val="21"/>
                <w:color w:val="auto"/>
              </w:rPr>
            </w:pPr>
          </w:p>
        </w:tc>
      </w:tr>
      <w:tr>
        <w:trPr>
          <w:trHeight w:val="230"/>
        </w:trPr>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0"/>
              </w:rPr>
              <w:t>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sales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expenditures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income</w:t>
            </w:r>
          </w:p>
        </w:tc>
        <w:tc>
          <w:tcPr>
            <w:tcW w:w="80" w:type="dxa"/>
            <w:vAlign w:val="bottom"/>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318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tcBorders>
              <w:top w:val="single" w:sz="8" w:color="auto"/>
            </w:tcBorders>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auto"/>
            </w:tcBorders>
            <w:shd w:val="clear" w:color="auto" w:fill="CCEEFF"/>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Total reportable segments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bottom w:val="single" w:sz="8" w:color="auto"/>
            </w:tcBorders>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3180" w:type="dxa"/>
            <w:vAlign w:val="bottom"/>
            <w:gridSpan w:val="5"/>
            <w:shd w:val="clear" w:color="auto" w:fill="CCEEFF"/>
          </w:tcPr>
          <w:p>
            <w:pPr>
              <w:ind w:left="20"/>
              <w:spacing w:after="0" w:line="196" w:lineRule="exact"/>
              <w:rPr>
                <w:sz w:val="20"/>
                <w:szCs w:val="20"/>
                <w:color w:val="auto"/>
              </w:rPr>
            </w:pPr>
            <w:r>
              <w:rPr>
                <w:rFonts w:ascii="Arial" w:cs="Arial" w:eastAsia="Arial" w:hAnsi="Arial"/>
                <w:sz w:val="18"/>
                <w:szCs w:val="18"/>
                <w:color w:val="auto"/>
              </w:rPr>
              <w:t>Other segments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auto"/>
              </w:rPr>
              <w:t>Corporate and unallocated items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8"/>
        </w:trPr>
        <w:tc>
          <w:tcPr>
            <w:tcW w:w="80" w:type="dxa"/>
            <w:vAlign w:val="bottom"/>
          </w:tcPr>
          <w:p>
            <w:pPr>
              <w:spacing w:after="0"/>
              <w:rPr>
                <w:sz w:val="21"/>
                <w:szCs w:val="21"/>
                <w:color w:val="auto"/>
              </w:rPr>
            </w:pPr>
          </w:p>
        </w:tc>
        <w:tc>
          <w:tcPr>
            <w:tcW w:w="318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 corporate and division administrative costs, technology costs, and unallocated items such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segment income of reportable segments to income before income taxes for the three years ended December 31, 2020, 2019 and 2018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1,524</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1,413</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Segment income of other segments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8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8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Fair value adjustment to inventory</w:t>
            </w:r>
          </w:p>
        </w:tc>
        <w:tc>
          <w:tcPr>
            <w:tcW w:w="840" w:type="dxa"/>
            <w:vAlign w:val="bottom"/>
          </w:tcPr>
          <w:p>
            <w:pPr>
              <w:spacing w:after="0"/>
              <w:rPr>
                <w:sz w:val="19"/>
                <w:szCs w:val="19"/>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years ended December 31, 2020, 2019 and 2018, intercompany profit of $9, $6 and $7 was eliminated within segment income of other segments.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three years ended December 31, 2020, 2019 and 2018, no one customer accounted for more than 10% of the Company's consolidated net sales.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Sales by major product were: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5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 beverage cans and ends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Metal food cans and ends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2,452</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Other metal packaging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887</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11,575</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w:t>
            </w: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following table provides sales and long-lived asset information for the major countries in which the Company operates. Long-lived assets includes property, plant and equipment.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Long-Lived Assets</w:t>
            </w:r>
          </w:p>
        </w:tc>
      </w:tr>
      <w:tr>
        <w:trPr>
          <w:trHeight w:val="223"/>
        </w:trPr>
        <w:tc>
          <w:tcPr>
            <w:tcW w:w="4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ind w:right="-59"/>
        <w:spacing w:after="0"/>
        <w:rPr>
          <w:sz w:val="20"/>
          <w:szCs w:val="20"/>
          <w:color w:val="auto"/>
        </w:rPr>
      </w:pPr>
      <w:r>
        <w:rPr>
          <w:rFonts w:ascii="Arial" w:cs="Arial" w:eastAsia="Arial" w:hAnsi="Arial"/>
          <w:sz w:val="16"/>
          <w:szCs w:val="16"/>
          <w:b w:val="1"/>
          <w:bCs w:val="1"/>
          <w:color w:val="auto"/>
        </w:rPr>
        <w:t>Crown Holdings, Inc.</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9803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80" w:type="dxa"/>
            <w:vAlign w:val="bottom"/>
          </w:tcPr>
          <w:p>
            <w:pPr>
              <w:jc w:val="right"/>
              <w:ind w:right="719"/>
              <w:spacing w:after="0"/>
              <w:rPr>
                <w:sz w:val="20"/>
                <w:szCs w:val="20"/>
                <w:color w:val="auto"/>
              </w:rPr>
            </w:pPr>
            <w:r>
              <w:rPr>
                <w:rFonts w:ascii="Arial" w:cs="Arial" w:eastAsia="Arial" w:hAnsi="Arial"/>
                <w:sz w:val="18"/>
                <w:szCs w:val="18"/>
                <w:color w:val="auto"/>
                <w:w w:val="89"/>
              </w:rPr>
              <w:t>2020</w:t>
            </w:r>
          </w:p>
        </w:tc>
        <w:tc>
          <w:tcPr>
            <w:tcW w:w="100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jc w:val="right"/>
              <w:ind w:right="719"/>
              <w:spacing w:after="0"/>
              <w:rPr>
                <w:sz w:val="20"/>
                <w:szCs w:val="20"/>
                <w:color w:val="auto"/>
              </w:rPr>
            </w:pPr>
            <w:r>
              <w:rPr>
                <w:rFonts w:ascii="Arial" w:cs="Arial" w:eastAsia="Arial" w:hAnsi="Arial"/>
                <w:sz w:val="18"/>
                <w:szCs w:val="18"/>
                <w:color w:val="auto"/>
                <w:w w:val="89"/>
              </w:rPr>
              <w:t>2019</w:t>
            </w:r>
          </w:p>
        </w:tc>
        <w:tc>
          <w:tcPr>
            <w:tcW w:w="800" w:type="dxa"/>
            <w:vAlign w:val="bottom"/>
          </w:tcPr>
          <w:p>
            <w:pPr>
              <w:spacing w:after="0"/>
              <w:rPr>
                <w:sz w:val="22"/>
                <w:szCs w:val="22"/>
                <w:color w:val="auto"/>
              </w:rPr>
            </w:pPr>
          </w:p>
        </w:tc>
      </w:tr>
      <w:tr>
        <w:trPr>
          <w:trHeight w:val="229"/>
        </w:trPr>
        <w:tc>
          <w:tcPr>
            <w:tcW w:w="660" w:type="dxa"/>
            <w:vAlign w:val="bottom"/>
          </w:tcPr>
          <w:p>
            <w:pPr>
              <w:spacing w:after="0" w:line="230" w:lineRule="exact"/>
              <w:rPr>
                <w:sz w:val="20"/>
                <w:szCs w:val="20"/>
                <w:color w:val="auto"/>
              </w:rPr>
            </w:pPr>
            <w:r>
              <w:rPr>
                <w:rFonts w:ascii="Arial" w:cs="Arial" w:eastAsia="Arial" w:hAnsi="Arial"/>
                <w:sz w:val="14"/>
                <w:szCs w:val="14"/>
                <w:color w:val="auto"/>
              </w:rPr>
              <w:t xml:space="preserve">First </w:t>
            </w:r>
            <w:r>
              <w:rPr>
                <w:rFonts w:ascii="Arial" w:cs="Arial" w:eastAsia="Arial" w:hAnsi="Arial"/>
                <w:sz w:val="23"/>
                <w:szCs w:val="23"/>
                <w:color w:val="auto"/>
                <w:vertAlign w:val="superscript"/>
              </w:rPr>
              <w:t>(1)</w:t>
            </w:r>
          </w:p>
        </w:tc>
        <w:tc>
          <w:tcPr>
            <w:tcW w:w="860" w:type="dxa"/>
            <w:vAlign w:val="bottom"/>
          </w:tcPr>
          <w:p>
            <w:pPr>
              <w:ind w:left="260"/>
              <w:spacing w:after="0" w:line="230" w:lineRule="exact"/>
              <w:rPr>
                <w:sz w:val="20"/>
                <w:szCs w:val="20"/>
                <w:color w:val="auto"/>
              </w:rPr>
            </w:pPr>
            <w:r>
              <w:rPr>
                <w:rFonts w:ascii="Arial" w:cs="Arial" w:eastAsia="Arial" w:hAnsi="Arial"/>
                <w:sz w:val="14"/>
                <w:szCs w:val="14"/>
                <w:color w:val="auto"/>
                <w:w w:val="82"/>
              </w:rPr>
              <w:t xml:space="preserve">Second </w:t>
            </w:r>
            <w:r>
              <w:rPr>
                <w:rFonts w:ascii="Arial" w:cs="Arial" w:eastAsia="Arial" w:hAnsi="Arial"/>
                <w:sz w:val="23"/>
                <w:szCs w:val="23"/>
                <w:color w:val="auto"/>
                <w:w w:val="82"/>
                <w:vertAlign w:val="superscript"/>
              </w:rPr>
              <w:t>(2)</w:t>
            </w:r>
          </w:p>
        </w:tc>
        <w:tc>
          <w:tcPr>
            <w:tcW w:w="1180" w:type="dxa"/>
            <w:vAlign w:val="bottom"/>
          </w:tcPr>
          <w:p>
            <w:pPr>
              <w:jc w:val="right"/>
              <w:ind w:right="159"/>
              <w:spacing w:after="0" w:line="230" w:lineRule="exact"/>
              <w:rPr>
                <w:sz w:val="20"/>
                <w:szCs w:val="20"/>
                <w:color w:val="auto"/>
              </w:rPr>
            </w:pPr>
            <w:r>
              <w:rPr>
                <w:rFonts w:ascii="Arial" w:cs="Arial" w:eastAsia="Arial" w:hAnsi="Arial"/>
                <w:sz w:val="14"/>
                <w:szCs w:val="14"/>
                <w:color w:val="auto"/>
              </w:rPr>
              <w:t xml:space="preserve">Third </w:t>
            </w:r>
            <w:r>
              <w:rPr>
                <w:rFonts w:ascii="Arial" w:cs="Arial" w:eastAsia="Arial" w:hAnsi="Arial"/>
                <w:sz w:val="23"/>
                <w:szCs w:val="23"/>
                <w:color w:val="auto"/>
                <w:vertAlign w:val="superscript"/>
              </w:rPr>
              <w:t>(3)</w:t>
            </w:r>
          </w:p>
        </w:tc>
        <w:tc>
          <w:tcPr>
            <w:tcW w:w="1000" w:type="dxa"/>
            <w:vAlign w:val="bottom"/>
          </w:tcPr>
          <w:p>
            <w:pPr>
              <w:ind w:left="240"/>
              <w:spacing w:after="0" w:line="230" w:lineRule="exact"/>
              <w:rPr>
                <w:sz w:val="20"/>
                <w:szCs w:val="20"/>
                <w:color w:val="auto"/>
              </w:rPr>
            </w:pPr>
            <w:r>
              <w:rPr>
                <w:rFonts w:ascii="Arial" w:cs="Arial" w:eastAsia="Arial" w:hAnsi="Arial"/>
                <w:sz w:val="14"/>
                <w:szCs w:val="14"/>
                <w:color w:val="auto"/>
              </w:rPr>
              <w:t xml:space="preserve">Fourth </w:t>
            </w:r>
            <w:r>
              <w:rPr>
                <w:rFonts w:ascii="Arial" w:cs="Arial" w:eastAsia="Arial" w:hAnsi="Arial"/>
                <w:sz w:val="23"/>
                <w:szCs w:val="23"/>
                <w:color w:val="auto"/>
                <w:vertAlign w:val="superscript"/>
              </w:rPr>
              <w:t>(4)</w:t>
            </w:r>
          </w:p>
        </w:tc>
        <w:tc>
          <w:tcPr>
            <w:tcW w:w="1000" w:type="dxa"/>
            <w:vAlign w:val="bottom"/>
          </w:tcPr>
          <w:p>
            <w:pPr>
              <w:ind w:left="300"/>
              <w:spacing w:after="0" w:line="230" w:lineRule="exact"/>
              <w:rPr>
                <w:sz w:val="20"/>
                <w:szCs w:val="20"/>
                <w:color w:val="auto"/>
              </w:rPr>
            </w:pPr>
            <w:r>
              <w:rPr>
                <w:rFonts w:ascii="Arial" w:cs="Arial" w:eastAsia="Arial" w:hAnsi="Arial"/>
                <w:sz w:val="14"/>
                <w:szCs w:val="14"/>
                <w:color w:val="auto"/>
              </w:rPr>
              <w:t xml:space="preserve">First </w:t>
            </w:r>
            <w:r>
              <w:rPr>
                <w:rFonts w:ascii="Arial" w:cs="Arial" w:eastAsia="Arial" w:hAnsi="Arial"/>
                <w:sz w:val="23"/>
                <w:szCs w:val="23"/>
                <w:color w:val="auto"/>
                <w:vertAlign w:val="superscript"/>
              </w:rPr>
              <w:t>(5)</w:t>
            </w:r>
          </w:p>
        </w:tc>
        <w:tc>
          <w:tcPr>
            <w:tcW w:w="840" w:type="dxa"/>
            <w:vAlign w:val="bottom"/>
          </w:tcPr>
          <w:p>
            <w:pPr>
              <w:ind w:left="240"/>
              <w:spacing w:after="0" w:line="230" w:lineRule="exact"/>
              <w:rPr>
                <w:sz w:val="20"/>
                <w:szCs w:val="20"/>
                <w:color w:val="auto"/>
              </w:rPr>
            </w:pPr>
            <w:r>
              <w:rPr>
                <w:rFonts w:ascii="Arial" w:cs="Arial" w:eastAsia="Arial" w:hAnsi="Arial"/>
                <w:sz w:val="14"/>
                <w:szCs w:val="14"/>
                <w:color w:val="auto"/>
                <w:w w:val="82"/>
              </w:rPr>
              <w:t xml:space="preserve">Second </w:t>
            </w:r>
            <w:r>
              <w:rPr>
                <w:rFonts w:ascii="Arial" w:cs="Arial" w:eastAsia="Arial" w:hAnsi="Arial"/>
                <w:sz w:val="23"/>
                <w:szCs w:val="23"/>
                <w:color w:val="auto"/>
                <w:w w:val="82"/>
                <w:vertAlign w:val="superscript"/>
              </w:rPr>
              <w:t>(6)</w:t>
            </w:r>
          </w:p>
        </w:tc>
        <w:tc>
          <w:tcPr>
            <w:tcW w:w="1180" w:type="dxa"/>
            <w:vAlign w:val="bottom"/>
          </w:tcPr>
          <w:p>
            <w:pPr>
              <w:jc w:val="right"/>
              <w:ind w:right="159"/>
              <w:spacing w:after="0" w:line="230" w:lineRule="exact"/>
              <w:rPr>
                <w:sz w:val="20"/>
                <w:szCs w:val="20"/>
                <w:color w:val="auto"/>
              </w:rPr>
            </w:pPr>
            <w:r>
              <w:rPr>
                <w:rFonts w:ascii="Arial" w:cs="Arial" w:eastAsia="Arial" w:hAnsi="Arial"/>
                <w:sz w:val="14"/>
                <w:szCs w:val="14"/>
                <w:color w:val="auto"/>
              </w:rPr>
              <w:t xml:space="preserve">Third </w:t>
            </w:r>
            <w:r>
              <w:rPr>
                <w:rFonts w:ascii="Arial" w:cs="Arial" w:eastAsia="Arial" w:hAnsi="Arial"/>
                <w:sz w:val="23"/>
                <w:szCs w:val="23"/>
                <w:color w:val="auto"/>
                <w:vertAlign w:val="superscript"/>
              </w:rPr>
              <w:t>(7)</w:t>
            </w:r>
          </w:p>
        </w:tc>
        <w:tc>
          <w:tcPr>
            <w:tcW w:w="800" w:type="dxa"/>
            <w:vAlign w:val="bottom"/>
          </w:tcPr>
          <w:p>
            <w:pPr>
              <w:ind w:left="240"/>
              <w:spacing w:after="0" w:line="230" w:lineRule="exact"/>
              <w:rPr>
                <w:sz w:val="20"/>
                <w:szCs w:val="20"/>
                <w:color w:val="auto"/>
              </w:rPr>
            </w:pPr>
            <w:r>
              <w:rPr>
                <w:rFonts w:ascii="Arial" w:cs="Arial" w:eastAsia="Arial" w:hAnsi="Arial"/>
                <w:sz w:val="14"/>
                <w:szCs w:val="14"/>
                <w:color w:val="auto"/>
                <w:w w:val="85"/>
              </w:rPr>
              <w:t xml:space="preserve">Fourth </w:t>
            </w:r>
            <w:r>
              <w:rPr>
                <w:rFonts w:ascii="Arial" w:cs="Arial" w:eastAsia="Arial" w:hAnsi="Arial"/>
                <w:sz w:val="23"/>
                <w:szCs w:val="23"/>
                <w:color w:val="auto"/>
                <w:w w:val="85"/>
                <w:vertAlign w:val="superscript"/>
              </w:rPr>
              <w:t>(8)</w:t>
            </w:r>
          </w:p>
        </w:tc>
      </w:tr>
    </w:tbl>
    <w:p>
      <w:pPr>
        <w:spacing w:after="0" w:line="1" w:lineRule="exact"/>
        <w:rPr>
          <w:sz w:val="20"/>
          <w:szCs w:val="20"/>
          <w:color w:val="auto"/>
        </w:rPr>
      </w:pPr>
    </w:p>
    <w:p>
      <w:pPr>
        <w:sectPr>
          <w:pgSz w:w="11900" w:h="16838" w:orient="portrait"/>
          <w:cols w:equalWidth="0" w:num="2">
            <w:col w:w="2780" w:space="720"/>
            <w:col w:w="7680"/>
          </w:cols>
          <w:pgMar w:left="320" w:top="121" w:right="3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Crown</w:t>
            </w: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Holdings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average common share:</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Average common shares outstanding:</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The Company defines gross profit as net sales less cost of products sold and depreciation and amortization.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pre-tax charges of $7 for restructuring and other and $37 for pension plan settlements.</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pre-tax charges of $3 for restructuring and other and $19 for pension plan settlements.</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pre-tax charges of $10 for restructuring and other and $5 for pension plan settlements.</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pre-tax charges of $14 for restructuring and other and $5 for pension plan settlements.</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pre-tax charges of $4 for restructuring and other and $6 from early extinguishment of debt and a pension plan curtailment gain of $14.</w:t>
      </w:r>
    </w:p>
    <w:p>
      <w:pPr>
        <w:spacing w:after="0" w:line="32" w:lineRule="exact"/>
        <w:rPr>
          <w:rFonts w:ascii="Arial" w:cs="Arial" w:eastAsia="Arial" w:hAnsi="Arial"/>
          <w:sz w:val="16"/>
          <w:szCs w:val="16"/>
          <w:color w:val="auto"/>
        </w:rPr>
      </w:pPr>
    </w:p>
    <w:p>
      <w:pPr>
        <w:ind w:left="560" w:hanging="309"/>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pre-tax gains of $45 for restructuring and other, and charges of $31 for a pension plan settlement and $15 to settle a tax contingency.</w:t>
      </w:r>
    </w:p>
    <w:p>
      <w:pPr>
        <w:spacing w:after="0" w:line="32" w:lineRule="exact"/>
        <w:rPr>
          <w:rFonts w:ascii="Arial" w:cs="Arial" w:eastAsia="Arial" w:hAnsi="Arial"/>
          <w:sz w:val="16"/>
          <w:szCs w:val="16"/>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pre-tax charges of $6 for pension plan settlements.</w:t>
      </w:r>
    </w:p>
    <w:p>
      <w:pPr>
        <w:spacing w:after="0" w:line="9" w:lineRule="exact"/>
        <w:rPr>
          <w:rFonts w:ascii="Arial" w:cs="Arial" w:eastAsia="Arial" w:hAnsi="Arial"/>
          <w:sz w:val="18"/>
          <w:szCs w:val="18"/>
          <w:color w:val="auto"/>
        </w:rPr>
      </w:pPr>
    </w:p>
    <w:p>
      <w:pPr>
        <w:ind w:left="580" w:right="400" w:hanging="329"/>
        <w:spacing w:after="0" w:line="260"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pre-tax charges of $25 for a goodwill impairment, $15 for restructuring and other and $7 for pension plan settlements. Also, includes income tax benefits of $37 primarily related to a deferred tax valuation allowance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II – VALUATION AND QUALIFYING ACCOUNTS AND RESERVES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120" w:type="dxa"/>
            <w:vAlign w:val="bottom"/>
            <w:tcBorders>
              <w:top w:val="single" w:sz="8" w:color="auto"/>
              <w:left w:val="single" w:sz="8" w:color="auto"/>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COLUMN A</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20"/>
              <w:spacing w:after="0" w:line="202" w:lineRule="exact"/>
              <w:rPr>
                <w:sz w:val="20"/>
                <w:szCs w:val="20"/>
                <w:color w:val="auto"/>
              </w:rPr>
            </w:pPr>
            <w:r>
              <w:rPr>
                <w:rFonts w:ascii="Arial" w:cs="Arial" w:eastAsia="Arial" w:hAnsi="Arial"/>
                <w:sz w:val="18"/>
                <w:szCs w:val="18"/>
                <w:color w:val="auto"/>
                <w:w w:val="98"/>
              </w:rPr>
              <w:t>COLUMN B</w:t>
            </w:r>
          </w:p>
        </w:tc>
        <w:tc>
          <w:tcPr>
            <w:tcW w:w="880" w:type="dxa"/>
            <w:vAlign w:val="bottom"/>
            <w:tcBorders>
              <w:top w:val="single" w:sz="8" w:color="auto"/>
            </w:tcBorders>
          </w:tcPr>
          <w:p>
            <w:pPr>
              <w:spacing w:after="0"/>
              <w:rPr>
                <w:sz w:val="17"/>
                <w:szCs w:val="17"/>
                <w:color w:val="auto"/>
              </w:rPr>
            </w:pPr>
          </w:p>
        </w:tc>
        <w:tc>
          <w:tcPr>
            <w:tcW w:w="1860" w:type="dxa"/>
            <w:vAlign w:val="bottom"/>
            <w:tcBorders>
              <w:top w:val="single" w:sz="8" w:color="auto"/>
              <w:right w:val="single" w:sz="8" w:color="auto"/>
            </w:tcBorders>
            <w:gridSpan w:val="3"/>
          </w:tcPr>
          <w:p>
            <w:pPr>
              <w:jc w:val="center"/>
              <w:ind w:right="900"/>
              <w:spacing w:after="0" w:line="202" w:lineRule="exact"/>
              <w:rPr>
                <w:sz w:val="20"/>
                <w:szCs w:val="20"/>
                <w:color w:val="auto"/>
              </w:rPr>
            </w:pPr>
            <w:r>
              <w:rPr>
                <w:rFonts w:ascii="Arial" w:cs="Arial" w:eastAsia="Arial" w:hAnsi="Arial"/>
                <w:sz w:val="18"/>
                <w:szCs w:val="18"/>
                <w:color w:val="auto"/>
                <w:w w:val="99"/>
              </w:rPr>
              <w:t>COLUMN C</w:t>
            </w:r>
          </w:p>
        </w:tc>
        <w:tc>
          <w:tcPr>
            <w:tcW w:w="1360" w:type="dxa"/>
            <w:vAlign w:val="bottom"/>
            <w:tcBorders>
              <w:top w:val="single" w:sz="8" w:color="auto"/>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COLUMN D</w:t>
            </w:r>
          </w:p>
        </w:tc>
        <w:tc>
          <w:tcPr>
            <w:tcW w:w="128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color w:val="auto"/>
                <w:w w:val="98"/>
              </w:rPr>
              <w:t>COLUMN E</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40"/>
              <w:spacing w:after="0" w:line="202" w:lineRule="exact"/>
              <w:rPr>
                <w:sz w:val="20"/>
                <w:szCs w:val="20"/>
                <w:color w:val="auto"/>
              </w:rPr>
            </w:pPr>
            <w:r>
              <w:rPr>
                <w:rFonts w:ascii="Arial" w:cs="Arial" w:eastAsia="Arial" w:hAnsi="Arial"/>
                <w:sz w:val="18"/>
                <w:szCs w:val="18"/>
                <w:color w:val="auto"/>
                <w:w w:val="97"/>
              </w:rPr>
              <w:t>COLUMN F</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Additions</w:t>
            </w:r>
          </w:p>
        </w:tc>
        <w:tc>
          <w:tcPr>
            <w:tcW w:w="90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220"/>
              <w:spacing w:after="0" w:line="169" w:lineRule="exact"/>
              <w:rPr>
                <w:sz w:val="20"/>
                <w:szCs w:val="20"/>
                <w:color w:val="auto"/>
              </w:rPr>
            </w:pPr>
            <w:r>
              <w:rPr>
                <w:rFonts w:ascii="Arial" w:cs="Arial" w:eastAsia="Arial" w:hAnsi="Arial"/>
                <w:sz w:val="18"/>
                <w:szCs w:val="18"/>
                <w:color w:val="auto"/>
                <w:w w:val="86"/>
              </w:rPr>
              <w:t>Balance at</w:t>
            </w:r>
          </w:p>
        </w:tc>
        <w:tc>
          <w:tcPr>
            <w:tcW w:w="13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8"/>
              </w:rPr>
              <w:t>Charged to costs</w:t>
            </w:r>
          </w:p>
        </w:tc>
        <w:tc>
          <w:tcPr>
            <w:tcW w:w="138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89"/>
              </w:rPr>
              <w:t>Charged to</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color w:val="auto"/>
                <w:w w:val="91"/>
              </w:rPr>
              <w:t>Deductions</w:t>
            </w:r>
          </w:p>
        </w:tc>
        <w:tc>
          <w:tcPr>
            <w:tcW w:w="200" w:type="dxa"/>
            <w:vAlign w:val="bottom"/>
          </w:tcPr>
          <w:p>
            <w:pPr>
              <w:spacing w:after="0"/>
              <w:rPr>
                <w:sz w:val="14"/>
                <w:szCs w:val="14"/>
                <w:color w:val="auto"/>
              </w:rPr>
            </w:pPr>
          </w:p>
        </w:tc>
        <w:tc>
          <w:tcPr>
            <w:tcW w:w="11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175"/>
        </w:trPr>
        <w:tc>
          <w:tcPr>
            <w:tcW w:w="312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Description</w:t>
            </w:r>
          </w:p>
        </w:tc>
        <w:tc>
          <w:tcPr>
            <w:tcW w:w="20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20"/>
              <w:spacing w:after="0" w:line="176" w:lineRule="exact"/>
              <w:rPr>
                <w:sz w:val="20"/>
                <w:szCs w:val="20"/>
                <w:color w:val="auto"/>
              </w:rPr>
            </w:pPr>
            <w:r>
              <w:rPr>
                <w:rFonts w:ascii="Arial" w:cs="Arial" w:eastAsia="Arial" w:hAnsi="Arial"/>
                <w:sz w:val="18"/>
                <w:szCs w:val="18"/>
                <w:color w:val="auto"/>
                <w:w w:val="91"/>
              </w:rPr>
              <w:t>beginning of</w:t>
            </w:r>
          </w:p>
        </w:tc>
        <w:tc>
          <w:tcPr>
            <w:tcW w:w="1360" w:type="dxa"/>
            <w:vAlign w:val="bottom"/>
            <w:tcBorders>
              <w:right w:val="single" w:sz="8" w:color="auto"/>
            </w:tcBorders>
            <w:gridSpan w:val="2"/>
            <w:vMerge w:val="continue"/>
          </w:tcPr>
          <w:p>
            <w:pPr>
              <w:spacing w:after="0"/>
              <w:rPr>
                <w:sz w:val="15"/>
                <w:szCs w:val="15"/>
                <w:color w:val="auto"/>
              </w:rPr>
            </w:pPr>
          </w:p>
        </w:tc>
        <w:tc>
          <w:tcPr>
            <w:tcW w:w="1380" w:type="dxa"/>
            <w:vAlign w:val="bottom"/>
            <w:tcBorders>
              <w:righ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bottom w:val="single" w:sz="8" w:color="auto"/>
              <w:right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1"/>
              </w:rPr>
              <w:t>period</w:t>
            </w:r>
          </w:p>
        </w:tc>
        <w:tc>
          <w:tcPr>
            <w:tcW w:w="13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and expense</w:t>
            </w:r>
          </w:p>
        </w:tc>
        <w:tc>
          <w:tcPr>
            <w:tcW w:w="13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1"/>
              </w:rPr>
              <w:t>other accounts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5"/>
              </w:rPr>
              <w:t>– write-offs</w:t>
            </w:r>
          </w:p>
        </w:tc>
        <w:tc>
          <w:tcPr>
            <w:tcW w:w="136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end of period</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Allowances deducted from assets to</w:t>
      </w:r>
    </w:p>
    <w:p>
      <w:pPr>
        <w:ind w:left="20"/>
        <w:spacing w:after="0"/>
        <w:rPr>
          <w:sz w:val="20"/>
          <w:szCs w:val="20"/>
          <w:color w:val="auto"/>
        </w:rPr>
      </w:pPr>
      <w:r>
        <w:rPr>
          <w:rFonts w:ascii="Arial" w:cs="Arial" w:eastAsia="Arial" w:hAnsi="Arial"/>
          <w:sz w:val="18"/>
          <w:szCs w:val="18"/>
          <w:color w:val="auto"/>
        </w:rPr>
        <w:t>which they apply: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25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57"/>
        </w:trPr>
        <w:tc>
          <w:tcPr>
            <w:tcW w:w="25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bl>
    <w:p>
      <w:pPr>
        <w:jc w:val="center"/>
        <w:ind w:right="40"/>
        <w:spacing w:after="0"/>
        <w:rPr>
          <w:sz w:val="20"/>
          <w:szCs w:val="20"/>
          <w:color w:val="auto"/>
        </w:rPr>
      </w:pPr>
      <w:r>
        <w:rPr>
          <w:rFonts w:ascii="Arial" w:cs="Arial" w:eastAsia="Arial" w:hAnsi="Arial"/>
          <w:sz w:val="18"/>
          <w:szCs w:val="18"/>
          <w:u w:val="single" w:color="auto"/>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Allowances deducted from assets to</w:t>
      </w:r>
    </w:p>
    <w:p>
      <w:pPr>
        <w:ind w:left="20"/>
        <w:spacing w:after="0"/>
        <w:rPr>
          <w:sz w:val="20"/>
          <w:szCs w:val="20"/>
          <w:color w:val="auto"/>
        </w:rPr>
      </w:pPr>
      <w:r>
        <w:rPr>
          <w:rFonts w:ascii="Arial" w:cs="Arial" w:eastAsia="Arial" w:hAnsi="Arial"/>
          <w:sz w:val="18"/>
          <w:szCs w:val="18"/>
          <w:color w:val="auto"/>
        </w:rPr>
        <w:t>which they apply: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194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30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940" w:type="dxa"/>
            <w:vAlign w:val="bottom"/>
          </w:tcPr>
          <w:p>
            <w:pPr>
              <w:jc w:val="right"/>
              <w:ind w:right="450"/>
              <w:spacing w:after="0"/>
              <w:rPr>
                <w:sz w:val="20"/>
                <w:szCs w:val="20"/>
                <w:color w:val="auto"/>
              </w:rPr>
            </w:pPr>
            <w:r>
              <w:rPr>
                <w:rFonts w:ascii="Arial" w:cs="Arial" w:eastAsia="Arial" w:hAnsi="Arial"/>
                <w:sz w:val="18"/>
                <w:szCs w:val="18"/>
                <w:color w:val="auto"/>
              </w:rPr>
              <w:t>282</w:t>
            </w: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(33)</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30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bl>
    <w:p>
      <w:pPr>
        <w:jc w:val="center"/>
        <w:ind w:right="40"/>
        <w:spacing w:after="0"/>
        <w:rPr>
          <w:sz w:val="20"/>
          <w:szCs w:val="20"/>
          <w:color w:val="auto"/>
        </w:rPr>
      </w:pPr>
      <w:r>
        <w:rPr>
          <w:rFonts w:ascii="Arial" w:cs="Arial" w:eastAsia="Arial" w:hAnsi="Arial"/>
          <w:sz w:val="18"/>
          <w:szCs w:val="18"/>
          <w:u w:val="single" w:color="auto"/>
          <w:color w:val="auto"/>
        </w:rPr>
        <w:t>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Allowances deducted from assets to</w:t>
      </w:r>
    </w:p>
    <w:p>
      <w:pPr>
        <w:ind w:left="20"/>
        <w:spacing w:after="0"/>
        <w:rPr>
          <w:sz w:val="20"/>
          <w:szCs w:val="20"/>
          <w:color w:val="auto"/>
        </w:rPr>
      </w:pPr>
      <w:r>
        <w:rPr>
          <w:rFonts w:ascii="Arial" w:cs="Arial" w:eastAsia="Arial" w:hAnsi="Arial"/>
          <w:sz w:val="18"/>
          <w:szCs w:val="18"/>
          <w:color w:val="auto"/>
        </w:rPr>
        <w:t>which they apply: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2000" w:type="dxa"/>
            <w:vAlign w:val="bottom"/>
          </w:tcPr>
          <w:p>
            <w:pPr>
              <w:jc w:val="right"/>
              <w:ind w:right="510"/>
              <w:spacing w:after="0"/>
              <w:rPr>
                <w:sz w:val="20"/>
                <w:szCs w:val="20"/>
                <w:color w:val="auto"/>
              </w:rPr>
            </w:pPr>
            <w:r>
              <w:rPr>
                <w:rFonts w:ascii="Arial" w:cs="Arial" w:eastAsia="Arial" w:hAnsi="Arial"/>
                <w:sz w:val="18"/>
                <w:szCs w:val="18"/>
                <w:color w:val="auto"/>
              </w:rPr>
              <w:t>71</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30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0" w:type="dxa"/>
            <w:vAlign w:val="bottom"/>
          </w:tcPr>
          <w:p>
            <w:pPr>
              <w:jc w:val="right"/>
              <w:ind w:right="510"/>
              <w:spacing w:after="0"/>
              <w:rPr>
                <w:sz w:val="20"/>
                <w:szCs w:val="20"/>
                <w:color w:val="auto"/>
              </w:rPr>
            </w:pPr>
            <w:r>
              <w:rPr>
                <w:rFonts w:ascii="Arial" w:cs="Arial" w:eastAsia="Arial" w:hAnsi="Arial"/>
                <w:sz w:val="18"/>
                <w:szCs w:val="18"/>
                <w:color w:val="auto"/>
              </w:rPr>
              <w:t>228</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76</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(14)</w:t>
            </w: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57"/>
        </w:trPr>
        <w:tc>
          <w:tcPr>
            <w:tcW w:w="300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3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 on internal control over financial reporting is included in Part II, Item 8 of this Annual Report on Form 10-K.</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change in internal control over financial reporting that occurred during the quarter ended December 31,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the principal executive officers of the Company, including their ages and positions.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0" w:type="dxa"/>
            <w:vAlign w:val="bottom"/>
            <w:gridSpan w:val="2"/>
          </w:tcPr>
          <w:p>
            <w:pPr>
              <w:ind w:left="960"/>
              <w:spacing w:after="0"/>
              <w:rPr>
                <w:sz w:val="20"/>
                <w:szCs w:val="20"/>
                <w:color w:val="auto"/>
              </w:rPr>
            </w:pPr>
            <w:r>
              <w:rPr>
                <w:rFonts w:ascii="Arial" w:cs="Arial" w:eastAsia="Arial" w:hAnsi="Arial"/>
                <w:sz w:val="18"/>
                <w:szCs w:val="18"/>
                <w:b w:val="1"/>
                <w:bCs w:val="1"/>
                <w:color w:val="auto"/>
                <w:w w:val="97"/>
              </w:rPr>
              <w:t>Year Assumed</w:t>
            </w:r>
          </w:p>
        </w:tc>
      </w:tr>
      <w:tr>
        <w:trPr>
          <w:trHeight w:val="194"/>
        </w:trPr>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2400" w:type="dxa"/>
            <w:vAlign w:val="bottom"/>
          </w:tcPr>
          <w:p>
            <w:pPr>
              <w:spacing w:after="0"/>
              <w:rPr>
                <w:sz w:val="16"/>
                <w:szCs w:val="16"/>
                <w:color w:val="auto"/>
              </w:rPr>
            </w:pPr>
          </w:p>
        </w:tc>
        <w:tc>
          <w:tcPr>
            <w:tcW w:w="500" w:type="dxa"/>
            <w:vAlign w:val="bottom"/>
            <w:gridSpan w:val="2"/>
          </w:tcPr>
          <w:p>
            <w:pPr>
              <w:jc w:val="right"/>
              <w:ind w:right="200"/>
              <w:spacing w:after="0" w:line="194" w:lineRule="exact"/>
              <w:rPr>
                <w:sz w:val="20"/>
                <w:szCs w:val="20"/>
                <w:color w:val="auto"/>
              </w:rPr>
            </w:pPr>
            <w:r>
              <w:rPr>
                <w:rFonts w:ascii="Arial" w:cs="Arial" w:eastAsia="Arial" w:hAnsi="Arial"/>
                <w:sz w:val="18"/>
                <w:szCs w:val="18"/>
                <w:b w:val="1"/>
                <w:bCs w:val="1"/>
                <w:color w:val="auto"/>
                <w:w w:val="82"/>
              </w:rPr>
              <w:t>Age</w:t>
            </w:r>
          </w:p>
        </w:tc>
        <w:tc>
          <w:tcPr>
            <w:tcW w:w="2760" w:type="dxa"/>
            <w:vAlign w:val="bottom"/>
          </w:tcPr>
          <w:p>
            <w:pPr>
              <w:spacing w:after="0"/>
              <w:rPr>
                <w:sz w:val="16"/>
                <w:szCs w:val="16"/>
                <w:color w:val="auto"/>
              </w:rPr>
            </w:pPr>
          </w:p>
        </w:tc>
        <w:tc>
          <w:tcPr>
            <w:tcW w:w="22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Title</w:t>
            </w:r>
          </w:p>
        </w:tc>
        <w:tc>
          <w:tcPr>
            <w:tcW w:w="122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Present Title</w:t>
            </w:r>
          </w:p>
        </w:tc>
      </w:tr>
      <w:tr>
        <w:trPr>
          <w:trHeight w:val="20"/>
        </w:trPr>
        <w:tc>
          <w:tcPr>
            <w:tcW w:w="4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65"/>
        </w:trPr>
        <w:tc>
          <w:tcPr>
            <w:tcW w:w="286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2016</w:t>
            </w:r>
          </w:p>
        </w:tc>
      </w:t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Gerard H. Gifford</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2017</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Djalma Novaes, Jr.</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Americas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2015</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Didier Sourisseau</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European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2017</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Hock Huat Goh</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Asia Pacific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2018</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Robert H. Bourque, Jr.</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Transit Packaging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2018</w:t>
            </w:r>
          </w:p>
        </w:tc>
      </w:t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Thomas A. Kelly</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2013</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David A. Beaver</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Vice President and Corporate Controller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2015</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right="520" w:hanging="1322"/>
        <w:spacing w:after="0" w:line="235" w:lineRule="auto"/>
        <w:tabs>
          <w:tab w:leader="none" w:pos="132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8"/>
          <w:szCs w:val="18"/>
          <w:u w:val="single" w:color="auto"/>
          <w:color w:val="auto"/>
        </w:rPr>
        <w:t>SECURITY OWNERSHIP OF CERTAIN BENEFICIAL OWNERS AND MANAGEMENT AND RELATED STOCKHOLDER MATTERS</w:t>
      </w:r>
    </w:p>
    <w:p>
      <w:pPr>
        <w:spacing w:after="0" w:line="3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required by this Item is set forth in the Company’s Proxy Statement within the sections entitled “Proxy Statement – Meeting, April 22, 2021” and “Common Stock Ownership of Certain Beneficial Owners, Directors and Executive Officers” and is incorporated herein by reference.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shares of the Company’s Common Stock that may be issued under its equity compensation plans: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1"/>
              </w:rPr>
              <w:t>Equity Compensation Plan Information</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Remaining Available</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Number of Securities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For Future Issuance</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restart"/>
          </w:tcPr>
          <w:p>
            <w:pPr>
              <w:jc w:val="center"/>
              <w:ind w:right="460"/>
              <w:spacing w:after="0"/>
              <w:rPr>
                <w:sz w:val="20"/>
                <w:szCs w:val="20"/>
                <w:color w:val="auto"/>
              </w:rPr>
            </w:pPr>
            <w:r>
              <w:rPr>
                <w:rFonts w:ascii="Arial" w:cs="Arial" w:eastAsia="Arial" w:hAnsi="Arial"/>
                <w:sz w:val="18"/>
                <w:szCs w:val="18"/>
                <w:color w:val="auto"/>
                <w:w w:val="88"/>
              </w:rPr>
              <w:t>Weighted average Exercise</w:t>
            </w: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Under Equity</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88"/>
              </w:rPr>
              <w:t>to be Issued Upon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1"/>
              </w:rPr>
              <w:t>Exercise of Outstanding</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4"/>
              </w:rPr>
              <w:t>Price of</w:t>
            </w: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89"/>
              </w:rPr>
              <w:t>Options, Warrants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1"/>
              </w:rPr>
              <w:t>Outstanding Options,</w:t>
            </w: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Securities Reflected</w:t>
            </w:r>
          </w:p>
        </w:tc>
        <w:tc>
          <w:tcPr>
            <w:tcW w:w="0" w:type="dxa"/>
            <w:vAlign w:val="bottom"/>
          </w:tcPr>
          <w:p>
            <w:pPr>
              <w:spacing w:after="0"/>
              <w:rPr>
                <w:sz w:val="1"/>
                <w:szCs w:val="1"/>
                <w:color w:val="auto"/>
              </w:rPr>
            </w:pPr>
          </w:p>
        </w:tc>
      </w:tr>
      <w:tr>
        <w:trPr>
          <w:trHeight w:val="176"/>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and Rights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88"/>
              </w:rPr>
              <w:t>Warrants and Rights</w:t>
            </w: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In Column (a))</w:t>
            </w:r>
          </w:p>
        </w:tc>
        <w:tc>
          <w:tcPr>
            <w:tcW w:w="0" w:type="dxa"/>
            <w:vAlign w:val="bottom"/>
          </w:tcPr>
          <w:p>
            <w:pPr>
              <w:spacing w:after="0"/>
              <w:rPr>
                <w:sz w:val="1"/>
                <w:szCs w:val="1"/>
                <w:color w:val="auto"/>
              </w:rPr>
            </w:pPr>
          </w:p>
        </w:tc>
      </w:tr>
      <w:tr>
        <w:trPr>
          <w:trHeight w:val="229"/>
        </w:trPr>
        <w:tc>
          <w:tcPr>
            <w:tcW w:w="3380" w:type="dxa"/>
            <w:vAlign w:val="bottom"/>
            <w:vMerge w:val="continue"/>
          </w:tcPr>
          <w:p>
            <w:pPr>
              <w:spacing w:after="0"/>
              <w:rPr>
                <w:sz w:val="19"/>
                <w:szCs w:val="19"/>
                <w:color w:val="auto"/>
              </w:rPr>
            </w:pP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(b)</w:t>
            </w:r>
          </w:p>
        </w:tc>
        <w:tc>
          <w:tcPr>
            <w:tcW w:w="1980" w:type="dxa"/>
            <w:vAlign w:val="bottom"/>
          </w:tcPr>
          <w:p>
            <w:pPr>
              <w:jc w:val="center"/>
              <w:ind w:right="13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w:t>
            </w:r>
          </w:p>
        </w:tc>
        <w:tc>
          <w:tcPr>
            <w:tcW w:w="2000" w:type="dxa"/>
            <w:vAlign w:val="bottom"/>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89"/>
              </w:rPr>
              <w:t>554,567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0" w:type="dxa"/>
            <w:vAlign w:val="bottom"/>
            <w:gridSpan w:val="3"/>
            <w:vMerge w:val="restart"/>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98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w w:val="89"/>
              </w:rPr>
              <w:t>3,037,436</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approved by security holders</w:t>
            </w:r>
          </w:p>
        </w:tc>
        <w:tc>
          <w:tcPr>
            <w:tcW w:w="2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0" w:type="dxa"/>
            <w:vAlign w:val="bottom"/>
            <w:gridSpan w:val="3"/>
            <w:vMerge w:val="continue"/>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approved by security holders</w:t>
            </w:r>
          </w:p>
        </w:tc>
        <w:tc>
          <w:tcPr>
            <w:tcW w:w="2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554,567</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3,037,436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2013 Stock-Based Incentive Compensation Plan.</w:t>
      </w:r>
    </w:p>
    <w:p>
      <w:pPr>
        <w:spacing w:after="0" w:line="252" w:lineRule="exact"/>
        <w:rPr>
          <w:rFonts w:ascii="Arial" w:cs="Arial" w:eastAsia="Arial" w:hAnsi="Arial"/>
          <w:sz w:val="18"/>
          <w:szCs w:val="18"/>
          <w:color w:val="auto"/>
        </w:rPr>
      </w:pPr>
    </w:p>
    <w:p>
      <w:pPr>
        <w:jc w:val="both"/>
        <w:ind w:left="820" w:hanging="488"/>
        <w:spacing w:after="0" w:line="263" w:lineRule="auto"/>
        <w:tabs>
          <w:tab w:leader="none" w:pos="8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554,567 shares of deferred stock awarded from the 2013 Stock-Based Incentive Compensation Plan during each year from 2013 through 2020. The shares are time-vesting and will be issued up to four years from their grant date. The weighted-average exercise price in the table does not include these shares.</w:t>
      </w:r>
    </w:p>
    <w:p>
      <w:pPr>
        <w:spacing w:after="0" w:line="210" w:lineRule="exact"/>
        <w:rPr>
          <w:rFonts w:ascii="Arial" w:cs="Arial" w:eastAsia="Arial" w:hAnsi="Arial"/>
          <w:sz w:val="18"/>
          <w:szCs w:val="18"/>
          <w:color w:val="auto"/>
        </w:rPr>
      </w:pPr>
    </w:p>
    <w:p>
      <w:pPr>
        <w:ind w:left="820" w:hanging="488"/>
        <w:spacing w:after="0" w:line="308" w:lineRule="auto"/>
        <w:tabs>
          <w:tab w:leader="none" w:pos="58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2,811,806, 724,614 and 55,583 shares available for issuance at December 31, 2020 under the 2013 Stock Based Incentive Compensation Plan, the Company’s Employee Stock Purchase Plan and the Stock Compensation Plan for Non-Employee Directors.</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ACCOUNTING FEES AND SERVICES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“Principal Accounting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9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200" w:lineRule="exact"/>
        <w:rPr>
          <w:sz w:val="20"/>
          <w:szCs w:val="20"/>
          <w:color w:val="auto"/>
        </w:rPr>
      </w:pPr>
    </w:p>
    <w:p>
      <w:pPr>
        <w:spacing w:after="0" w:line="201" w:lineRule="exact"/>
        <w:rPr>
          <w:sz w:val="20"/>
          <w:szCs w:val="20"/>
          <w:color w:val="auto"/>
        </w:rPr>
      </w:pPr>
    </w:p>
    <w:p>
      <w:pPr>
        <w:ind w:left="660" w:hanging="65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540" w:hanging="309"/>
        <w:spacing w:after="0"/>
        <w:tabs>
          <w:tab w:leader="none" w:pos="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Financial Statements (see Part II, Item 8)</w:t>
      </w:r>
    </w:p>
    <w:p>
      <w:pPr>
        <w:spacing w:after="0" w:line="252" w:lineRule="exact"/>
        <w:rPr>
          <w:rFonts w:ascii="Arial" w:cs="Arial" w:eastAsia="Arial" w:hAnsi="Arial"/>
          <w:sz w:val="18"/>
          <w:szCs w:val="18"/>
          <w:color w:val="auto"/>
        </w:rPr>
      </w:pPr>
    </w:p>
    <w:p>
      <w:pPr>
        <w:ind w:left="560" w:right="5760"/>
        <w:spacing w:after="0" w:line="598" w:lineRule="auto"/>
        <w:rPr>
          <w:rFonts w:ascii="Arial" w:cs="Arial" w:eastAsia="Arial" w:hAnsi="Arial"/>
          <w:sz w:val="18"/>
          <w:szCs w:val="18"/>
          <w:color w:val="auto"/>
        </w:rPr>
      </w:pPr>
      <w:r>
        <w:rPr>
          <w:rFonts w:ascii="Arial" w:cs="Arial" w:eastAsia="Arial" w:hAnsi="Arial"/>
          <w:sz w:val="16"/>
          <w:szCs w:val="16"/>
          <w:color w:val="auto"/>
        </w:rPr>
        <w:t>Management’s Report on Internal Control Over Financial Reporting Report of Independent Registered Public Accounting Firm</w:t>
      </w:r>
    </w:p>
    <w:p>
      <w:pPr>
        <w:spacing w:after="0" w:line="1" w:lineRule="exact"/>
        <w:rPr>
          <w:rFonts w:ascii="Arial" w:cs="Arial" w:eastAsia="Arial" w:hAnsi="Arial"/>
          <w:sz w:val="18"/>
          <w:szCs w:val="18"/>
          <w:color w:val="auto"/>
        </w:rPr>
      </w:pPr>
    </w:p>
    <w:p>
      <w:pPr>
        <w:ind w:left="560" w:right="2880"/>
        <w:spacing w:after="0" w:line="532" w:lineRule="auto"/>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2020, 2019 and 2018 Consolidated Statements of Comprehensive Income for the years ended December 31, 2020, 2019 and 2018 Consolidated Balance Sheets as of December 31, 2020 and 2019</w:t>
      </w:r>
    </w:p>
    <w:p>
      <w:pPr>
        <w:ind w:left="560" w:right="3100"/>
        <w:spacing w:after="0" w:line="532" w:lineRule="auto"/>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2019 and 2018 Consolidated Statements of Shareholders' Equity for the years ended December 31, 2020, 2019 and 2018 Notes to Consolidated Financial Statements</w:t>
      </w:r>
    </w:p>
    <w:p>
      <w:pPr>
        <w:ind w:left="560"/>
        <w:spacing w:after="0"/>
        <w:rPr>
          <w:rFonts w:ascii="Arial" w:cs="Arial" w:eastAsia="Arial" w:hAnsi="Arial"/>
          <w:sz w:val="18"/>
          <w:szCs w:val="18"/>
          <w:color w:val="auto"/>
        </w:rPr>
      </w:pPr>
      <w:r>
        <w:rPr>
          <w:rFonts w:ascii="Arial" w:cs="Arial" w:eastAsia="Arial" w:hAnsi="Arial"/>
          <w:sz w:val="18"/>
          <w:szCs w:val="18"/>
          <w:color w:val="auto"/>
        </w:rPr>
        <w:t>Supplementary Information</w:t>
      </w:r>
    </w:p>
    <w:p>
      <w:pPr>
        <w:spacing w:after="0" w:line="346" w:lineRule="exact"/>
        <w:rPr>
          <w:rFonts w:ascii="Arial" w:cs="Arial" w:eastAsia="Arial" w:hAnsi="Arial"/>
          <w:sz w:val="18"/>
          <w:szCs w:val="18"/>
          <w:color w:val="auto"/>
        </w:rPr>
      </w:pPr>
    </w:p>
    <w:p>
      <w:pPr>
        <w:ind w:left="480" w:hanging="249"/>
        <w:spacing w:after="0"/>
        <w:tabs>
          <w:tab w:leader="none" w:pos="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II – Valuation and Qualifying Accounts and Reserves for the years ended December 31, 2020, 2019 and 2018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other schedules have been omitted because they are not applicable or the required information is included in the Consolidated Financial Statements.</w:t>
      </w:r>
    </w:p>
    <w:p>
      <w:pPr>
        <w:spacing w:after="0" w:line="275" w:lineRule="exact"/>
        <w:rPr>
          <w:sz w:val="20"/>
          <w:szCs w:val="20"/>
          <w:color w:val="auto"/>
        </w:rPr>
      </w:pPr>
    </w:p>
    <w:p>
      <w:pPr>
        <w:ind w:left="540" w:hanging="309"/>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3.a </w:t>
      </w:r>
      <w:hyperlink r:id="rId113">
        <w:r>
          <w:rPr>
            <w:rFonts w:ascii="Arial" w:cs="Arial" w:eastAsia="Arial" w:hAnsi="Arial"/>
            <w:sz w:val="18"/>
            <w:szCs w:val="18"/>
            <w:u w:val="single" w:color="auto"/>
            <w:color w:val="0000FF"/>
          </w:rPr>
          <w:t>Articles of Incorporation of Crown Holdings, Inc., as amended (incorporated by reference to Exhibit 3.a of the Registrant’s Annual Report on</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Form 10-K for the year ended December 31, 2004 (File No. 000-50189)).</w:t>
        </w:r>
      </w:hyperlink>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3.b </w:t>
      </w:r>
      <w:hyperlink r:id="rId114">
        <w:r>
          <w:rPr>
            <w:rFonts w:ascii="Arial" w:cs="Arial" w:eastAsia="Arial" w:hAnsi="Arial"/>
            <w:sz w:val="18"/>
            <w:szCs w:val="18"/>
            <w:u w:val="single" w:color="auto"/>
            <w:color w:val="0000FF"/>
          </w:rPr>
          <w:t>Amended and Restated By-Laws of Crown Holdings, Inc. (incorporated by reference to Exhibit 3.ii of the Registrant's Current Report on</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Form 8-K dated March 23, 2020 (File No. 000-50189)).</w:t>
        </w:r>
      </w:hyperlink>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4.a Specimen certificate of Registrant’s Common Stock (incorporated by reference to Exhibit 4.a of the Registrant’s Annual Report on Form 10-K for the year ended December 31, 1995 (File No. 1-2227)).</w:t>
      </w:r>
    </w:p>
    <w:p>
      <w:pPr>
        <w:spacing w:after="0" w:line="197" w:lineRule="exact"/>
        <w:rPr>
          <w:rFonts w:ascii="Arial" w:cs="Arial" w:eastAsia="Arial" w:hAnsi="Arial"/>
          <w:sz w:val="18"/>
          <w:szCs w:val="18"/>
          <w:u w:val="single" w:color="auto"/>
          <w:color w:val="0000FF"/>
        </w:rPr>
      </w:pPr>
    </w:p>
    <w:p>
      <w:pPr>
        <w:ind w:left="1120" w:hanging="567"/>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4.b 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210"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4.c Form of the Registrant's 7-3/8% Debentures Due 2026 (incorporated by reference to Exhibit 99.1 of the Registrant's Current Report on Form 8-K dated December 17, 1996 (File No. 1-2227)).</w:t>
      </w:r>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4.d Officers' Certificate for 7-3/8% Debentures Due 2026 (incorporated by reference to Exhibit 99.6 of the Registrant's Current Report on Form 8-K dated December 17, 1996 (File No. 1-2227)).</w:t>
      </w:r>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4.e Form of the Registrant's 7-1/2% Debentures Due 2096 (incorporated by reference to Exhibit 99.2 of the Registrant's Current Report on Form 8-K dated December 17, 1996 (File No. 1-2227)).</w:t>
      </w:r>
    </w:p>
    <w:p>
      <w:pPr>
        <w:sectPr>
          <w:pgSz w:w="11900" w:h="16838" w:orient="portrait"/>
          <w:cols w:equalWidth="0" w:num="1">
            <w:col w:w="11220"/>
          </w:cols>
          <w:pgMar w:left="340" w:top="121" w:right="339" w:bottom="1440" w:gutter="0" w:footer="0" w:header="0"/>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1"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93" w:name="page94"/>
    <w:bookmarkEnd w:id="93"/>
    <w:p>
      <w:pPr>
        <w:ind w:left="42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380" w:hanging="566"/>
        <w:spacing w:after="0" w:line="286" w:lineRule="auto"/>
        <w:tabs>
          <w:tab w:leader="none" w:pos="36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7"/>
          <w:szCs w:val="17"/>
          <w:color w:val="auto"/>
        </w:rPr>
        <w:t>Officers' Certificate for 7-1/2% Debentures Due 2096 (incorporated by reference to Exhibit 99.7 of the Registrant's Current Report on From 8-K dated December 17, 1996 (File No. 1-2227)). 4.g Terms Agreement, dated December 12, 1996 (incorporated by reference to Exhibit 1.1 of the Registrant's Current Report on Form 8-K dated December 17, 1996 (File No. 1-2227)).</w:t>
      </w:r>
    </w:p>
    <w:p>
      <w:pPr>
        <w:spacing w:after="0" w:line="192" w:lineRule="exact"/>
        <w:rPr>
          <w:sz w:val="20"/>
          <w:szCs w:val="20"/>
          <w:color w:val="auto"/>
        </w:rPr>
      </w:pPr>
    </w:p>
    <w:p>
      <w:pPr>
        <w:jc w:val="both"/>
        <w:ind w:left="420" w:hanging="566"/>
        <w:spacing w:after="0" w:line="277" w:lineRule="auto"/>
        <w:tabs>
          <w:tab w:leader="none" w:pos="400" w:val="left"/>
        </w:tabs>
        <w:rPr>
          <w:sz w:val="20"/>
          <w:szCs w:val="20"/>
          <w:color w:val="auto"/>
        </w:rPr>
      </w:pPr>
      <w:r>
        <w:rPr>
          <w:rFonts w:ascii="Arial" w:cs="Arial" w:eastAsia="Arial" w:hAnsi="Arial"/>
          <w:sz w:val="18"/>
          <w:szCs w:val="18"/>
          <w:color w:val="auto"/>
        </w:rPr>
        <w:t>4.g</w:t>
        <w:tab/>
        <w:t>Form of Bearer Security Depositary Agreement (incorporated by reference to Exhibit 4.2 of the Registrant's Registration Statement on Form S-3, dated November 26, 1996, amended December 5 and 10, 1996 (File No. 333-16869)).</w:t>
      </w:r>
    </w:p>
    <w:p>
      <w:pPr>
        <w:spacing w:after="0" w:line="197" w:lineRule="exact"/>
        <w:rPr>
          <w:sz w:val="20"/>
          <w:szCs w:val="20"/>
          <w:color w:val="auto"/>
        </w:rPr>
      </w:pPr>
    </w:p>
    <w:p>
      <w:pPr>
        <w:jc w:val="both"/>
        <w:ind w:left="420" w:hanging="566"/>
        <w:spacing w:after="0" w:line="259" w:lineRule="auto"/>
        <w:tabs>
          <w:tab w:leader="none" w:pos="400" w:val="left"/>
        </w:tabs>
        <w:rPr>
          <w:rFonts w:ascii="Arial" w:cs="Arial" w:eastAsia="Arial" w:hAnsi="Arial"/>
          <w:sz w:val="18"/>
          <w:szCs w:val="18"/>
          <w:u w:val="single" w:color="auto"/>
          <w:color w:val="0000FF"/>
        </w:rPr>
      </w:pPr>
      <w:r>
        <w:rPr>
          <w:rFonts w:ascii="Arial" w:cs="Arial" w:eastAsia="Arial" w:hAnsi="Arial"/>
          <w:sz w:val="18"/>
          <w:szCs w:val="18"/>
          <w:color w:val="auto"/>
        </w:rPr>
        <w:t>4.h</w:t>
      </w:r>
      <w:r>
        <w:rPr>
          <w:sz w:val="20"/>
          <w:szCs w:val="20"/>
          <w:color w:val="auto"/>
        </w:rPr>
        <w:tab/>
      </w:r>
      <w:hyperlink r:id="rId116">
        <w:r>
          <w:rPr>
            <w:rFonts w:ascii="Arial" w:cs="Arial" w:eastAsia="Arial" w:hAnsi="Arial"/>
            <w:sz w:val="18"/>
            <w:szCs w:val="18"/>
            <w:u w:val="single" w:color="auto"/>
            <w:color w:val="0000FF"/>
          </w:rPr>
          <w:t>Supplemental Indenture to Indenture dated December 17, 1996, dated as of February 25, 2003, between Crown Cork &amp; Seal Company, Inc.,</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as Issuer and Guarantor, Crown Cork &amp; Seal Finance PLC, as Issuer, Crown Cork &amp; Seal Finance S.A., as Issuer, Crown Holdings, Inc., as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Additional Guarantor and Bank One Trust Company, N.A., as Trustee (incorporated by reference to Exhibit 4.5 of the Registrant’s Current</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Report on Form 8-K dated February 26, 2003 (File No. 000-50189)).</w:t>
        </w:r>
      </w:hyperlink>
    </w:p>
    <w:p>
      <w:pPr>
        <w:spacing w:after="0" w:line="214" w:lineRule="exact"/>
        <w:rPr>
          <w:rFonts w:ascii="Arial" w:cs="Arial" w:eastAsia="Arial" w:hAnsi="Arial"/>
          <w:sz w:val="18"/>
          <w:szCs w:val="18"/>
          <w:u w:val="single" w:color="auto"/>
          <w:color w:val="0000FF"/>
        </w:rPr>
      </w:pPr>
    </w:p>
    <w:p>
      <w:pPr>
        <w:jc w:val="both"/>
        <w:ind w:left="360" w:hanging="566"/>
        <w:spacing w:after="0" w:line="311" w:lineRule="auto"/>
        <w:tabs>
          <w:tab w:leader="none" w:pos="340" w:val="left"/>
        </w:tabs>
        <w:rPr>
          <w:rFonts w:ascii="Arial" w:cs="Arial" w:eastAsia="Arial" w:hAnsi="Arial"/>
          <w:sz w:val="16"/>
          <w:szCs w:val="16"/>
          <w:u w:val="single" w:color="auto"/>
          <w:color w:val="0000FF"/>
        </w:rPr>
      </w:pPr>
      <w:r>
        <w:rPr>
          <w:rFonts w:ascii="Arial" w:cs="Arial" w:eastAsia="Arial" w:hAnsi="Arial"/>
          <w:sz w:val="18"/>
          <w:szCs w:val="18"/>
          <w:color w:val="auto"/>
        </w:rPr>
        <w:t>4.i</w:t>
      </w:r>
      <w:r>
        <w:rPr>
          <w:sz w:val="20"/>
          <w:szCs w:val="20"/>
          <w:color w:val="auto"/>
        </w:rPr>
        <w:tab/>
      </w:r>
      <w:hyperlink r:id="rId117">
        <w:r>
          <w:rPr>
            <w:rFonts w:ascii="Arial" w:cs="Arial" w:eastAsia="Arial" w:hAnsi="Arial"/>
            <w:sz w:val="16"/>
            <w:szCs w:val="16"/>
            <w:u w:val="single" w:color="auto"/>
            <w:color w:val="0000FF"/>
          </w:rPr>
          <w:t>Indenture, dated as of January 9, 2013, by and among Crown Americas LLC and Crown Americas Capital Corp. IV, as Issuers, the Guarantors</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named therein and The Bank of New York Mellon Trust Company, N.A., as Trustee, relating to the 4 1/2% Senior Notes due 2023</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(incorporated by reference to Exhibit 4.2 of the Registrant's Current Report on Form 8-K dated January 9, 2013 (File No. 000-50189)).</w:t>
        </w:r>
      </w:hyperlink>
    </w:p>
    <w:p>
      <w:pPr>
        <w:spacing w:after="0" w:line="176" w:lineRule="exact"/>
        <w:rPr>
          <w:rFonts w:ascii="Arial" w:cs="Arial" w:eastAsia="Arial" w:hAnsi="Arial"/>
          <w:sz w:val="16"/>
          <w:szCs w:val="16"/>
          <w:u w:val="single" w:color="auto"/>
          <w:color w:val="0000FF"/>
        </w:rPr>
      </w:pPr>
    </w:p>
    <w:p>
      <w:pPr>
        <w:spacing w:after="0"/>
        <w:tabs>
          <w:tab w:leader="none" w:pos="340" w:val="left"/>
        </w:tabs>
        <w:rPr>
          <w:rFonts w:ascii="Arial" w:cs="Arial" w:eastAsia="Arial" w:hAnsi="Arial"/>
          <w:sz w:val="16"/>
          <w:szCs w:val="16"/>
          <w:u w:val="single" w:color="auto"/>
          <w:color w:val="0000FF"/>
        </w:rPr>
      </w:pPr>
      <w:r>
        <w:rPr>
          <w:rFonts w:ascii="Arial" w:cs="Arial" w:eastAsia="Arial" w:hAnsi="Arial"/>
          <w:sz w:val="18"/>
          <w:szCs w:val="18"/>
          <w:color w:val="auto"/>
        </w:rPr>
        <w:t>4.j</w:t>
      </w:r>
      <w:r>
        <w:rPr>
          <w:sz w:val="20"/>
          <w:szCs w:val="20"/>
          <w:color w:val="auto"/>
        </w:rPr>
        <w:tab/>
      </w:r>
      <w:hyperlink r:id="rId118">
        <w:r>
          <w:rPr>
            <w:rFonts w:ascii="Arial" w:cs="Arial" w:eastAsia="Arial" w:hAnsi="Arial"/>
            <w:sz w:val="16"/>
            <w:szCs w:val="16"/>
            <w:u w:val="single" w:color="auto"/>
            <w:color w:val="0000FF"/>
          </w:rPr>
          <w:t>Form of 4 ½% Senior Notes due 2023 (incorporated by reference to Exhibit 4.1 of the Registrant's Current Report on Form 8-K Dated January</w:t>
        </w:r>
      </w:hyperlink>
    </w:p>
    <w:p>
      <w:pPr>
        <w:spacing w:after="0" w:line="23" w:lineRule="exact"/>
        <w:rPr>
          <w:rFonts w:ascii="Arial" w:cs="Arial" w:eastAsia="Arial" w:hAnsi="Arial"/>
          <w:sz w:val="16"/>
          <w:szCs w:val="16"/>
          <w:u w:val="single" w:color="auto"/>
          <w:color w:val="0000FF"/>
        </w:rPr>
      </w:pPr>
    </w:p>
    <w:p>
      <w:pPr>
        <w:ind w:left="56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15, 2013 (File No. 000-50189)).</w:t>
        </w:r>
      </w:hyperlink>
    </w:p>
    <w:p>
      <w:pPr>
        <w:spacing w:after="0" w:line="238" w:lineRule="exact"/>
        <w:rPr>
          <w:rFonts w:ascii="Arial" w:cs="Arial" w:eastAsia="Arial" w:hAnsi="Arial"/>
          <w:sz w:val="16"/>
          <w:szCs w:val="16"/>
          <w:u w:val="single" w:color="auto"/>
          <w:color w:val="0000FF"/>
        </w:rPr>
      </w:pPr>
    </w:p>
    <w:p>
      <w:pPr>
        <w:jc w:val="both"/>
        <w:ind w:left="520" w:hanging="566"/>
        <w:spacing w:after="0" w:line="286" w:lineRule="auto"/>
        <w:tabs>
          <w:tab w:leader="none" w:pos="500" w:val="left"/>
        </w:tabs>
        <w:rPr>
          <w:rFonts w:ascii="Arial" w:cs="Arial" w:eastAsia="Arial" w:hAnsi="Arial"/>
          <w:sz w:val="17"/>
          <w:szCs w:val="17"/>
          <w:u w:val="single" w:color="auto"/>
          <w:color w:val="0000FF"/>
        </w:rPr>
      </w:pPr>
      <w:r>
        <w:rPr>
          <w:rFonts w:ascii="Arial" w:cs="Arial" w:eastAsia="Arial" w:hAnsi="Arial"/>
          <w:sz w:val="18"/>
          <w:szCs w:val="18"/>
          <w:color w:val="auto"/>
        </w:rPr>
        <w:t>4.k</w:t>
      </w:r>
      <w:r>
        <w:rPr>
          <w:sz w:val="20"/>
          <w:szCs w:val="20"/>
          <w:color w:val="auto"/>
        </w:rPr>
        <w:tab/>
      </w:r>
      <w:hyperlink r:id="rId119">
        <w:r>
          <w:rPr>
            <w:rFonts w:ascii="Arial" w:cs="Arial" w:eastAsia="Arial" w:hAnsi="Arial"/>
            <w:sz w:val="17"/>
            <w:szCs w:val="17"/>
            <w:u w:val="single" w:color="auto"/>
            <w:color w:val="0000FF"/>
          </w:rPr>
          <w:t>Indenture, dated as of July 8, 2014, by and among Crown European Holdings S.A., as Issuer, the Guarantors named therein, U.S. Bank</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National Association, as Trustee, and the other parties thereto, relating to the €650 million 4% Senior Notes due 2022 (incorporated by</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reference to Exhibit 4.1 of the Registrant's Current Report on Form 8-K dated July 11, 2014 (File No. 000-50189)).</w:t>
        </w:r>
      </w:hyperlink>
    </w:p>
    <w:p>
      <w:pPr>
        <w:spacing w:after="0" w:line="192" w:lineRule="exact"/>
        <w:rPr>
          <w:rFonts w:ascii="Arial" w:cs="Arial" w:eastAsia="Arial" w:hAnsi="Arial"/>
          <w:sz w:val="17"/>
          <w:szCs w:val="17"/>
          <w:u w:val="single" w:color="auto"/>
          <w:color w:val="0000FF"/>
        </w:rPr>
      </w:pPr>
    </w:p>
    <w:p>
      <w:pPr>
        <w:spacing w:after="0"/>
        <w:tabs>
          <w:tab w:leader="none" w:pos="380" w:val="left"/>
        </w:tabs>
        <w:rPr>
          <w:rFonts w:ascii="Arial" w:cs="Arial" w:eastAsia="Arial" w:hAnsi="Arial"/>
          <w:sz w:val="16"/>
          <w:szCs w:val="16"/>
          <w:u w:val="single" w:color="auto"/>
          <w:color w:val="0000FF"/>
        </w:rPr>
      </w:pPr>
      <w:r>
        <w:rPr>
          <w:rFonts w:ascii="Arial" w:cs="Arial" w:eastAsia="Arial" w:hAnsi="Arial"/>
          <w:sz w:val="18"/>
          <w:szCs w:val="18"/>
          <w:color w:val="auto"/>
        </w:rPr>
        <w:t>4.l</w:t>
      </w:r>
      <w:r>
        <w:rPr>
          <w:sz w:val="20"/>
          <w:szCs w:val="20"/>
          <w:color w:val="auto"/>
        </w:rPr>
        <w:tab/>
      </w:r>
      <w:hyperlink r:id="rId120">
        <w:r>
          <w:rPr>
            <w:rFonts w:ascii="Arial" w:cs="Arial" w:eastAsia="Arial" w:hAnsi="Arial"/>
            <w:sz w:val="16"/>
            <w:szCs w:val="16"/>
            <w:u w:val="single" w:color="auto"/>
            <w:color w:val="0000FF"/>
          </w:rPr>
          <w:t>Form of 4% Senior Notes due 2022 (included in Exhibit 4.p)</w:t>
        </w:r>
      </w:hyperlink>
      <w:r>
        <w:rPr>
          <w:rFonts w:ascii="Arial" w:cs="Arial" w:eastAsia="Arial" w:hAnsi="Arial"/>
          <w:sz w:val="16"/>
          <w:szCs w:val="16"/>
          <w:color w:val="000000"/>
        </w:rPr>
        <w:t>.</w:t>
      </w:r>
    </w:p>
    <w:p>
      <w:pPr>
        <w:spacing w:after="0" w:line="252" w:lineRule="exact"/>
        <w:rPr>
          <w:rFonts w:ascii="Arial" w:cs="Arial" w:eastAsia="Arial" w:hAnsi="Arial"/>
          <w:sz w:val="17"/>
          <w:szCs w:val="17"/>
          <w:u w:val="single" w:color="auto"/>
          <w:color w:val="0000FF"/>
        </w:rPr>
      </w:pPr>
    </w:p>
    <w:p>
      <w:pPr>
        <w:jc w:val="both"/>
        <w:ind w:left="500" w:hanging="566"/>
        <w:spacing w:after="0" w:line="311" w:lineRule="auto"/>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4.m</w:t>
      </w:r>
      <w:r>
        <w:rPr>
          <w:sz w:val="20"/>
          <w:szCs w:val="20"/>
          <w:color w:val="auto"/>
        </w:rPr>
        <w:tab/>
      </w:r>
      <w:hyperlink r:id="rId121">
        <w:r>
          <w:rPr>
            <w:rFonts w:ascii="Arial" w:cs="Arial" w:eastAsia="Arial" w:hAnsi="Arial"/>
            <w:sz w:val="16"/>
            <w:szCs w:val="16"/>
            <w:u w:val="single" w:color="auto"/>
            <w:color w:val="0000FF"/>
          </w:rPr>
          <w:t>Indenture, dated as of September 15, 2016, by and among Crown European Holdings, S.A., as Issuer, the Guarantors named therein, U.S..</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Bank National Association, as Trustee, and the other parties thereto, relating to the €600 million 2.625% Senior Notes due 2024</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(incorporated by reference to Exhibit 4.1 of the Registrant's Current Report on Form 8-K dated September 19, 2016 (File No. 000-50189)).</w:t>
        </w:r>
      </w:hyperlink>
    </w:p>
    <w:p>
      <w:pPr>
        <w:spacing w:after="0" w:line="176" w:lineRule="exact"/>
        <w:rPr>
          <w:rFonts w:ascii="Arial" w:cs="Arial" w:eastAsia="Arial" w:hAnsi="Arial"/>
          <w:sz w:val="16"/>
          <w:szCs w:val="16"/>
          <w:u w:val="single" w:color="auto"/>
          <w:color w:val="0000FF"/>
        </w:rPr>
      </w:pPr>
    </w:p>
    <w:p>
      <w:pPr>
        <w:jc w:val="both"/>
        <w:ind w:left="500" w:hanging="566"/>
        <w:spacing w:after="0" w:line="311" w:lineRule="auto"/>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4.n</w:t>
      </w:r>
      <w:r>
        <w:rPr>
          <w:sz w:val="20"/>
          <w:szCs w:val="20"/>
          <w:color w:val="auto"/>
        </w:rPr>
        <w:tab/>
      </w:r>
      <w:hyperlink r:id="rId122">
        <w:r>
          <w:rPr>
            <w:rFonts w:ascii="Arial" w:cs="Arial" w:eastAsia="Arial" w:hAnsi="Arial"/>
            <w:sz w:val="16"/>
            <w:szCs w:val="16"/>
            <w:u w:val="single" w:color="auto"/>
            <w:color w:val="0000FF"/>
          </w:rPr>
          <w:t>Indenture, dated as of September 15, 2016, by and among Crown Americas LLC and Crown Americas Capital Corp. V, as Issuers, the</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Guarantors named therein and U.S. Bank National Association, as Trustee, relating to the $400 million 4.250% Senior Notes due 2026</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(incorporated by reference to Exhibit 4.2 of the Registrant's Current Report on Form 8-K dated September 19, 2016 (File No. 000-50189)).</w:t>
        </w:r>
      </w:hyperlink>
    </w:p>
    <w:p>
      <w:pPr>
        <w:spacing w:after="0" w:line="176" w:lineRule="exact"/>
        <w:rPr>
          <w:rFonts w:ascii="Arial" w:cs="Arial" w:eastAsia="Arial" w:hAnsi="Arial"/>
          <w:sz w:val="16"/>
          <w:szCs w:val="16"/>
          <w:u w:val="single" w:color="auto"/>
          <w:color w:val="0000FF"/>
        </w:rPr>
      </w:pPr>
    </w:p>
    <w:p>
      <w:pPr>
        <w:jc w:val="both"/>
        <w:ind w:left="520" w:hanging="566"/>
        <w:spacing w:after="0" w:line="259" w:lineRule="auto"/>
        <w:tabs>
          <w:tab w:leader="none" w:pos="500" w:val="left"/>
        </w:tabs>
        <w:rPr>
          <w:rFonts w:ascii="Arial" w:cs="Arial" w:eastAsia="Arial" w:hAnsi="Arial"/>
          <w:sz w:val="18"/>
          <w:szCs w:val="18"/>
          <w:u w:val="single" w:color="auto"/>
          <w:color w:val="0000FF"/>
        </w:rPr>
      </w:pPr>
      <w:r>
        <w:rPr>
          <w:rFonts w:ascii="Arial" w:cs="Arial" w:eastAsia="Arial" w:hAnsi="Arial"/>
          <w:sz w:val="18"/>
          <w:szCs w:val="18"/>
          <w:color w:val="auto"/>
        </w:rPr>
        <w:t>4.o</w:t>
      </w:r>
      <w:r>
        <w:rPr>
          <w:sz w:val="20"/>
          <w:szCs w:val="20"/>
          <w:color w:val="auto"/>
        </w:rPr>
        <w:tab/>
      </w:r>
      <w:hyperlink r:id="rId123">
        <w:r>
          <w:rPr>
            <w:rFonts w:ascii="Arial" w:cs="Arial" w:eastAsia="Arial" w:hAnsi="Arial"/>
            <w:sz w:val="18"/>
            <w:szCs w:val="18"/>
            <w:u w:val="single" w:color="auto"/>
            <w:color w:val="0000FF"/>
          </w:rPr>
          <w:t>Indenture, dated as of May 5, 2015, among Crown European Holdings S.A., the Guarantors (as defined therein), U.S. Bank National</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Association, as trustee, Elavon Financial Services Limited, UK Branch, as paying agent, and Elavon Financial Services Limited, as registrar</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and transfer agent, relating to the €600 million 3.375% Senior Notes due 2025 (incorporated by reference to Exhibit 10.1 of the Registrant's</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Quarterly Report on Form 10-Q dated July 30, 2015 (File No. 000-50189)).</w:t>
        </w:r>
      </w:hyperlink>
    </w:p>
    <w:p>
      <w:pPr>
        <w:spacing w:after="0" w:line="214" w:lineRule="exact"/>
        <w:rPr>
          <w:rFonts w:ascii="Arial" w:cs="Arial" w:eastAsia="Arial" w:hAnsi="Arial"/>
          <w:sz w:val="18"/>
          <w:szCs w:val="18"/>
          <w:u w:val="single" w:color="auto"/>
          <w:color w:val="0000FF"/>
        </w:rPr>
      </w:pPr>
    </w:p>
    <w:p>
      <w:pPr>
        <w:jc w:val="both"/>
        <w:ind w:left="420" w:hanging="566"/>
        <w:spacing w:after="0" w:line="296" w:lineRule="auto"/>
        <w:tabs>
          <w:tab w:leader="none" w:pos="400" w:val="left"/>
        </w:tabs>
        <w:rPr>
          <w:rFonts w:ascii="Arial" w:cs="Arial" w:eastAsia="Arial" w:hAnsi="Arial"/>
          <w:sz w:val="16"/>
          <w:szCs w:val="16"/>
          <w:u w:val="single" w:color="auto"/>
          <w:color w:val="0000FF"/>
        </w:rPr>
      </w:pPr>
      <w:r>
        <w:rPr>
          <w:rFonts w:ascii="Arial" w:cs="Arial" w:eastAsia="Arial" w:hAnsi="Arial"/>
          <w:sz w:val="18"/>
          <w:szCs w:val="18"/>
          <w:color w:val="auto"/>
        </w:rPr>
        <w:t>4.p</w:t>
      </w:r>
      <w:r>
        <w:rPr>
          <w:sz w:val="20"/>
          <w:szCs w:val="20"/>
          <w:color w:val="auto"/>
        </w:rPr>
        <w:tab/>
      </w:r>
      <w:hyperlink r:id="rId124">
        <w:r>
          <w:rPr>
            <w:rFonts w:ascii="Arial" w:cs="Arial" w:eastAsia="Arial" w:hAnsi="Arial"/>
            <w:sz w:val="16"/>
            <w:szCs w:val="16"/>
            <w:u w:val="single" w:color="auto"/>
            <w:color w:val="0000FF"/>
          </w:rPr>
          <w:t>Amended &amp; Restated Credit Agreement, dated April 7, 2017, by and among Crown Americas LLC, Crown European Holdings S.A., Crown</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Metal Packaging Canada LP, each of the Subsidiary Borrowers from time to time party thereto, Crown Holdings, Inc., Crown Cork &amp; Seal</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Company, Inc., Crown International Holdings, Inc., each other Credit Party from time to time party thereto, Deutsche Bank AG Canada</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Branch, Deutsche Bank AG London Branch, Deutsche Bank AG New York Branch, and various Lenders referred to therein (incorporated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by reference to Exhibit 4 of the Registrant's Quarterly Report on Form 10-Q for the quarter ended March 31, 2017 (File No. 000-50189)).</w:t>
        </w:r>
      </w:hyperlink>
    </w:p>
    <w:p>
      <w:pPr>
        <w:spacing w:after="0" w:line="188" w:lineRule="exact"/>
        <w:rPr>
          <w:rFonts w:ascii="Arial" w:cs="Arial" w:eastAsia="Arial" w:hAnsi="Arial"/>
          <w:sz w:val="16"/>
          <w:szCs w:val="16"/>
          <w:u w:val="single" w:color="auto"/>
          <w:color w:val="0000FF"/>
        </w:rPr>
      </w:pPr>
    </w:p>
    <w:p>
      <w:pPr>
        <w:jc w:val="both"/>
        <w:ind w:left="500" w:hanging="566"/>
        <w:spacing w:after="0" w:line="257" w:lineRule="auto"/>
        <w:tabs>
          <w:tab w:leader="none" w:pos="480" w:val="left"/>
        </w:tabs>
        <w:rPr>
          <w:rFonts w:ascii="Arial" w:cs="Arial" w:eastAsia="Arial" w:hAnsi="Arial"/>
          <w:sz w:val="18"/>
          <w:szCs w:val="18"/>
          <w:u w:val="single" w:color="auto"/>
          <w:color w:val="0000FF"/>
        </w:rPr>
      </w:pPr>
      <w:r>
        <w:rPr>
          <w:rFonts w:ascii="Arial" w:cs="Arial" w:eastAsia="Arial" w:hAnsi="Arial"/>
          <w:sz w:val="18"/>
          <w:szCs w:val="18"/>
          <w:color w:val="auto"/>
        </w:rPr>
        <w:t>4.q</w:t>
      </w:r>
      <w:r>
        <w:rPr>
          <w:sz w:val="20"/>
          <w:szCs w:val="20"/>
          <w:color w:val="auto"/>
        </w:rPr>
        <w:tab/>
      </w:r>
      <w:hyperlink r:id="rId125">
        <w:r>
          <w:rPr>
            <w:rFonts w:ascii="Arial" w:cs="Arial" w:eastAsia="Arial" w:hAnsi="Arial"/>
            <w:sz w:val="18"/>
            <w:szCs w:val="18"/>
            <w:u w:val="single" w:color="auto"/>
            <w:color w:val="0000FF"/>
          </w:rPr>
          <w:t>First Amendment to Amended and Restated Credit Agreement, dated as of December 28, 2017, among Crown Americas LLC, Crown</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European Holdings S.A., Crown Metal Packaging Canada LP, each of the Subsidiary Borrowers party thereto, Crown Holdings, Inc.,</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Crown Cork &amp; Seal Company, Inc. and Crown International Holdings, Inc., each other Credit Party from time to time party thereto,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Deutsche Bank AG New York Branch, Deutsche Bank AG, London Branch, Deutsche Bank AG, Canada Branch, and various Lenders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referred to</w:t>
        </w:r>
      </w:hyperlink>
    </w:p>
    <w:p>
      <w:pPr>
        <w:spacing w:after="0" w:line="200" w:lineRule="exact"/>
        <w:rPr>
          <w:rFonts w:ascii="Arial" w:cs="Arial" w:eastAsia="Arial" w:hAnsi="Arial"/>
          <w:sz w:val="18"/>
          <w:szCs w:val="18"/>
          <w:u w:val="single" w:color="auto"/>
          <w:color w:val="0000FF"/>
        </w:rPr>
      </w:pPr>
    </w:p>
    <w:p>
      <w:pPr>
        <w:spacing w:after="0" w:line="325" w:lineRule="exact"/>
        <w:rPr>
          <w:rFonts w:ascii="Arial" w:cs="Arial" w:eastAsia="Arial" w:hAnsi="Arial"/>
          <w:sz w:val="18"/>
          <w:szCs w:val="18"/>
          <w:u w:val="single" w:color="auto"/>
          <w:color w:val="0000FF"/>
        </w:rPr>
      </w:pPr>
    </w:p>
    <w:p>
      <w:pPr>
        <w:ind w:left="4960"/>
        <w:spacing w:after="0"/>
        <w:rPr>
          <w:sz w:val="20"/>
          <w:szCs w:val="20"/>
          <w:color w:val="auto"/>
        </w:rPr>
      </w:pPr>
      <w:r>
        <w:rPr>
          <w:rFonts w:ascii="Arial" w:cs="Arial" w:eastAsia="Arial" w:hAnsi="Arial"/>
          <w:sz w:val="18"/>
          <w:szCs w:val="18"/>
          <w:color w:val="auto"/>
        </w:rPr>
        <w:t>92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94" w:name="page95"/>
    <w:bookmarkEnd w:id="94"/>
    <w:p>
      <w:pPr>
        <w:ind w:left="38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60"/>
        <w:spacing w:after="0" w:line="277"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therein (incorporated by reference to Exhibit 4 of the Registrant's Annual Report on Form 10-K for the year ended December 31, 2017 (File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No. 000-50189)).</w:t>
        </w:r>
      </w:hyperlink>
    </w:p>
    <w:p>
      <w:pPr>
        <w:spacing w:after="0" w:line="197" w:lineRule="exact"/>
        <w:rPr>
          <w:sz w:val="20"/>
          <w:szCs w:val="20"/>
          <w:color w:val="auto"/>
        </w:rPr>
      </w:pPr>
    </w:p>
    <w:p>
      <w:pPr>
        <w:jc w:val="both"/>
        <w:ind w:left="20" w:hanging="566"/>
        <w:spacing w:after="0" w:line="275" w:lineRule="auto"/>
        <w:rPr>
          <w:rFonts w:ascii="Arial" w:cs="Arial" w:eastAsia="Arial" w:hAnsi="Arial"/>
          <w:sz w:val="17"/>
          <w:szCs w:val="17"/>
          <w:u w:val="single" w:color="auto"/>
          <w:color w:val="0000FF"/>
        </w:rPr>
      </w:pPr>
      <w:r>
        <w:rPr>
          <w:rFonts w:ascii="Arial" w:cs="Arial" w:eastAsia="Arial" w:hAnsi="Arial"/>
          <w:sz w:val="18"/>
          <w:szCs w:val="18"/>
          <w:color w:val="auto"/>
        </w:rPr>
        <w:t>4.r</w:t>
      </w:r>
      <w:r>
        <w:rPr>
          <w:sz w:val="20"/>
          <w:szCs w:val="20"/>
          <w:color w:val="auto"/>
        </w:rPr>
        <w:t xml:space="preserve"> </w:t>
      </w:r>
      <w:hyperlink r:id="rId127">
        <w:r>
          <w:rPr>
            <w:rFonts w:ascii="Arial" w:cs="Arial" w:eastAsia="Arial" w:hAnsi="Arial"/>
            <w:sz w:val="17"/>
            <w:szCs w:val="17"/>
            <w:u w:val="single" w:color="auto"/>
            <w:color w:val="0000FF"/>
          </w:rPr>
          <w:t>Incremental Amendment No. 1, dated as of January 29, 2018, among Crown Americas LLC, Crown European Holdings S.A., Crown Metal</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Packaging Canada LP, each of the Subsidiary Borrowers party thereto, Crown Holdings, Inc., Crown Cork &amp; Seal Company, Inc. and</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Crown International Holdings, Inc., each other Credit Party from time to time party thereto, Deutsche Bank AG New York Branch,</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Deutsche Bank AG, London Branch, Deutsche Bank AG, Canada Branch, and various Lenders referred to therein (incorporated by</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reference to Exhibit 4.1 of the Registrant's Annual Report on Form 10-K for the year ended December 31, 2017).</w:t>
        </w:r>
      </w:hyperlink>
    </w:p>
    <w:p>
      <w:pPr>
        <w:spacing w:after="0" w:line="176" w:lineRule="exact"/>
        <w:rPr>
          <w:rFonts w:ascii="Arial" w:cs="Arial" w:eastAsia="Arial" w:hAnsi="Arial"/>
          <w:sz w:val="17"/>
          <w:szCs w:val="17"/>
          <w:u w:val="single" w:color="auto"/>
          <w:color w:val="0000FF"/>
        </w:rPr>
      </w:pPr>
    </w:p>
    <w:p>
      <w:pPr>
        <w:jc w:val="both"/>
        <w:ind w:hanging="566"/>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4.s</w:t>
      </w:r>
      <w:r>
        <w:rPr>
          <w:sz w:val="20"/>
          <w:szCs w:val="20"/>
          <w:color w:val="auto"/>
        </w:rPr>
        <w:t xml:space="preserve"> </w:t>
      </w:r>
      <w:hyperlink r:id="rId128">
        <w:r>
          <w:rPr>
            <w:rFonts w:ascii="Arial" w:cs="Arial" w:eastAsia="Arial" w:hAnsi="Arial"/>
            <w:sz w:val="18"/>
            <w:szCs w:val="18"/>
            <w:u w:val="single" w:color="auto"/>
            <w:color w:val="0000FF"/>
          </w:rPr>
          <w:t>Indenture, dated as of January 26, 2018, by and among Crown European Holdings S.A., as Issuer, the Guarantors named therein, U.S. Bank</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National Association, as Trustee, and the other parties thereto, relating to the €335 million 2.250% Senior Notes due 2023 and the €500</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million 2.875% Senior Notes due 2026 (incorporated by reference to Exhibit 4.1 of the Registrant's Current Report on Form 8-K dated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February 1, 2018 (File No. 000-50189)).</w:t>
        </w:r>
      </w:hyperlink>
    </w:p>
    <w:p>
      <w:pPr>
        <w:spacing w:after="0" w:line="214" w:lineRule="exact"/>
        <w:rPr>
          <w:rFonts w:ascii="Arial" w:cs="Arial" w:eastAsia="Arial" w:hAnsi="Arial"/>
          <w:sz w:val="18"/>
          <w:szCs w:val="18"/>
          <w:u w:val="single" w:color="auto"/>
          <w:color w:val="0000FF"/>
        </w:rPr>
      </w:pPr>
    </w:p>
    <w:p>
      <w:pPr>
        <w:jc w:val="both"/>
        <w:ind w:left="80" w:hanging="566"/>
        <w:spacing w:after="0" w:line="286" w:lineRule="auto"/>
        <w:tabs>
          <w:tab w:leader="none" w:pos="60" w:val="left"/>
        </w:tabs>
        <w:rPr>
          <w:rFonts w:ascii="Arial" w:cs="Arial" w:eastAsia="Arial" w:hAnsi="Arial"/>
          <w:sz w:val="17"/>
          <w:szCs w:val="17"/>
          <w:u w:val="single" w:color="auto"/>
          <w:color w:val="0000FF"/>
        </w:rPr>
      </w:pPr>
      <w:r>
        <w:rPr>
          <w:rFonts w:ascii="Arial" w:cs="Arial" w:eastAsia="Arial" w:hAnsi="Arial"/>
          <w:sz w:val="18"/>
          <w:szCs w:val="18"/>
          <w:color w:val="auto"/>
        </w:rPr>
        <w:t>4.t</w:t>
      </w:r>
      <w:r>
        <w:rPr>
          <w:sz w:val="20"/>
          <w:szCs w:val="20"/>
          <w:color w:val="auto"/>
        </w:rPr>
        <w:tab/>
      </w:r>
      <w:hyperlink r:id="rId129">
        <w:r>
          <w:rPr>
            <w:rFonts w:ascii="Arial" w:cs="Arial" w:eastAsia="Arial" w:hAnsi="Arial"/>
            <w:sz w:val="17"/>
            <w:szCs w:val="17"/>
            <w:u w:val="single" w:color="auto"/>
            <w:color w:val="0000FF"/>
          </w:rPr>
          <w:t>Indenture, dated as of January 26, 2018, by and among Crown Americas LLC and Crown Americas Capital Corp. VI, as Issuers, the</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Guarantors named therein and U.S. Bank National Association, as Trustee, relating to the $875 million 4.750% Senior Notes due 2026</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(incorporated by reference to Exhibit 4.2 of the Registrant's Current Report on Form 8-K dated February 1, 2018 (File No. 000-50189)).</w:t>
        </w:r>
      </w:hyperlink>
    </w:p>
    <w:p>
      <w:pPr>
        <w:spacing w:after="0" w:line="192" w:lineRule="exact"/>
        <w:rPr>
          <w:rFonts w:ascii="Arial" w:cs="Arial" w:eastAsia="Arial" w:hAnsi="Arial"/>
          <w:sz w:val="17"/>
          <w:szCs w:val="17"/>
          <w:u w:val="single" w:color="auto"/>
          <w:color w:val="0000FF"/>
        </w:rPr>
      </w:pPr>
    </w:p>
    <w:p>
      <w:pPr>
        <w:jc w:val="both"/>
        <w:ind w:left="100" w:hanging="566"/>
        <w:spacing w:after="0" w:line="259" w:lineRule="auto"/>
        <w:tabs>
          <w:tab w:leader="none" w:pos="80" w:val="left"/>
        </w:tabs>
        <w:rPr>
          <w:rFonts w:ascii="Arial" w:cs="Arial" w:eastAsia="Arial" w:hAnsi="Arial"/>
          <w:sz w:val="18"/>
          <w:szCs w:val="18"/>
          <w:u w:val="single" w:color="auto"/>
          <w:color w:val="0000FF"/>
        </w:rPr>
      </w:pPr>
      <w:r>
        <w:rPr>
          <w:rFonts w:ascii="Arial" w:cs="Arial" w:eastAsia="Arial" w:hAnsi="Arial"/>
          <w:sz w:val="18"/>
          <w:szCs w:val="18"/>
          <w:color w:val="auto"/>
        </w:rPr>
        <w:t>4.u</w:t>
      </w:r>
      <w:r>
        <w:rPr>
          <w:sz w:val="20"/>
          <w:szCs w:val="20"/>
          <w:color w:val="auto"/>
        </w:rPr>
        <w:tab/>
      </w:r>
      <w:hyperlink r:id="rId130">
        <w:r>
          <w:rPr>
            <w:rFonts w:ascii="Arial" w:cs="Arial" w:eastAsia="Arial" w:hAnsi="Arial"/>
            <w:sz w:val="18"/>
            <w:szCs w:val="18"/>
            <w:u w:val="single" w:color="auto"/>
            <w:color w:val="0000FF"/>
          </w:rPr>
          <w:t>Registration Rights Agreement, dated as of January 26, 2018, by and among Crown Holdings, Inc., Crown Americas LLC and Crown</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Americas Capital Corp. VI, Citigroup Global Markets Inc., as representative of the initial purchasers, and the Guarantors (as defined</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therein), relating to the $875 million 4.750% Senior Notes due 2026 (incorporated by reference to Exhibit 4.3 of the Registrant's Current</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Report on Form 8-K dated February 1, 2018 (File No. 000-50189)).</w:t>
        </w:r>
      </w:hyperlink>
    </w:p>
    <w:p>
      <w:pPr>
        <w:spacing w:after="0" w:line="214" w:lineRule="exact"/>
        <w:rPr>
          <w:rFonts w:ascii="Arial" w:cs="Arial" w:eastAsia="Arial" w:hAnsi="Arial"/>
          <w:sz w:val="18"/>
          <w:szCs w:val="18"/>
          <w:u w:val="single" w:color="auto"/>
          <w:color w:val="0000FF"/>
        </w:rPr>
      </w:pPr>
    </w:p>
    <w:p>
      <w:pPr>
        <w:jc w:val="both"/>
        <w:ind w:left="20" w:hanging="566"/>
        <w:spacing w:after="0" w:line="254" w:lineRule="auto"/>
        <w:rPr>
          <w:rFonts w:ascii="Arial" w:cs="Arial" w:eastAsia="Arial" w:hAnsi="Arial"/>
          <w:sz w:val="18"/>
          <w:szCs w:val="18"/>
          <w:u w:val="single" w:color="auto"/>
          <w:color w:val="0000FF"/>
        </w:rPr>
      </w:pPr>
      <w:r>
        <w:rPr>
          <w:rFonts w:ascii="Arial" w:cs="Arial" w:eastAsia="Arial" w:hAnsi="Arial"/>
          <w:sz w:val="18"/>
          <w:szCs w:val="18"/>
          <w:color w:val="auto"/>
        </w:rPr>
        <w:t>4.v</w:t>
      </w:r>
      <w:r>
        <w:rPr>
          <w:sz w:val="20"/>
          <w:szCs w:val="20"/>
          <w:color w:val="auto"/>
        </w:rPr>
        <w:t xml:space="preserve"> </w:t>
      </w:r>
      <w:hyperlink r:id="rId127">
        <w:r>
          <w:rPr>
            <w:rFonts w:ascii="Arial" w:cs="Arial" w:eastAsia="Arial" w:hAnsi="Arial"/>
            <w:sz w:val="18"/>
            <w:szCs w:val="18"/>
            <w:u w:val="single" w:color="auto"/>
            <w:color w:val="0000FF"/>
          </w:rPr>
          <w:t>Second Amendment to Amended and Restated Credit Agreement, First Amendment to the U.S. Guarantee Agreement and First Amendment</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to U.S. Indemnity, Subrogation and Contribution Agreement, dated as of March 23, 2018, among Crown Americas LLC, Crown European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Holdings S.A., Crown Metal Packaging Canada LP, each of the Subsidiary Borrowers from time to time party thereto, Crown Holdings,</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Inc., Crown Cork &amp; Seal Company, Inc. and Crown International Holdings, Inc., each other Credit Party from time to time party thereto,</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Deutsche Bank AG New York Branch, Deutsche Bank AG, London Branch, Deutsche Bank AG, Canada Branch, and various Lenders</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referred to therein (incorporated by reference to Exhibit 4.cc of the Registrant's Annual Report on Form 10-K for the year ended December</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31, 2018).</w:t>
        </w:r>
      </w:hyperlink>
    </w:p>
    <w:p>
      <w:pPr>
        <w:spacing w:after="0" w:line="222" w:lineRule="exact"/>
        <w:rPr>
          <w:rFonts w:ascii="Arial" w:cs="Arial" w:eastAsia="Arial" w:hAnsi="Arial"/>
          <w:sz w:val="18"/>
          <w:szCs w:val="18"/>
          <w:u w:val="single" w:color="auto"/>
          <w:color w:val="0000FF"/>
        </w:rPr>
      </w:pPr>
    </w:p>
    <w:p>
      <w:pPr>
        <w:jc w:val="both"/>
        <w:ind w:left="60" w:hanging="566"/>
        <w:spacing w:after="0" w:line="273" w:lineRule="auto"/>
        <w:tabs>
          <w:tab w:leader="none" w:pos="40" w:val="left"/>
        </w:tabs>
        <w:rPr>
          <w:rFonts w:ascii="Arial" w:cs="Arial" w:eastAsia="Arial" w:hAnsi="Arial"/>
          <w:sz w:val="17"/>
          <w:szCs w:val="17"/>
          <w:u w:val="single" w:color="auto"/>
          <w:color w:val="0000FF"/>
        </w:rPr>
      </w:pPr>
      <w:r>
        <w:rPr>
          <w:rFonts w:ascii="Arial" w:cs="Arial" w:eastAsia="Arial" w:hAnsi="Arial"/>
          <w:sz w:val="18"/>
          <w:szCs w:val="18"/>
          <w:color w:val="auto"/>
        </w:rPr>
        <w:t>4.w</w:t>
      </w:r>
      <w:r>
        <w:rPr>
          <w:sz w:val="20"/>
          <w:szCs w:val="20"/>
          <w:color w:val="auto"/>
        </w:rPr>
        <w:tab/>
      </w:r>
      <w:hyperlink r:id="rId131">
        <w:r>
          <w:rPr>
            <w:rFonts w:ascii="Arial" w:cs="Arial" w:eastAsia="Arial" w:hAnsi="Arial"/>
            <w:sz w:val="17"/>
            <w:szCs w:val="17"/>
            <w:u w:val="single" w:color="auto"/>
            <w:color w:val="0000FF"/>
          </w:rPr>
          <w:t>Incremental Amendment No. 2 and Third Amendment to Amended and Restated Credit Agreement, dated as of December 13, 2019, among</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Crown Americas LLC, Crown European Holdings S.A., Crown Metal Packaging Canada LP, each of the Subsidiary Borrowers from time to</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time party thereto, Crown Holdings, Inc., Crown Cork &amp; Seal Company, Inc., and Crown International Holdings, Inc., each other Credit</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Party from time to time party thereto, Deutsche Bank AG New York Branch, Deutsche Bank AG London Branch, Deutsche Bank AG,</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Canada Branch, and the various Lenders referred to therein (incorporated by reference to Exhibit 4.1 of the Registrant's Current Report on</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Form 8-K/A dated February 28, 2020 (File No. 000-50189)).</w:t>
        </w:r>
      </w:hyperlink>
    </w:p>
    <w:p>
      <w:pPr>
        <w:spacing w:after="0" w:line="205" w:lineRule="exact"/>
        <w:rPr>
          <w:rFonts w:ascii="Arial" w:cs="Arial" w:eastAsia="Arial" w:hAnsi="Arial"/>
          <w:sz w:val="17"/>
          <w:szCs w:val="17"/>
          <w:u w:val="single" w:color="auto"/>
          <w:color w:val="0000FF"/>
        </w:rPr>
      </w:pPr>
    </w:p>
    <w:p>
      <w:pPr>
        <w:jc w:val="both"/>
        <w:ind w:left="20" w:right="20" w:hanging="566"/>
        <w:spacing w:after="0" w:line="311" w:lineRule="auto"/>
        <w:rPr>
          <w:rFonts w:ascii="Arial" w:cs="Arial" w:eastAsia="Arial" w:hAnsi="Arial"/>
          <w:sz w:val="16"/>
          <w:szCs w:val="16"/>
          <w:u w:val="single" w:color="auto"/>
          <w:color w:val="0000FF"/>
        </w:rPr>
      </w:pPr>
      <w:r>
        <w:rPr>
          <w:rFonts w:ascii="Arial" w:cs="Arial" w:eastAsia="Arial" w:hAnsi="Arial"/>
          <w:sz w:val="18"/>
          <w:szCs w:val="18"/>
          <w:color w:val="auto"/>
        </w:rPr>
        <w:t>4.x</w:t>
      </w:r>
      <w:r>
        <w:rPr>
          <w:sz w:val="20"/>
          <w:szCs w:val="20"/>
          <w:color w:val="auto"/>
        </w:rPr>
        <w:t xml:space="preserve"> </w:t>
      </w:r>
      <w:hyperlink r:id="rId132">
        <w:r>
          <w:rPr>
            <w:rFonts w:ascii="Arial" w:cs="Arial" w:eastAsia="Arial" w:hAnsi="Arial"/>
            <w:sz w:val="16"/>
            <w:szCs w:val="16"/>
            <w:u w:val="single" w:color="auto"/>
            <w:color w:val="0000FF"/>
          </w:rPr>
          <w:t>Indenture, dated as of October 31, 2019, by and among Crown European Holdings S.A., as Issuer, the Guarantors named therein, U.S. Bank</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National Association, as Trustee, and the other parties thereto, relating to the €550 million 0.750% Senior Notes due 2023 (incorporated by</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reference to Exhibit 4.1 of the Registrant's Current Report on Form 8-K dated November 4, 2019 (File No. 000-50189)).</w:t>
        </w:r>
      </w:hyperlink>
    </w:p>
    <w:p>
      <w:pPr>
        <w:spacing w:after="0" w:line="176" w:lineRule="exact"/>
        <w:rPr>
          <w:rFonts w:ascii="Arial" w:cs="Arial" w:eastAsia="Arial" w:hAnsi="Arial"/>
          <w:sz w:val="16"/>
          <w:szCs w:val="16"/>
          <w:u w:val="single" w:color="auto"/>
          <w:color w:val="0000FF"/>
        </w:rPr>
      </w:pPr>
    </w:p>
    <w:p>
      <w:pPr>
        <w:jc w:val="both"/>
        <w:ind w:left="40" w:hanging="566"/>
        <w:spacing w:after="0" w:line="277" w:lineRule="auto"/>
        <w:tabs>
          <w:tab w:leader="none" w:pos="20" w:val="left"/>
        </w:tabs>
        <w:rPr>
          <w:rFonts w:ascii="Arial" w:cs="Arial" w:eastAsia="Arial" w:hAnsi="Arial"/>
          <w:sz w:val="18"/>
          <w:szCs w:val="18"/>
          <w:u w:val="single" w:color="auto"/>
          <w:color w:val="0000FF"/>
        </w:rPr>
      </w:pPr>
      <w:r>
        <w:rPr>
          <w:rFonts w:ascii="Arial" w:cs="Arial" w:eastAsia="Arial" w:hAnsi="Arial"/>
          <w:sz w:val="18"/>
          <w:szCs w:val="18"/>
          <w:color w:val="auto"/>
        </w:rPr>
        <w:t>4.y</w:t>
      </w:r>
      <w:r>
        <w:rPr>
          <w:sz w:val="20"/>
          <w:szCs w:val="20"/>
          <w:color w:val="auto"/>
        </w:rPr>
        <w:tab/>
      </w:r>
      <w:hyperlink r:id="rId133">
        <w:r>
          <w:rPr>
            <w:rFonts w:ascii="Arial" w:cs="Arial" w:eastAsia="Arial" w:hAnsi="Arial"/>
            <w:sz w:val="18"/>
            <w:szCs w:val="18"/>
            <w:u w:val="single" w:color="auto"/>
            <w:color w:val="0000FF"/>
          </w:rPr>
          <w:t>Description of the Registrant's Securities (incorporated by reference to Exhibit 4.ff of the Registrant's Annual Report on Form 10-k for the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year ended December 31, 2019 (File No. 000-50189)).</w:t>
        </w:r>
      </w:hyperlink>
    </w:p>
    <w:p>
      <w:pPr>
        <w:spacing w:after="0" w:line="197" w:lineRule="exact"/>
        <w:rPr>
          <w:sz w:val="20"/>
          <w:szCs w:val="20"/>
          <w:color w:val="auto"/>
        </w:rPr>
      </w:pPr>
    </w:p>
    <w:p>
      <w:pPr>
        <w:jc w:val="both"/>
        <w:ind w:left="20" w:hanging="566"/>
        <w:spacing w:after="0" w:line="277" w:lineRule="auto"/>
        <w:rPr>
          <w:sz w:val="20"/>
          <w:szCs w:val="20"/>
          <w:color w:val="auto"/>
        </w:rPr>
      </w:pPr>
      <w:r>
        <w:rPr>
          <w:rFonts w:ascii="Arial" w:cs="Arial" w:eastAsia="Arial" w:hAnsi="Arial"/>
          <w:sz w:val="18"/>
          <w:szCs w:val="18"/>
          <w:color w:val="auto"/>
        </w:rPr>
        <w:t>4.z</w:t>
      </w:r>
      <w:r>
        <w:rPr>
          <w:sz w:val="20"/>
          <w:szCs w:val="20"/>
          <w:color w:val="auto"/>
        </w:rPr>
        <w:t xml:space="preserve"> </w:t>
      </w:r>
      <w:r>
        <w:rPr>
          <w:rFonts w:ascii="Arial" w:cs="Arial" w:eastAsia="Arial" w:hAnsi="Arial"/>
          <w:sz w:val="18"/>
          <w:szCs w:val="18"/>
          <w:color w:val="auto"/>
        </w:rPr>
        <w:t>Other long-term agreements of the Registrant are not filed pursuant to Item 601(b)(4)(iii)(A) of Regulation S-K, and the Registrant agrees to furnish copies of such agreements to the Securities and Exchange Commission upon its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95" w:name="page96"/>
    <w:bookmarkEnd w:id="95"/>
    <w:p>
      <w:pPr>
        <w:ind w:left="43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6"/>
          <w:szCs w:val="16"/>
          <w:color w:val="auto"/>
        </w:rPr>
        <w:t>Employment Contracts:</w:t>
      </w:r>
    </w:p>
    <w:p>
      <w:pPr>
        <w:spacing w:after="0" w:line="252" w:lineRule="exact"/>
        <w:rPr>
          <w:sz w:val="20"/>
          <w:szCs w:val="20"/>
          <w:color w:val="auto"/>
        </w:rPr>
      </w:pPr>
    </w:p>
    <w:p>
      <w:pPr>
        <w:ind w:left="1120" w:hanging="478"/>
        <w:spacing w:after="0" w:line="308" w:lineRule="auto"/>
        <w:tabs>
          <w:tab w:leader="none" w:pos="1087" w:val="left"/>
        </w:tabs>
        <w:numPr>
          <w:ilvl w:val="0"/>
          <w:numId w:val="21"/>
        </w:numPr>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Employment Agreement, dated December 30, 2015, between Crown Holdings, Inc. and Timothy J. Donahue (incorporated by</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reference to Exhibit 10.1 of the Registrant’s Current Report on Form 8-K dated January 5, 2016 (File No. 000-50189)).</w:t>
        </w:r>
      </w:hyperlink>
    </w:p>
    <w:p>
      <w:pPr>
        <w:spacing w:after="0" w:line="173" w:lineRule="exact"/>
        <w:rPr>
          <w:rFonts w:ascii="Arial" w:cs="Arial" w:eastAsia="Arial" w:hAnsi="Arial"/>
          <w:sz w:val="17"/>
          <w:szCs w:val="17"/>
          <w:u w:val="single" w:color="auto"/>
          <w:color w:val="0000FF"/>
        </w:rPr>
      </w:pPr>
    </w:p>
    <w:p>
      <w:pPr>
        <w:ind w:left="1120" w:hanging="478"/>
        <w:spacing w:after="0" w:line="263" w:lineRule="auto"/>
        <w:tabs>
          <w:tab w:leader="none" w:pos="1051" w:val="left"/>
        </w:tabs>
        <w:numPr>
          <w:ilvl w:val="0"/>
          <w:numId w:val="21"/>
        </w:numPr>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First amendment to the employment contract, effective June 1, 2012, between Crown Holdings, Inc. and Gerard Gifford, dated as of</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July 24, 2013 (incorporated by reference to Exhibit 10.3 of the Registrant's Quarterly Report on Form 10-Q for the quarter ended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June 30, 2013 (File No 000-50189)).</w:t>
        </w:r>
      </w:hyperlink>
    </w:p>
    <w:p>
      <w:pPr>
        <w:spacing w:after="0" w:line="210" w:lineRule="exact"/>
        <w:rPr>
          <w:rFonts w:ascii="Arial" w:cs="Arial" w:eastAsia="Arial" w:hAnsi="Arial"/>
          <w:sz w:val="18"/>
          <w:szCs w:val="18"/>
          <w:u w:val="single" w:color="auto"/>
          <w:color w:val="0000FF"/>
        </w:rPr>
      </w:pPr>
    </w:p>
    <w:p>
      <w:pPr>
        <w:jc w:val="both"/>
        <w:ind w:left="1120" w:hanging="478"/>
        <w:spacing w:after="0" w:line="263" w:lineRule="auto"/>
        <w:tabs>
          <w:tab w:leader="none" w:pos="1132" w:val="left"/>
        </w:tabs>
        <w:numPr>
          <w:ilvl w:val="0"/>
          <w:numId w:val="21"/>
        </w:numPr>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Executive Employment Agreement, effective June 1, 2012, between Crown Holdings, Inc. and Gerard Gifford (incorporated by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reference to Exhibit 10.1 of the Registrant's Quarterly Report on Form 10-Q for the quarter ended June 30, 2012 (File No 000-</w:t>
        </w:r>
      </w:hyperlink>
      <w:hyperlink r:id="rId137">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ind w:left="1120" w:right="20" w:hanging="478"/>
        <w:spacing w:after="0" w:line="308" w:lineRule="auto"/>
        <w:tabs>
          <w:tab w:leader="none" w:pos="1082" w:val="left"/>
        </w:tabs>
        <w:numPr>
          <w:ilvl w:val="0"/>
          <w:numId w:val="21"/>
        </w:numPr>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Employment contract between Crown Holdings, Inc. and Thomas A. Kelly, dated July 24, 2013 (incorporated by reference to Exhibit</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10 of the Registrant’s Quarterly Report on Form 10-Q for the quarter ended June 30, 2013 (File No. 000-50189)).</w:t>
        </w:r>
      </w:hyperlink>
    </w:p>
    <w:p>
      <w:pPr>
        <w:spacing w:after="0" w:line="173" w:lineRule="exact"/>
        <w:rPr>
          <w:rFonts w:ascii="Arial" w:cs="Arial" w:eastAsia="Arial" w:hAnsi="Arial"/>
          <w:sz w:val="17"/>
          <w:szCs w:val="17"/>
          <w:u w:val="single" w:color="auto"/>
          <w:color w:val="0000FF"/>
        </w:rPr>
      </w:pPr>
    </w:p>
    <w:p>
      <w:pPr>
        <w:ind w:left="1120" w:hanging="478"/>
        <w:spacing w:after="0" w:line="342" w:lineRule="auto"/>
        <w:tabs>
          <w:tab w:leader="none" w:pos="1064" w:val="left"/>
        </w:tabs>
        <w:numPr>
          <w:ilvl w:val="0"/>
          <w:numId w:val="21"/>
        </w:numPr>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Employment contract between Crown Holdings, Inc. and Djalma Novaes Jr., dated February 26, 2015 (incorporated by reference to</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Exhibit 10.c(11) of the Registrant’s Annual Report on Form 10-K for the year ended December 31, 2014 (File No. 000-50189)).</w:t>
        </w:r>
      </w:hyperlink>
    </w:p>
    <w:p>
      <w:pPr>
        <w:spacing w:after="0" w:line="150" w:lineRule="exact"/>
        <w:rPr>
          <w:rFonts w:ascii="Arial" w:cs="Arial" w:eastAsia="Arial" w:hAnsi="Arial"/>
          <w:sz w:val="16"/>
          <w:szCs w:val="16"/>
          <w:u w:val="single" w:color="auto"/>
          <w:color w:val="0000FF"/>
        </w:rPr>
      </w:pPr>
    </w:p>
    <w:p>
      <w:pPr>
        <w:jc w:val="both"/>
        <w:ind w:left="1120" w:hanging="478"/>
        <w:spacing w:after="0" w:line="263" w:lineRule="auto"/>
        <w:tabs>
          <w:tab w:leader="none" w:pos="1064" w:val="left"/>
        </w:tabs>
        <w:numPr>
          <w:ilvl w:val="0"/>
          <w:numId w:val="21"/>
        </w:numPr>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Executive Employment Agreement, effective May 1, 2016, between Crown Holdings, Inc. and Robert Bourque, Jr. (incorporated by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reference to Exhibit 10.2 of the Registrant’s Quarterly Report on Form 10-Q for the quarter ended March 31, 2016 (File No. 000-</w:t>
        </w:r>
      </w:hyperlink>
      <w:hyperlink r:id="rId140">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jc w:val="both"/>
        <w:ind w:left="1120" w:hanging="478"/>
        <w:spacing w:after="0" w:line="263" w:lineRule="auto"/>
        <w:tabs>
          <w:tab w:leader="none" w:pos="1105" w:val="left"/>
        </w:tabs>
        <w:numPr>
          <w:ilvl w:val="0"/>
          <w:numId w:val="21"/>
        </w:numPr>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Employment contract between Crown Holdings, Inc. and Didier Sourisseau, effective April 1, 2017 (incorporated by reference to</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Exhibit 10.a of the Registrant's Quarterly Report on Form 10-Q for the quarter ended March 31, 2017) (File No. 000-50189)).31,</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2008 (File No. 000-50189)).</w:t>
        </w:r>
      </w:hyperlink>
    </w:p>
    <w:p>
      <w:pPr>
        <w:spacing w:after="0" w:line="211" w:lineRule="exact"/>
        <w:rPr>
          <w:rFonts w:ascii="Arial" w:cs="Arial" w:eastAsia="Arial" w:hAnsi="Arial"/>
          <w:sz w:val="18"/>
          <w:szCs w:val="18"/>
          <w:u w:val="single" w:color="auto"/>
          <w:color w:val="0000FF"/>
        </w:rPr>
      </w:pPr>
    </w:p>
    <w:p>
      <w:pPr>
        <w:ind w:left="640" w:hanging="566"/>
        <w:spacing w:after="0" w:line="277"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10.b</w:t>
      </w:r>
      <w:r>
        <w:rPr>
          <w:sz w:val="20"/>
          <w:szCs w:val="20"/>
          <w:color w:val="auto"/>
        </w:rPr>
        <w:tab/>
      </w:r>
      <w:hyperlink r:id="rId143">
        <w:r>
          <w:rPr>
            <w:rFonts w:ascii="Arial" w:cs="Arial" w:eastAsia="Arial" w:hAnsi="Arial"/>
            <w:sz w:val="18"/>
            <w:szCs w:val="18"/>
            <w:u w:val="single" w:color="auto"/>
            <w:color w:val="0000FF"/>
          </w:rPr>
          <w:t>Crown Holdings, Inc. Economic Profit Incentive Plan, effective as of January 1, 2018 (incorporated by reference to Exhibit 10.b of the</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Registrant's Annual Report on Form 10-K for the year ended December 31, 2018 (File No. 000-50189).</w:t>
        </w:r>
      </w:hyperlink>
    </w:p>
    <w:p>
      <w:pPr>
        <w:spacing w:after="0" w:line="197" w:lineRule="exact"/>
        <w:rPr>
          <w:sz w:val="20"/>
          <w:szCs w:val="20"/>
          <w:color w:val="auto"/>
        </w:rPr>
      </w:pPr>
    </w:p>
    <w:p>
      <w:pPr>
        <w:ind w:left="640" w:hanging="566"/>
        <w:spacing w:after="0" w:line="308"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10.c</w:t>
      </w:r>
      <w:r>
        <w:rPr>
          <w:sz w:val="20"/>
          <w:szCs w:val="20"/>
          <w:color w:val="auto"/>
        </w:rPr>
        <w:tab/>
      </w:r>
      <w:hyperlink r:id="rId144">
        <w:r>
          <w:rPr>
            <w:rFonts w:ascii="Arial" w:cs="Arial" w:eastAsia="Arial" w:hAnsi="Arial"/>
            <w:sz w:val="17"/>
            <w:szCs w:val="17"/>
            <w:u w:val="single" w:color="auto"/>
            <w:color w:val="0000FF"/>
          </w:rPr>
          <w:t>Crown Holdings, Inc. Senior Executive Retirement Plan, as amended and restated as of January 1, 2008 (incorporated by reference to</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Exhibit 10.l of the Registrant’s Annual Report on Form 10-K for the year ended December 31, 2007 (File No. 000-50189)).</w:t>
        </w:r>
      </w:hyperlink>
    </w:p>
    <w:p>
      <w:pPr>
        <w:spacing w:after="0" w:line="173"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6"/>
          <w:szCs w:val="16"/>
          <w:color w:val="auto"/>
        </w:rPr>
        <w:t>Senior Executive Retirement Agreements:</w:t>
      </w:r>
    </w:p>
    <w:p>
      <w:pPr>
        <w:spacing w:after="0" w:line="252" w:lineRule="exact"/>
        <w:rPr>
          <w:sz w:val="20"/>
          <w:szCs w:val="20"/>
          <w:color w:val="auto"/>
        </w:rPr>
      </w:pPr>
    </w:p>
    <w:p>
      <w:pPr>
        <w:jc w:val="both"/>
        <w:ind w:left="1120" w:hanging="478"/>
        <w:spacing w:after="0" w:line="263" w:lineRule="auto"/>
        <w:tabs>
          <w:tab w:leader="none" w:pos="1154" w:val="left"/>
        </w:tabs>
        <w:numPr>
          <w:ilvl w:val="0"/>
          <w:numId w:val="22"/>
        </w:numPr>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Senior Executive Retirement Agreement between Crown Holdings, Inc. and Timothy J. Donahue, dated May 3, 2007 (incorporated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by reference to Exhibit 10.4(e) of the Registrant’s Quarterly Report on Form 10-Q for the quarter ended March 31, 2007 (File No.</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000-50189)).</w:t>
        </w:r>
      </w:hyperlink>
    </w:p>
    <w:p>
      <w:pPr>
        <w:spacing w:after="0" w:line="210" w:lineRule="exact"/>
        <w:rPr>
          <w:rFonts w:ascii="Arial" w:cs="Arial" w:eastAsia="Arial" w:hAnsi="Arial"/>
          <w:sz w:val="18"/>
          <w:szCs w:val="18"/>
          <w:u w:val="single" w:color="auto"/>
          <w:color w:val="0000FF"/>
        </w:rPr>
      </w:pPr>
    </w:p>
    <w:p>
      <w:pPr>
        <w:ind w:left="1120" w:right="20" w:hanging="478"/>
        <w:spacing w:after="0" w:line="263" w:lineRule="auto"/>
        <w:tabs>
          <w:tab w:leader="none" w:pos="1051" w:val="left"/>
        </w:tabs>
        <w:numPr>
          <w:ilvl w:val="0"/>
          <w:numId w:val="22"/>
        </w:numPr>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Senior Executive Retirement Agreement, effective June 1, 2012, between Crown Holdings, Inc. and Gerard Gifford (incorporated by</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reference to Exhibit 10.2 of the Registrant's Quarterly Report on Form 10-Q for the quarter ended June 30, 2012 (File No 000-</w:t>
        </w:r>
      </w:hyperlink>
      <w:hyperlink r:id="rId146">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ind w:left="1120" w:hanging="478"/>
        <w:spacing w:after="0" w:line="263" w:lineRule="auto"/>
        <w:tabs>
          <w:tab w:leader="none" w:pos="1037" w:val="left"/>
        </w:tabs>
        <w:numPr>
          <w:ilvl w:val="0"/>
          <w:numId w:val="22"/>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Amendment No. 1 to the Senior Executive Retirement Agreement, effective June 1, 2012, between Crown Holdings, Inc. and Gerard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Gifford dated December 28, 2012 (incorporated by reference to Exhibit 10.m(7) of the Registrant’s Annual Report on Form 10-K for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the year ended December 31, 2012 (File No. 000-50189)).</w:t>
        </w:r>
      </w:hyperlink>
    </w:p>
    <w:p>
      <w:pPr>
        <w:spacing w:after="0" w:line="210" w:lineRule="exact"/>
        <w:rPr>
          <w:rFonts w:ascii="Arial" w:cs="Arial" w:eastAsia="Arial" w:hAnsi="Arial"/>
          <w:sz w:val="18"/>
          <w:szCs w:val="18"/>
          <w:u w:val="single" w:color="auto"/>
          <w:color w:val="0000FF"/>
        </w:rPr>
      </w:pPr>
    </w:p>
    <w:p>
      <w:pPr>
        <w:ind w:left="1120" w:hanging="478"/>
        <w:spacing w:after="0" w:line="263" w:lineRule="auto"/>
        <w:tabs>
          <w:tab w:leader="none" w:pos="1051" w:val="left"/>
        </w:tabs>
        <w:numPr>
          <w:ilvl w:val="0"/>
          <w:numId w:val="22"/>
        </w:numPr>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Senior Executive Retirement Agreement, effective July 24, 2013, between Crown Holdings, Inc. and Thomas A. Kelly (incorporated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by reference to Exhibit 10.2 of the Registrant's Quarterly Report on Form 10-Q for the quarter ended June 30, 2013 (File No 000-</w:t>
        </w:r>
      </w:hyperlink>
      <w:hyperlink r:id="rId148">
        <w:r>
          <w:rPr>
            <w:rFonts w:ascii="Arial" w:cs="Arial" w:eastAsia="Arial" w:hAnsi="Arial"/>
            <w:sz w:val="18"/>
            <w:szCs w:val="18"/>
            <w:u w:val="single" w:color="auto"/>
            <w:color w:val="0000FF"/>
          </w:rPr>
          <w:t>50189)).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4" w:lineRule="exact"/>
        <w:rPr>
          <w:rFonts w:ascii="Arial" w:cs="Arial" w:eastAsia="Arial" w:hAnsi="Arial"/>
          <w:sz w:val="18"/>
          <w:szCs w:val="18"/>
          <w:u w:val="single" w:color="auto"/>
          <w:color w:val="0000FF"/>
        </w:rPr>
      </w:pPr>
    </w:p>
    <w:p>
      <w:pPr>
        <w:jc w:val="center"/>
        <w:ind w:right="480"/>
        <w:spacing w:after="0"/>
        <w:rPr>
          <w:sz w:val="20"/>
          <w:szCs w:val="20"/>
          <w:color w:val="auto"/>
        </w:rPr>
      </w:pPr>
      <w:r>
        <w:rPr>
          <w:rFonts w:ascii="Arial" w:cs="Arial" w:eastAsia="Arial" w:hAnsi="Arial"/>
          <w:sz w:val="18"/>
          <w:szCs w:val="18"/>
          <w:color w:val="auto"/>
        </w:rPr>
        <w:t>94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96" w:name="page97"/>
    <w:bookmarkEnd w:id="96"/>
    <w:p>
      <w:pPr>
        <w:ind w:left="37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60" w:hanging="478"/>
        <w:spacing w:after="0" w:line="263" w:lineRule="auto"/>
        <w:tabs>
          <w:tab w:leader="none" w:pos="464" w:val="left"/>
        </w:tabs>
        <w:numPr>
          <w:ilvl w:val="1"/>
          <w:numId w:val="23"/>
        </w:numPr>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Senior Executive Retirement Agreement between Crown Holdings, Inc. and Djalma Novaes Jr., dated February 26, 2015 (incorporated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by reference to Exhibit 10.f(9) of the Registrant’s Annual Report on Form 10-K for the year ended December 31, 2014 (File No.</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000-50189)).</w:t>
        </w:r>
      </w:hyperlink>
    </w:p>
    <w:p>
      <w:pPr>
        <w:spacing w:after="0" w:line="210" w:lineRule="exact"/>
        <w:rPr>
          <w:rFonts w:ascii="Arial" w:cs="Arial" w:eastAsia="Arial" w:hAnsi="Arial"/>
          <w:sz w:val="18"/>
          <w:szCs w:val="18"/>
          <w:u w:val="single" w:color="auto"/>
          <w:color w:val="0000FF"/>
        </w:rPr>
      </w:pPr>
    </w:p>
    <w:p>
      <w:pPr>
        <w:ind w:left="560" w:hanging="478"/>
        <w:spacing w:after="0" w:line="263" w:lineRule="auto"/>
        <w:tabs>
          <w:tab w:leader="none" w:pos="464" w:val="left"/>
        </w:tabs>
        <w:numPr>
          <w:ilvl w:val="1"/>
          <w:numId w:val="23"/>
        </w:numPr>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Senior Executive Retirement Agreement, effective May 1, 2016, between Crown Holdings, Inc. and Robert Bourque, Jr. (incorporated</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by reference to Exhibit 10.3 of the Registrant’s Quarterly Report on Form 10-Q for the quarter ended March 31, 2016 (File No. 000-</w:t>
        </w:r>
      </w:hyperlink>
      <w:hyperlink r:id="rId151">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jc w:val="both"/>
        <w:ind w:left="480" w:hanging="479"/>
        <w:spacing w:after="0" w:line="263" w:lineRule="auto"/>
        <w:tabs>
          <w:tab w:leader="none" w:pos="424" w:val="left"/>
        </w:tabs>
        <w:numPr>
          <w:ilvl w:val="0"/>
          <w:numId w:val="24"/>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Amendment No. 2 to the Senior Executive Retirement Agreement, effective as of May 17, 2016, between Crown Holdings, Inc. and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Gerard Gifford (incorporated by reference to Exhibit 10.1 of the Registrant’s Current Report on Form 8-K dated May 18, 2016 (File</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No. 000-50189)).</w:t>
        </w:r>
      </w:hyperlink>
    </w:p>
    <w:p>
      <w:pPr>
        <w:spacing w:after="0" w:line="210" w:lineRule="exact"/>
        <w:rPr>
          <w:rFonts w:ascii="Arial" w:cs="Arial" w:eastAsia="Arial" w:hAnsi="Arial"/>
          <w:sz w:val="18"/>
          <w:szCs w:val="18"/>
          <w:u w:val="single" w:color="auto"/>
          <w:color w:val="0000FF"/>
        </w:rPr>
      </w:pPr>
    </w:p>
    <w:p>
      <w:pPr>
        <w:ind w:left="560" w:hanging="478"/>
        <w:spacing w:after="0" w:line="263" w:lineRule="auto"/>
        <w:tabs>
          <w:tab w:leader="none" w:pos="491" w:val="left"/>
        </w:tabs>
        <w:numPr>
          <w:ilvl w:val="1"/>
          <w:numId w:val="24"/>
        </w:numPr>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Senior Executive Retirement Agreement between Crown Holdings, Inc. and Didier Sourisseau, effective April 1, 2017 (incorporated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by reference to Exhibit 10.b of the Registrant's Quarterly Report on Form 10-Q for the quarter ended March 31, 2017 (File No. 000-</w:t>
        </w:r>
      </w:hyperlink>
      <w:hyperlink r:id="rId153">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jc w:val="both"/>
        <w:ind w:left="560" w:hanging="478"/>
        <w:spacing w:after="0" w:line="263" w:lineRule="auto"/>
        <w:tabs>
          <w:tab w:leader="none" w:pos="531" w:val="left"/>
        </w:tabs>
        <w:numPr>
          <w:ilvl w:val="1"/>
          <w:numId w:val="24"/>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Amended and Restated Senior Executive Retirement Agreement, effective as of June 1, 2017, between Crown Holdings, Inc. and</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Gerard Gifford (incorporated by reference to Exhibit 10.c of the Registrant's Quarterly Report on Form 10-Q for the quarter ended</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March 31, 2017 (File No. 000-50189)).</w:t>
        </w:r>
      </w:hyperlink>
    </w:p>
    <w:p>
      <w:pPr>
        <w:spacing w:after="0" w:line="210" w:lineRule="exact"/>
        <w:rPr>
          <w:rFonts w:ascii="Arial" w:cs="Arial" w:eastAsia="Arial" w:hAnsi="Arial"/>
          <w:sz w:val="18"/>
          <w:szCs w:val="18"/>
          <w:u w:val="single" w:color="auto"/>
          <w:color w:val="0000FF"/>
        </w:rPr>
      </w:pPr>
    </w:p>
    <w:p>
      <w:pPr>
        <w:ind w:left="480" w:hanging="479"/>
        <w:spacing w:after="0" w:line="263" w:lineRule="auto"/>
        <w:tabs>
          <w:tab w:leader="none" w:pos="379" w:val="left"/>
        </w:tabs>
        <w:numPr>
          <w:ilvl w:val="1"/>
          <w:numId w:val="24"/>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Amendment No.1 to Amend and Restate Senior Executive Retirement Agreement, effective October 21, 2020, between Crown</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Holdings, Inc. and Gerard Gifford (incorporated by reference to Exhibit 10.d of the Registrant's Quarterly Report on Form 10-Q for</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the Quarter ended September 30, 2020 (File No. 000-50189)).</w:t>
        </w:r>
      </w:hyperlink>
    </w:p>
    <w:p>
      <w:pPr>
        <w:spacing w:after="0" w:line="211" w:lineRule="exact"/>
        <w:rPr>
          <w:rFonts w:ascii="Arial" w:cs="Arial" w:eastAsia="Arial" w:hAnsi="Arial"/>
          <w:sz w:val="18"/>
          <w:szCs w:val="18"/>
          <w:u w:val="single" w:color="auto"/>
          <w:color w:val="0000FF"/>
        </w:rPr>
      </w:pPr>
    </w:p>
    <w:p>
      <w:pPr>
        <w:jc w:val="both"/>
        <w:ind w:left="20" w:hanging="566"/>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10.e</w:t>
      </w:r>
      <w:r>
        <w:rPr>
          <w:sz w:val="20"/>
          <w:szCs w:val="20"/>
          <w:color w:val="auto"/>
        </w:rPr>
        <w:t xml:space="preserve"> </w:t>
      </w:r>
      <w:hyperlink r:id="rId156">
        <w:r>
          <w:rPr>
            <w:rFonts w:ascii="Arial" w:cs="Arial" w:eastAsia="Arial" w:hAnsi="Arial"/>
            <w:sz w:val="18"/>
            <w:szCs w:val="18"/>
            <w:u w:val="single" w:color="auto"/>
            <w:color w:val="0000FF"/>
          </w:rPr>
          <w:t>Form of Agreement for Restricted Stock Awards under Crown Holdings, Inc. 2006 Stock-Based Incentive Compensation Plan (incorporated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by reference to Exhibit 10.dd of the Registrant’s Annual Report on Form 10-K for the year ended December 31, 2006 (File No. 000-</w:t>
        </w:r>
      </w:hyperlink>
      <w:hyperlink r:id="rId156">
        <w:r>
          <w:rPr>
            <w:rFonts w:ascii="Arial" w:cs="Arial" w:eastAsia="Arial" w:hAnsi="Arial"/>
            <w:sz w:val="18"/>
            <w:szCs w:val="18"/>
            <w:u w:val="single" w:color="auto"/>
            <w:color w:val="0000FF"/>
          </w:rPr>
          <w:t>50189)).</w:t>
        </w:r>
      </w:hyperlink>
    </w:p>
    <w:p>
      <w:pPr>
        <w:spacing w:after="0" w:line="211" w:lineRule="exact"/>
        <w:rPr>
          <w:rFonts w:ascii="Arial" w:cs="Arial" w:eastAsia="Arial" w:hAnsi="Arial"/>
          <w:sz w:val="18"/>
          <w:szCs w:val="18"/>
          <w:u w:val="single" w:color="auto"/>
          <w:color w:val="0000FF"/>
        </w:rPr>
      </w:pPr>
    </w:p>
    <w:p>
      <w:pPr>
        <w:jc w:val="both"/>
        <w:ind w:left="80" w:hanging="566"/>
        <w:spacing w:after="0" w:line="263" w:lineRule="auto"/>
        <w:tabs>
          <w:tab w:leader="none" w:pos="60" w:val="left"/>
        </w:tabs>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ab/>
      </w:r>
      <w:hyperlink r:id="rId157">
        <w:r>
          <w:rPr>
            <w:rFonts w:ascii="Arial" w:cs="Arial" w:eastAsia="Arial" w:hAnsi="Arial"/>
            <w:sz w:val="18"/>
            <w:szCs w:val="18"/>
            <w:u w:val="single" w:color="auto"/>
            <w:color w:val="0000FF"/>
          </w:rPr>
          <w:t>Crown Holdings, Inc. 2004 Stock-Based Incentive Compensation Plan, dated as of April 22, 2004 (incorporated by reference to the</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000-50189)).</w:t>
        </w:r>
      </w:hyperlink>
    </w:p>
    <w:p>
      <w:pPr>
        <w:spacing w:after="0" w:line="211" w:lineRule="exact"/>
        <w:rPr>
          <w:rFonts w:ascii="Arial" w:cs="Arial" w:eastAsia="Arial" w:hAnsi="Arial"/>
          <w:sz w:val="18"/>
          <w:szCs w:val="18"/>
          <w:u w:val="single" w:color="auto"/>
          <w:color w:val="0000FF"/>
        </w:rPr>
      </w:pPr>
    </w:p>
    <w:p>
      <w:pPr>
        <w:jc w:val="both"/>
        <w:ind w:right="20" w:hanging="566"/>
        <w:spacing w:after="0" w:line="342" w:lineRule="auto"/>
        <w:rPr>
          <w:rFonts w:ascii="Arial" w:cs="Arial" w:eastAsia="Arial" w:hAnsi="Arial"/>
          <w:sz w:val="16"/>
          <w:szCs w:val="16"/>
          <w:u w:val="single" w:color="auto"/>
          <w:color w:val="0000FF"/>
        </w:rPr>
      </w:pPr>
      <w:r>
        <w:rPr>
          <w:rFonts w:ascii="Arial" w:cs="Arial" w:eastAsia="Arial" w:hAnsi="Arial"/>
          <w:sz w:val="18"/>
          <w:szCs w:val="18"/>
          <w:color w:val="auto"/>
        </w:rPr>
        <w:t>10.g</w:t>
      </w:r>
      <w:r>
        <w:rPr>
          <w:sz w:val="20"/>
          <w:szCs w:val="20"/>
          <w:color w:val="auto"/>
        </w:rPr>
        <w:t xml:space="preserve"> </w:t>
      </w:r>
      <w:hyperlink r:id="rId158">
        <w:r>
          <w:rPr>
            <w:rFonts w:ascii="Arial" w:cs="Arial" w:eastAsia="Arial" w:hAnsi="Arial"/>
            <w:sz w:val="16"/>
            <w:szCs w:val="16"/>
            <w:u w:val="single" w:color="auto"/>
            <w:color w:val="0000FF"/>
          </w:rPr>
          <w:t>Amendment No. 1, effective December 14, 2006, to the Crown Holdings, Inc. 2004 Stock-Based Incentive Compensation Plan (incorporated</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by reference to Exhibit 10.ff of the Registrant’s Annual Report on Form 10-K for the year ended December 31, 2006 (File No. 000-50189)).</w:t>
        </w:r>
      </w:hyperlink>
    </w:p>
    <w:p>
      <w:pPr>
        <w:spacing w:after="0" w:line="151" w:lineRule="exact"/>
        <w:rPr>
          <w:sz w:val="20"/>
          <w:szCs w:val="20"/>
          <w:color w:val="auto"/>
        </w:rPr>
      </w:pPr>
    </w:p>
    <w:p>
      <w:pPr>
        <w:jc w:val="both"/>
        <w:ind w:left="60" w:hanging="566"/>
        <w:spacing w:after="0" w:line="263" w:lineRule="auto"/>
        <w:tabs>
          <w:tab w:leader="none" w:pos="40" w:val="left"/>
        </w:tabs>
        <w:rPr>
          <w:rFonts w:ascii="Arial" w:cs="Arial" w:eastAsia="Arial" w:hAnsi="Arial"/>
          <w:sz w:val="18"/>
          <w:szCs w:val="18"/>
          <w:u w:val="single" w:color="auto"/>
          <w:color w:val="0000FF"/>
        </w:rPr>
      </w:pPr>
      <w:r>
        <w:rPr>
          <w:rFonts w:ascii="Arial" w:cs="Arial" w:eastAsia="Arial" w:hAnsi="Arial"/>
          <w:sz w:val="18"/>
          <w:szCs w:val="18"/>
          <w:color w:val="auto"/>
        </w:rPr>
        <w:t>10.h</w:t>
      </w:r>
      <w:r>
        <w:rPr>
          <w:sz w:val="20"/>
          <w:szCs w:val="20"/>
          <w:color w:val="auto"/>
        </w:rPr>
        <w:tab/>
      </w:r>
      <w:hyperlink r:id="rId159">
        <w:r>
          <w:rPr>
            <w:rFonts w:ascii="Arial" w:cs="Arial" w:eastAsia="Arial" w:hAnsi="Arial"/>
            <w:sz w:val="18"/>
            <w:szCs w:val="18"/>
            <w:u w:val="single" w:color="auto"/>
            <w:color w:val="0000FF"/>
          </w:rPr>
          <w:t>Form of Agreement for Non-Qualified Stock Option Awards under Crown Holdings, Inc. 2004 Stock-Based Incentive Compensation Plan</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(incorporated by reference to Exhibit 10.6 of the Registrant’s Quarterly Report on Form 10-Q for the quarter ended September 30, 2004</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(File No. 000-51089)).</w:t>
        </w:r>
      </w:hyperlink>
    </w:p>
    <w:p>
      <w:pPr>
        <w:spacing w:after="0" w:line="211" w:lineRule="exact"/>
        <w:rPr>
          <w:rFonts w:ascii="Arial" w:cs="Arial" w:eastAsia="Arial" w:hAnsi="Arial"/>
          <w:sz w:val="18"/>
          <w:szCs w:val="18"/>
          <w:u w:val="single" w:color="auto"/>
          <w:color w:val="0000FF"/>
        </w:rPr>
      </w:pPr>
    </w:p>
    <w:p>
      <w:pPr>
        <w:jc w:val="both"/>
        <w:ind w:left="60" w:hanging="566"/>
        <w:spacing w:after="0" w:line="342" w:lineRule="auto"/>
        <w:tabs>
          <w:tab w:leader="none" w:pos="40" w:val="left"/>
        </w:tabs>
        <w:rPr>
          <w:rFonts w:ascii="Arial" w:cs="Arial" w:eastAsia="Arial" w:hAnsi="Arial"/>
          <w:sz w:val="16"/>
          <w:szCs w:val="16"/>
          <w:u w:val="single" w:color="auto"/>
          <w:color w:val="0000FF"/>
        </w:rPr>
      </w:pPr>
      <w:r>
        <w:rPr>
          <w:rFonts w:ascii="Arial" w:cs="Arial" w:eastAsia="Arial" w:hAnsi="Arial"/>
          <w:sz w:val="18"/>
          <w:szCs w:val="18"/>
          <w:color w:val="auto"/>
        </w:rPr>
        <w:t>10.i</w:t>
      </w:r>
      <w:r>
        <w:rPr>
          <w:sz w:val="20"/>
          <w:szCs w:val="20"/>
          <w:color w:val="auto"/>
        </w:rPr>
        <w:tab/>
      </w:r>
      <w:hyperlink r:id="rId160">
        <w:r>
          <w:rPr>
            <w:rFonts w:ascii="Arial" w:cs="Arial" w:eastAsia="Arial" w:hAnsi="Arial"/>
            <w:sz w:val="16"/>
            <w:szCs w:val="16"/>
            <w:u w:val="single" w:color="auto"/>
            <w:color w:val="0000FF"/>
          </w:rPr>
          <w:t>Crown Holdings, Inc. Deferred Compensation Plan for Directors, as Amended and Restated, effective January 1, 2008 (incorporated by</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reference to Exhibit 10.w of the Registrant’s Annual Report on Form 10-K for the year ended December 31, 2008 (File No. 000-50189)).</w:t>
        </w:r>
      </w:hyperlink>
    </w:p>
    <w:p>
      <w:pPr>
        <w:spacing w:after="0" w:line="151" w:lineRule="exact"/>
        <w:rPr>
          <w:sz w:val="20"/>
          <w:szCs w:val="20"/>
          <w:color w:val="auto"/>
        </w:rPr>
      </w:pPr>
    </w:p>
    <w:p>
      <w:pPr>
        <w:jc w:val="both"/>
        <w:ind w:left="20" w:hanging="566"/>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 xml:space="preserve"> </w:t>
      </w:r>
      <w:hyperlink r:id="rId157">
        <w:r>
          <w:rPr>
            <w:rFonts w:ascii="Arial" w:cs="Arial" w:eastAsia="Arial" w:hAnsi="Arial"/>
            <w:sz w:val="18"/>
            <w:szCs w:val="18"/>
            <w:u w:val="single" w:color="auto"/>
            <w:color w:val="0000FF"/>
          </w:rPr>
          <w:t>Crown Holdings, Inc. Stock Compensation Plan for Non-Employee Directors, dated as of April 22, 2004 (incorporated by reference to the</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000-50189)).</w:t>
        </w:r>
      </w:hyperlink>
    </w:p>
    <w:p>
      <w:pPr>
        <w:spacing w:after="0" w:line="211" w:lineRule="exact"/>
        <w:rPr>
          <w:rFonts w:ascii="Arial" w:cs="Arial" w:eastAsia="Arial" w:hAnsi="Arial"/>
          <w:sz w:val="18"/>
          <w:szCs w:val="18"/>
          <w:u w:val="single" w:color="auto"/>
          <w:color w:val="0000FF"/>
        </w:rPr>
      </w:pPr>
    </w:p>
    <w:p>
      <w:pPr>
        <w:jc w:val="both"/>
        <w:ind w:left="20" w:hanging="566"/>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 xml:space="preserve"> </w:t>
      </w:r>
      <w:hyperlink r:id="rId161">
        <w:r>
          <w:rPr>
            <w:rFonts w:ascii="Arial" w:cs="Arial" w:eastAsia="Arial" w:hAnsi="Arial"/>
            <w:sz w:val="18"/>
            <w:szCs w:val="18"/>
            <w:u w:val="single" w:color="auto"/>
            <w:color w:val="0000FF"/>
          </w:rPr>
          <w:t>Amendment No. 1, effective April 1, 2005, to the Crown Holdings, Inc. Stock Compensation Plan for Non-Employee Directors, dated as of</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April 22, 2004 (incorporated by reference to Exhibit 10 to the Registrant’s Quarterly Report on Form 10-Q for the quarter ended March 31,</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2005 (File No. 000-50189)).</w:t>
        </w:r>
      </w:hyperlink>
    </w:p>
    <w:p>
      <w:pPr>
        <w:spacing w:after="0" w:line="211" w:lineRule="exact"/>
        <w:rPr>
          <w:rFonts w:ascii="Arial" w:cs="Arial" w:eastAsia="Arial" w:hAnsi="Arial"/>
          <w:sz w:val="18"/>
          <w:szCs w:val="18"/>
          <w:u w:val="single" w:color="auto"/>
          <w:color w:val="0000FF"/>
        </w:rPr>
      </w:pPr>
    </w:p>
    <w:p>
      <w:pPr>
        <w:jc w:val="both"/>
        <w:ind w:left="80" w:hanging="566"/>
        <w:spacing w:after="0" w:line="308" w:lineRule="auto"/>
        <w:tabs>
          <w:tab w:leader="none" w:pos="60" w:val="left"/>
        </w:tabs>
        <w:rPr>
          <w:rFonts w:ascii="Arial" w:cs="Arial" w:eastAsia="Arial" w:hAnsi="Arial"/>
          <w:sz w:val="17"/>
          <w:szCs w:val="17"/>
          <w:u w:val="single" w:color="auto"/>
          <w:color w:val="0000FF"/>
        </w:rPr>
      </w:pPr>
      <w:r>
        <w:rPr>
          <w:rFonts w:ascii="Arial" w:cs="Arial" w:eastAsia="Arial" w:hAnsi="Arial"/>
          <w:sz w:val="18"/>
          <w:szCs w:val="18"/>
          <w:color w:val="auto"/>
        </w:rPr>
        <w:t>10.l</w:t>
      </w:r>
      <w:r>
        <w:rPr>
          <w:sz w:val="20"/>
          <w:szCs w:val="20"/>
          <w:color w:val="auto"/>
        </w:rPr>
        <w:tab/>
      </w:r>
      <w:hyperlink r:id="rId162">
        <w:r>
          <w:rPr>
            <w:rFonts w:ascii="Arial" w:cs="Arial" w:eastAsia="Arial" w:hAnsi="Arial"/>
            <w:sz w:val="17"/>
            <w:szCs w:val="17"/>
            <w:u w:val="single" w:color="auto"/>
            <w:color w:val="0000FF"/>
          </w:rPr>
          <w:t>Crown Holdings, Inc. 2006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Statement on Schedule 14A, filed with the Securities and Exchange Commission on March 24, 2006 (File No. 000-50189)).</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121" w:right="339" w:bottom="1440" w:gutter="0" w:footer="0" w:header="0"/>
        </w:sectPr>
      </w:pPr>
    </w:p>
    <w:bookmarkStart w:id="97" w:name="page98"/>
    <w:bookmarkEnd w:id="97"/>
    <w:p>
      <w:pPr>
        <w:ind w:left="4225"/>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565" w:hanging="566"/>
        <w:spacing w:after="0" w:line="263" w:lineRule="auto"/>
        <w:tabs>
          <w:tab w:leader="none" w:pos="545" w:val="left"/>
        </w:tabs>
        <w:rPr>
          <w:rFonts w:ascii="Arial" w:cs="Arial" w:eastAsia="Arial" w:hAnsi="Arial"/>
          <w:sz w:val="18"/>
          <w:szCs w:val="18"/>
          <w:u w:val="single" w:color="auto"/>
          <w:color w:val="0000FF"/>
        </w:rPr>
      </w:pPr>
      <w:r>
        <w:rPr>
          <w:rFonts w:ascii="Arial" w:cs="Arial" w:eastAsia="Arial" w:hAnsi="Arial"/>
          <w:sz w:val="18"/>
          <w:szCs w:val="18"/>
          <w:color w:val="auto"/>
        </w:rPr>
        <w:t>10.m</w:t>
      </w:r>
      <w:r>
        <w:rPr>
          <w:sz w:val="20"/>
          <w:szCs w:val="20"/>
          <w:color w:val="auto"/>
        </w:rPr>
        <w:tab/>
      </w:r>
      <w:hyperlink r:id="rId164">
        <w:r>
          <w:rPr>
            <w:rFonts w:ascii="Arial" w:cs="Arial" w:eastAsia="Arial" w:hAnsi="Arial"/>
            <w:sz w:val="18"/>
            <w:szCs w:val="18"/>
            <w:u w:val="single" w:color="auto"/>
            <w:color w:val="0000FF"/>
          </w:rPr>
          <w:t>Amendment No. 1, effective December 14, 2006, to the Crown Holdings, Inc. 2006 Stock-Based Incentive Compensation Plan</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(incorporated by reference to Exhibit 10.pp of the Registrant’s Annual Report on Form 10-K for the year ended December 31, 2006 (File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No. 000-50189)).</w:t>
        </w:r>
      </w:hyperlink>
    </w:p>
    <w:p>
      <w:pPr>
        <w:spacing w:after="0" w:line="211" w:lineRule="exact"/>
        <w:rPr>
          <w:rFonts w:ascii="Arial" w:cs="Arial" w:eastAsia="Arial" w:hAnsi="Arial"/>
          <w:sz w:val="18"/>
          <w:szCs w:val="18"/>
          <w:u w:val="single" w:color="auto"/>
          <w:color w:val="0000FF"/>
        </w:rPr>
      </w:pPr>
    </w:p>
    <w:p>
      <w:pPr>
        <w:jc w:val="both"/>
        <w:ind w:left="545" w:hanging="566"/>
        <w:spacing w:after="0" w:line="342" w:lineRule="auto"/>
        <w:tabs>
          <w:tab w:leader="none" w:pos="525" w:val="left"/>
        </w:tabs>
        <w:rPr>
          <w:rFonts w:ascii="Arial" w:cs="Arial" w:eastAsia="Arial" w:hAnsi="Arial"/>
          <w:sz w:val="16"/>
          <w:szCs w:val="16"/>
          <w:u w:val="single" w:color="auto"/>
          <w:color w:val="0000FF"/>
        </w:rPr>
      </w:pPr>
      <w:r>
        <w:rPr>
          <w:rFonts w:ascii="Arial" w:cs="Arial" w:eastAsia="Arial" w:hAnsi="Arial"/>
          <w:sz w:val="18"/>
          <w:szCs w:val="18"/>
          <w:color w:val="auto"/>
        </w:rPr>
        <w:t>10.n</w:t>
      </w:r>
      <w:r>
        <w:rPr>
          <w:sz w:val="20"/>
          <w:szCs w:val="20"/>
          <w:color w:val="auto"/>
        </w:rPr>
        <w:tab/>
      </w:r>
      <w:hyperlink r:id="rId165">
        <w:r>
          <w:rPr>
            <w:rFonts w:ascii="Arial" w:cs="Arial" w:eastAsia="Arial" w:hAnsi="Arial"/>
            <w:sz w:val="16"/>
            <w:szCs w:val="16"/>
            <w:u w:val="single" w:color="auto"/>
            <w:color w:val="0000FF"/>
          </w:rPr>
          <w:t>Amendment No. 2, effective July 28, 2010, to the Crown Holdings, Inc. 2006 Stock-Based Incentive Compensation Plan (incorporated by</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reference to Exhibit 10.1 of the Registrant’s Quarterly Report on Form 10-Q for the quarter ended June 30, 2010 (File No. 000-50189)).</w:t>
        </w:r>
      </w:hyperlink>
    </w:p>
    <w:p>
      <w:pPr>
        <w:spacing w:after="0" w:line="151" w:lineRule="exact"/>
        <w:rPr>
          <w:sz w:val="20"/>
          <w:szCs w:val="20"/>
          <w:color w:val="auto"/>
        </w:rPr>
      </w:pPr>
    </w:p>
    <w:p>
      <w:pPr>
        <w:jc w:val="both"/>
        <w:ind w:left="545" w:hanging="566"/>
        <w:spacing w:after="0" w:line="263" w:lineRule="auto"/>
        <w:tabs>
          <w:tab w:leader="none" w:pos="525" w:val="left"/>
        </w:tabs>
        <w:rPr>
          <w:rFonts w:ascii="Arial" w:cs="Arial" w:eastAsia="Arial" w:hAnsi="Arial"/>
          <w:sz w:val="18"/>
          <w:szCs w:val="18"/>
          <w:u w:val="single" w:color="auto"/>
          <w:color w:val="0000FF"/>
        </w:rPr>
      </w:pPr>
      <w:r>
        <w:rPr>
          <w:rFonts w:ascii="Arial" w:cs="Arial" w:eastAsia="Arial" w:hAnsi="Arial"/>
          <w:sz w:val="18"/>
          <w:szCs w:val="18"/>
          <w:color w:val="auto"/>
        </w:rPr>
        <w:t>10.o</w:t>
      </w:r>
      <w:r>
        <w:rPr>
          <w:sz w:val="20"/>
          <w:szCs w:val="20"/>
          <w:color w:val="auto"/>
        </w:rPr>
        <w:tab/>
      </w:r>
      <w:hyperlink r:id="rId166">
        <w:r>
          <w:rPr>
            <w:rFonts w:ascii="Arial" w:cs="Arial" w:eastAsia="Arial" w:hAnsi="Arial"/>
            <w:sz w:val="18"/>
            <w:szCs w:val="18"/>
            <w:u w:val="single" w:color="auto"/>
            <w:color w:val="0000FF"/>
          </w:rPr>
          <w:t>Form of Agreement for Non-Qualified Stock Option Awards under Crown Holdings, Inc. 2006 Stock-Based Incentive Compensation Plan</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(incorporated by reference to Exhibit 10.2 of the Registrant’s Quarterly Report on Form 10-Q for the quarter ended March 31, 2007 (File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No. 000-50189)).</w:t>
        </w:r>
      </w:hyperlink>
    </w:p>
    <w:p>
      <w:pPr>
        <w:spacing w:after="0" w:line="211" w:lineRule="exact"/>
        <w:rPr>
          <w:rFonts w:ascii="Arial" w:cs="Arial" w:eastAsia="Arial" w:hAnsi="Arial"/>
          <w:sz w:val="18"/>
          <w:szCs w:val="18"/>
          <w:u w:val="single" w:color="auto"/>
          <w:color w:val="0000FF"/>
        </w:rPr>
      </w:pPr>
    </w:p>
    <w:p>
      <w:pPr>
        <w:jc w:val="both"/>
        <w:ind w:left="565" w:hanging="566"/>
        <w:spacing w:after="0" w:line="308" w:lineRule="auto"/>
        <w:tabs>
          <w:tab w:leader="none" w:pos="545" w:val="left"/>
        </w:tabs>
        <w:rPr>
          <w:rFonts w:ascii="Arial" w:cs="Arial" w:eastAsia="Arial" w:hAnsi="Arial"/>
          <w:sz w:val="17"/>
          <w:szCs w:val="17"/>
          <w:u w:val="single" w:color="auto"/>
          <w:color w:val="0000FF"/>
        </w:rPr>
      </w:pPr>
      <w:r>
        <w:rPr>
          <w:rFonts w:ascii="Arial" w:cs="Arial" w:eastAsia="Arial" w:hAnsi="Arial"/>
          <w:sz w:val="18"/>
          <w:szCs w:val="18"/>
          <w:color w:val="auto"/>
        </w:rPr>
        <w:t>10.p</w:t>
      </w:r>
      <w:r>
        <w:rPr>
          <w:sz w:val="20"/>
          <w:szCs w:val="20"/>
          <w:color w:val="auto"/>
        </w:rPr>
        <w:tab/>
      </w:r>
      <w:hyperlink r:id="rId167">
        <w:r>
          <w:rPr>
            <w:rFonts w:ascii="Arial" w:cs="Arial" w:eastAsia="Arial" w:hAnsi="Arial"/>
            <w:sz w:val="17"/>
            <w:szCs w:val="17"/>
            <w:u w:val="single" w:color="auto"/>
            <w:color w:val="0000FF"/>
          </w:rPr>
          <w:t>Crown Holdings, Inc. 2013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Statement on Schedule 14A, filed with the Securities and Exchange Commission on March 18, 2013 (File No. 000-50189)).</w:t>
        </w:r>
      </w:hyperlink>
    </w:p>
    <w:p>
      <w:pPr>
        <w:spacing w:after="0" w:line="173" w:lineRule="exact"/>
        <w:rPr>
          <w:sz w:val="20"/>
          <w:szCs w:val="20"/>
          <w:color w:val="auto"/>
        </w:rPr>
      </w:pPr>
    </w:p>
    <w:p>
      <w:pPr>
        <w:jc w:val="both"/>
        <w:ind w:left="505" w:hanging="566"/>
        <w:spacing w:after="0" w:line="263" w:lineRule="auto"/>
        <w:tabs>
          <w:tab w:leader="none" w:pos="485" w:val="left"/>
        </w:tabs>
        <w:rPr>
          <w:rFonts w:ascii="Arial" w:cs="Arial" w:eastAsia="Arial" w:hAnsi="Arial"/>
          <w:sz w:val="18"/>
          <w:szCs w:val="18"/>
          <w:u w:val="single" w:color="auto"/>
          <w:color w:val="0000FF"/>
        </w:rPr>
      </w:pPr>
      <w:r>
        <w:rPr>
          <w:rFonts w:ascii="Arial" w:cs="Arial" w:eastAsia="Arial" w:hAnsi="Arial"/>
          <w:sz w:val="18"/>
          <w:szCs w:val="18"/>
          <w:color w:val="auto"/>
        </w:rPr>
        <w:t>10.q</w:t>
      </w:r>
      <w:r>
        <w:rPr>
          <w:sz w:val="20"/>
          <w:szCs w:val="20"/>
          <w:color w:val="auto"/>
        </w:rPr>
        <w:tab/>
      </w:r>
      <w:hyperlink r:id="rId168">
        <w:r>
          <w:rPr>
            <w:rFonts w:ascii="Arial" w:cs="Arial" w:eastAsia="Arial" w:hAnsi="Arial"/>
            <w:sz w:val="18"/>
            <w:szCs w:val="18"/>
            <w:u w:val="single" w:color="auto"/>
            <w:color w:val="0000FF"/>
          </w:rPr>
          <w:t>Form of Agreement for Restricted Stock Awards under Crown Holdings, Inc. 2013 Stock-Based Incentive Compensation Plan (incorporated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by reference to Exhibit 10.1 of the Registrant’s Quarterly Report on Form 10-Q for the quarter ended September 30, 2013 (File No. 000-</w:t>
        </w:r>
      </w:hyperlink>
      <w:hyperlink r:id="rId168">
        <w:r>
          <w:rPr>
            <w:rFonts w:ascii="Arial" w:cs="Arial" w:eastAsia="Arial" w:hAnsi="Arial"/>
            <w:sz w:val="18"/>
            <w:szCs w:val="18"/>
            <w:u w:val="single" w:color="auto"/>
            <w:color w:val="0000FF"/>
          </w:rPr>
          <w:t>50189)).</w:t>
        </w:r>
      </w:hyperlink>
    </w:p>
    <w:p>
      <w:pPr>
        <w:spacing w:after="0" w:line="211" w:lineRule="exact"/>
        <w:rPr>
          <w:rFonts w:ascii="Arial" w:cs="Arial" w:eastAsia="Arial" w:hAnsi="Arial"/>
          <w:sz w:val="18"/>
          <w:szCs w:val="18"/>
          <w:u w:val="single" w:color="auto"/>
          <w:color w:val="0000FF"/>
        </w:rPr>
      </w:pPr>
    </w:p>
    <w:p>
      <w:pPr>
        <w:jc w:val="both"/>
        <w:ind w:left="485" w:hanging="566"/>
        <w:spacing w:after="0" w:line="263" w:lineRule="auto"/>
        <w:tabs>
          <w:tab w:leader="none" w:pos="465" w:val="left"/>
        </w:tabs>
        <w:rPr>
          <w:rFonts w:ascii="Arial" w:cs="Arial" w:eastAsia="Arial" w:hAnsi="Arial"/>
          <w:sz w:val="18"/>
          <w:szCs w:val="18"/>
          <w:u w:val="single" w:color="auto"/>
          <w:color w:val="0000FF"/>
        </w:rPr>
      </w:pPr>
      <w:r>
        <w:rPr>
          <w:rFonts w:ascii="Arial" w:cs="Arial" w:eastAsia="Arial" w:hAnsi="Arial"/>
          <w:sz w:val="18"/>
          <w:szCs w:val="18"/>
          <w:color w:val="auto"/>
        </w:rPr>
        <w:t>10.r</w:t>
      </w:r>
      <w:r>
        <w:rPr>
          <w:sz w:val="20"/>
          <w:szCs w:val="20"/>
          <w:color w:val="auto"/>
        </w:rPr>
        <w:tab/>
      </w:r>
      <w:hyperlink r:id="rId169">
        <w:r>
          <w:rPr>
            <w:rFonts w:ascii="Arial" w:cs="Arial" w:eastAsia="Arial" w:hAnsi="Arial"/>
            <w:sz w:val="18"/>
            <w:szCs w:val="18"/>
            <w:u w:val="single" w:color="auto"/>
            <w:color w:val="0000FF"/>
          </w:rPr>
          <w:t>Form of Agreement for Deferred Stock Awards under Crown Holdings, Inc. 2013 Stock-Based Incentive Compensation Plan (incorporated</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by reference to Exhibit 10.2 of the Registrant’s Quarterly Report on Form 10-Q for the quarter ended September 30, 2013 (File No. 000-</w:t>
        </w:r>
      </w:hyperlink>
      <w:hyperlink r:id="rId169">
        <w:r>
          <w:rPr>
            <w:rFonts w:ascii="Arial" w:cs="Arial" w:eastAsia="Arial" w:hAnsi="Arial"/>
            <w:sz w:val="18"/>
            <w:szCs w:val="18"/>
            <w:u w:val="single" w:color="auto"/>
            <w:color w:val="0000FF"/>
          </w:rPr>
          <w:t>50189)).</w:t>
        </w:r>
      </w:hyperlink>
    </w:p>
    <w:p>
      <w:pPr>
        <w:spacing w:after="0" w:line="211" w:lineRule="exact"/>
        <w:rPr>
          <w:rFonts w:ascii="Arial" w:cs="Arial" w:eastAsia="Arial" w:hAnsi="Arial"/>
          <w:sz w:val="18"/>
          <w:szCs w:val="18"/>
          <w:u w:val="single" w:color="auto"/>
          <w:color w:val="0000FF"/>
        </w:rPr>
      </w:pPr>
    </w:p>
    <w:p>
      <w:pPr>
        <w:jc w:val="both"/>
        <w:ind w:left="565" w:hanging="566"/>
        <w:spacing w:after="0" w:line="277" w:lineRule="auto"/>
        <w:tabs>
          <w:tab w:leader="none" w:pos="545" w:val="left"/>
        </w:tabs>
        <w:rPr>
          <w:rFonts w:ascii="Arial" w:cs="Arial" w:eastAsia="Arial" w:hAnsi="Arial"/>
          <w:sz w:val="18"/>
          <w:szCs w:val="18"/>
          <w:u w:val="single" w:color="auto"/>
          <w:color w:val="0000FF"/>
        </w:rPr>
      </w:pPr>
      <w:r>
        <w:rPr>
          <w:rFonts w:ascii="Arial" w:cs="Arial" w:eastAsia="Arial" w:hAnsi="Arial"/>
          <w:sz w:val="18"/>
          <w:szCs w:val="18"/>
          <w:color w:val="auto"/>
        </w:rPr>
        <w:t>10.s</w:t>
      </w:r>
      <w:r>
        <w:rPr>
          <w:sz w:val="20"/>
          <w:szCs w:val="20"/>
          <w:color w:val="auto"/>
        </w:rPr>
        <w:tab/>
      </w:r>
      <w:hyperlink r:id="rId170">
        <w:r>
          <w:rPr>
            <w:rFonts w:ascii="Arial" w:cs="Arial" w:eastAsia="Arial" w:hAnsi="Arial"/>
            <w:sz w:val="18"/>
            <w:szCs w:val="18"/>
            <w:u w:val="single" w:color="auto"/>
            <w:color w:val="0000FF"/>
          </w:rPr>
          <w:t>Crown Cork &amp; Seal Company, Inc. Restoration Plan, dated July 28, 2010 (incorporated by reference to Exhibit 10.3 of the Registrant's</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Quarterly Report on Form 10-Q for the quarter ended June 30, 2012 (File No. 000-50189)).</w:t>
        </w:r>
      </w:hyperlink>
    </w:p>
    <w:p>
      <w:pPr>
        <w:spacing w:after="0" w:line="197" w:lineRule="exact"/>
        <w:rPr>
          <w:sz w:val="20"/>
          <w:szCs w:val="20"/>
          <w:color w:val="auto"/>
        </w:rPr>
      </w:pPr>
    </w:p>
    <w:p>
      <w:pPr>
        <w:ind w:left="5"/>
        <w:spacing w:after="0"/>
        <w:tabs>
          <w:tab w:leader="none" w:pos="465" w:val="left"/>
        </w:tabs>
        <w:rPr>
          <w:rFonts w:ascii="Arial" w:cs="Arial" w:eastAsia="Arial" w:hAnsi="Arial"/>
          <w:sz w:val="16"/>
          <w:szCs w:val="16"/>
          <w:u w:val="single" w:color="auto"/>
          <w:color w:val="0000FF"/>
        </w:rPr>
      </w:pPr>
      <w:r>
        <w:rPr>
          <w:rFonts w:ascii="Arial" w:cs="Arial" w:eastAsia="Arial" w:hAnsi="Arial"/>
          <w:sz w:val="18"/>
          <w:szCs w:val="18"/>
          <w:color w:val="auto"/>
        </w:rPr>
        <w:t>10.t</w:t>
      </w:r>
      <w:r>
        <w:rPr>
          <w:sz w:val="20"/>
          <w:szCs w:val="20"/>
          <w:color w:val="auto"/>
        </w:rPr>
        <w:tab/>
      </w:r>
      <w:hyperlink r:id="rId171">
        <w:r>
          <w:rPr>
            <w:rFonts w:ascii="Arial" w:cs="Arial" w:eastAsia="Arial" w:hAnsi="Arial"/>
            <w:sz w:val="16"/>
            <w:szCs w:val="16"/>
            <w:u w:val="single" w:color="auto"/>
            <w:color w:val="0000FF"/>
          </w:rPr>
          <w:t>Amendment No. 1, effective July 1, 2011, to the Crown Cork &amp; Seal Company, Inc. Restoration Plan (incorporated by reference to Exhibit</w:t>
        </w:r>
      </w:hyperlink>
    </w:p>
    <w:p>
      <w:pPr>
        <w:spacing w:after="0" w:line="23" w:lineRule="exact"/>
        <w:rPr>
          <w:sz w:val="20"/>
          <w:szCs w:val="20"/>
          <w:color w:val="auto"/>
        </w:rPr>
      </w:pPr>
    </w:p>
    <w:p>
      <w:pPr>
        <w:ind w:left="565"/>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10.4 of the Registrant's Quarterly Report on Form 10-Q for the quarter ended June 30, 2012 (File No. 000-50189)).</w:t>
        </w:r>
      </w:hyperlink>
    </w:p>
    <w:p>
      <w:pPr>
        <w:spacing w:after="0" w:line="238" w:lineRule="exact"/>
        <w:rPr>
          <w:sz w:val="20"/>
          <w:szCs w:val="20"/>
          <w:color w:val="auto"/>
        </w:rPr>
      </w:pPr>
    </w:p>
    <w:p>
      <w:pPr>
        <w:jc w:val="both"/>
        <w:ind w:left="565" w:right="20" w:hanging="566"/>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10.u </w:t>
      </w:r>
      <w:hyperlink r:id="rId172">
        <w:r>
          <w:rPr>
            <w:rFonts w:ascii="Arial" w:cs="Arial" w:eastAsia="Arial" w:hAnsi="Arial"/>
            <w:sz w:val="16"/>
            <w:szCs w:val="16"/>
            <w:u w:val="single" w:color="auto"/>
            <w:color w:val="0000FF"/>
          </w:rPr>
          <w:t>Amendment No. 1, effective February 28, 2020, to the Crown Holdings, Inc. 2013 Stock-Based Incentive Compensation Plan (incorporated by</w:t>
        </w:r>
      </w:hyperlink>
      <w:r>
        <w:rPr>
          <w:rFonts w:ascii="Arial" w:cs="Arial" w:eastAsia="Arial" w:hAnsi="Arial"/>
          <w:sz w:val="16"/>
          <w:szCs w:val="16"/>
          <w:color w:val="auto"/>
        </w:rPr>
        <w:t xml:space="preserve"> </w:t>
      </w:r>
      <w:hyperlink r:id="rId172">
        <w:r>
          <w:rPr>
            <w:rFonts w:ascii="Arial" w:cs="Arial" w:eastAsia="Arial" w:hAnsi="Arial"/>
            <w:sz w:val="16"/>
            <w:szCs w:val="16"/>
            <w:u w:val="single" w:color="auto"/>
            <w:color w:val="0000FF"/>
          </w:rPr>
          <w:t>reference to Exhibit 10.2 of the Registrant's Quarterly Report on From 10-Q for the quarter ended March 31, 2020 (File No. 000-50189)).</w:t>
        </w:r>
      </w:hyperlink>
    </w:p>
    <w:p>
      <w:pPr>
        <w:spacing w:after="0" w:line="151" w:lineRule="exact"/>
        <w:rPr>
          <w:sz w:val="20"/>
          <w:szCs w:val="20"/>
          <w:color w:val="auto"/>
        </w:rPr>
      </w:pPr>
    </w:p>
    <w:p>
      <w:pPr>
        <w:ind w:left="5"/>
        <w:spacing w:after="0"/>
        <w:tabs>
          <w:tab w:leader="none" w:pos="465" w:val="left"/>
        </w:tabs>
        <w:rPr>
          <w:rFonts w:ascii="Arial" w:cs="Arial" w:eastAsia="Arial" w:hAnsi="Arial"/>
          <w:sz w:val="16"/>
          <w:szCs w:val="16"/>
          <w:u w:val="single" w:color="auto"/>
          <w:color w:val="0000FF"/>
        </w:rPr>
      </w:pPr>
      <w:r>
        <w:rPr>
          <w:rFonts w:ascii="Arial" w:cs="Arial" w:eastAsia="Arial" w:hAnsi="Arial"/>
          <w:sz w:val="18"/>
          <w:szCs w:val="18"/>
          <w:color w:val="auto"/>
        </w:rPr>
        <w:t>10.v</w:t>
      </w:r>
      <w:r>
        <w:rPr>
          <w:sz w:val="20"/>
          <w:szCs w:val="20"/>
          <w:color w:val="auto"/>
        </w:rPr>
        <w:tab/>
      </w:r>
      <w:hyperlink w:anchor="page101">
        <w:r>
          <w:rPr>
            <w:rFonts w:ascii="Arial" w:cs="Arial" w:eastAsia="Arial" w:hAnsi="Arial"/>
            <w:sz w:val="16"/>
            <w:szCs w:val="16"/>
            <w:u w:val="single" w:color="auto"/>
            <w:color w:val="0000FF"/>
          </w:rPr>
          <w:t>Amendment No. 2, effective February 25, 2021, to the Crown Holdings, Inc. 2013 Stock-Based Incentive Compensation Plan.</w:t>
        </w:r>
      </w:hyperlink>
    </w:p>
    <w:p>
      <w:pPr>
        <w:spacing w:after="0" w:line="252" w:lineRule="exact"/>
        <w:rPr>
          <w:sz w:val="20"/>
          <w:szCs w:val="20"/>
          <w:color w:val="auto"/>
        </w:rPr>
      </w:pPr>
    </w:p>
    <w:p>
      <w:pPr>
        <w:jc w:val="both"/>
        <w:ind w:left="5" w:right="20"/>
        <w:spacing w:after="0" w:line="277" w:lineRule="auto"/>
        <w:rPr>
          <w:sz w:val="20"/>
          <w:szCs w:val="20"/>
          <w:color w:val="auto"/>
        </w:rPr>
      </w:pPr>
      <w:r>
        <w:rPr>
          <w:rFonts w:ascii="Arial" w:cs="Arial" w:eastAsia="Arial" w:hAnsi="Arial"/>
          <w:sz w:val="18"/>
          <w:szCs w:val="18"/>
          <w:color w:val="auto"/>
        </w:rPr>
        <w:t>Exhibits 10.c through 10.t are management contracts or compensatory plans or arrangements required to be filed as exhibits pursuant to Item 14(c) of this Report.</w:t>
      </w:r>
    </w:p>
    <w:p>
      <w:pPr>
        <w:spacing w:after="0" w:line="197" w:lineRule="exact"/>
        <w:rPr>
          <w:sz w:val="20"/>
          <w:szCs w:val="20"/>
          <w:color w:val="auto"/>
        </w:rPr>
      </w:pPr>
    </w:p>
    <w:p>
      <w:pPr>
        <w:ind w:left="365" w:hanging="365"/>
        <w:spacing w:after="0"/>
        <w:tabs>
          <w:tab w:leader="none" w:pos="365" w:val="left"/>
        </w:tabs>
        <w:numPr>
          <w:ilvl w:val="0"/>
          <w:numId w:val="25"/>
        </w:numPr>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Subsidiaries of Registrant.</w:t>
        </w:r>
      </w:hyperlink>
    </w:p>
    <w:p>
      <w:pPr>
        <w:spacing w:after="0" w:line="252" w:lineRule="exact"/>
        <w:rPr>
          <w:rFonts w:ascii="Arial" w:cs="Arial" w:eastAsia="Arial" w:hAnsi="Arial"/>
          <w:sz w:val="18"/>
          <w:szCs w:val="18"/>
          <w:u w:val="single" w:color="auto"/>
          <w:color w:val="0000FF"/>
        </w:rPr>
      </w:pPr>
    </w:p>
    <w:p>
      <w:pPr>
        <w:ind w:left="365" w:hanging="365"/>
        <w:spacing w:after="0"/>
        <w:tabs>
          <w:tab w:leader="none" w:pos="365" w:val="left"/>
        </w:tabs>
        <w:numPr>
          <w:ilvl w:val="0"/>
          <w:numId w:val="25"/>
        </w:numPr>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List of Guarantors.</w:t>
        </w:r>
      </w:hyperlink>
    </w:p>
    <w:p>
      <w:pPr>
        <w:spacing w:after="0" w:line="252" w:lineRule="exact"/>
        <w:rPr>
          <w:rFonts w:ascii="Arial" w:cs="Arial" w:eastAsia="Arial" w:hAnsi="Arial"/>
          <w:sz w:val="18"/>
          <w:szCs w:val="18"/>
          <w:u w:val="single" w:color="auto"/>
          <w:color w:val="0000FF"/>
        </w:rPr>
      </w:pPr>
    </w:p>
    <w:p>
      <w:pPr>
        <w:ind w:left="365" w:hanging="365"/>
        <w:spacing w:after="0"/>
        <w:tabs>
          <w:tab w:leader="none" w:pos="365" w:val="left"/>
        </w:tabs>
        <w:numPr>
          <w:ilvl w:val="0"/>
          <w:numId w:val="25"/>
        </w:numPr>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Consent of Independent Registered Public Accounting Firm.</w:t>
        </w:r>
      </w:hyperlink>
    </w:p>
    <w:p>
      <w:pPr>
        <w:spacing w:after="0" w:line="252" w:lineRule="exact"/>
        <w:rPr>
          <w:rFonts w:ascii="Arial" w:cs="Arial" w:eastAsia="Arial" w:hAnsi="Arial"/>
          <w:sz w:val="18"/>
          <w:szCs w:val="18"/>
          <w:color w:val="auto"/>
        </w:rPr>
      </w:pPr>
    </w:p>
    <w:p>
      <w:pPr>
        <w:ind w:left="545" w:right="20" w:hanging="566"/>
        <w:spacing w:after="0" w:line="277" w:lineRule="auto"/>
        <w:tabs>
          <w:tab w:leader="none" w:pos="525"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11">
        <w:r>
          <w:rPr>
            <w:rFonts w:ascii="Arial" w:cs="Arial" w:eastAsia="Arial" w:hAnsi="Arial"/>
            <w:sz w:val="18"/>
            <w:szCs w:val="18"/>
            <w:u w:val="single" w:color="auto"/>
            <w:color w:val="0000FF"/>
          </w:rPr>
          <w:t>Certification of Chief Executive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111">
        <w:r>
          <w:rPr>
            <w:rFonts w:ascii="Arial" w:cs="Arial" w:eastAsia="Arial" w:hAnsi="Arial"/>
            <w:sz w:val="18"/>
            <w:szCs w:val="18"/>
            <w:u w:val="single" w:color="auto"/>
            <w:color w:val="0000FF"/>
          </w:rPr>
          <w:t>pursuant to Section 302 of the Sarbanes-Oxley Act of 2002.</w:t>
        </w:r>
      </w:hyperlink>
    </w:p>
    <w:p>
      <w:pPr>
        <w:spacing w:after="0" w:line="197" w:lineRule="exact"/>
        <w:rPr>
          <w:sz w:val="20"/>
          <w:szCs w:val="20"/>
          <w:color w:val="auto"/>
        </w:rPr>
      </w:pPr>
    </w:p>
    <w:p>
      <w:pPr>
        <w:ind w:left="545" w:hanging="566"/>
        <w:spacing w:after="0" w:line="277" w:lineRule="auto"/>
        <w:tabs>
          <w:tab w:leader="none" w:pos="525"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12">
        <w:r>
          <w:rPr>
            <w:rFonts w:ascii="Arial" w:cs="Arial" w:eastAsia="Arial" w:hAnsi="Arial"/>
            <w:sz w:val="18"/>
            <w:szCs w:val="18"/>
            <w:u w:val="single" w:color="auto"/>
            <w:color w:val="0000FF"/>
          </w:rPr>
          <w:t>Certification of Chief Financial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112">
        <w:r>
          <w:rPr>
            <w:rFonts w:ascii="Arial" w:cs="Arial" w:eastAsia="Arial" w:hAnsi="Arial"/>
            <w:sz w:val="18"/>
            <w:szCs w:val="18"/>
            <w:u w:val="single" w:color="auto"/>
            <w:color w:val="0000FF"/>
          </w:rPr>
          <w:t>pursuant to Section 302 of the Sarbanes-Oxley Act of 2002.</w:t>
        </w:r>
      </w:hyperlink>
    </w:p>
    <w:p>
      <w:pPr>
        <w:spacing w:after="0" w:line="197" w:lineRule="exact"/>
        <w:rPr>
          <w:sz w:val="20"/>
          <w:szCs w:val="20"/>
          <w:color w:val="auto"/>
        </w:rPr>
      </w:pPr>
    </w:p>
    <w:p>
      <w:pPr>
        <w:ind w:left="565" w:hanging="565"/>
        <w:spacing w:after="0" w:line="263" w:lineRule="auto"/>
        <w:tabs>
          <w:tab w:leader="none" w:pos="358" w:val="left"/>
        </w:tabs>
        <w:numPr>
          <w:ilvl w:val="0"/>
          <w:numId w:val="26"/>
        </w:numPr>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Certification pursuant to 18 U.S.C. Section 1350, as adopted pursuant to Section 906 of the Sarbanes-Oxley Act of 2002, executed by Timothy</w:t>
        </w:r>
      </w:hyperlink>
      <w:r>
        <w:rPr>
          <w:rFonts w:ascii="Arial" w:cs="Arial" w:eastAsia="Arial" w:hAnsi="Arial"/>
          <w:sz w:val="18"/>
          <w:szCs w:val="18"/>
          <w:u w:val="single" w:color="auto"/>
          <w:color w:val="0000FF"/>
        </w:rPr>
        <w:t xml:space="preserve"> </w:t>
      </w:r>
      <w:hyperlink w:anchor="page113">
        <w:r>
          <w:rPr>
            <w:rFonts w:ascii="Arial" w:cs="Arial" w:eastAsia="Arial" w:hAnsi="Arial"/>
            <w:sz w:val="18"/>
            <w:szCs w:val="18"/>
            <w:u w:val="single" w:color="auto"/>
            <w:color w:val="0000FF"/>
          </w:rPr>
          <w:t>J. Donahue, President and Chief Executive Officer of Crown Holdings, Inc. and Thomas A. Kelly, Senior Vice President and Chief</w:t>
        </w:r>
      </w:hyperlink>
      <w:r>
        <w:rPr>
          <w:rFonts w:ascii="Arial" w:cs="Arial" w:eastAsia="Arial" w:hAnsi="Arial"/>
          <w:sz w:val="18"/>
          <w:szCs w:val="18"/>
          <w:u w:val="single" w:color="auto"/>
          <w:color w:val="0000FF"/>
        </w:rPr>
        <w:t xml:space="preserve"> </w:t>
      </w:r>
      <w:hyperlink w:anchor="page113">
        <w:r>
          <w:rPr>
            <w:rFonts w:ascii="Arial" w:cs="Arial" w:eastAsia="Arial" w:hAnsi="Arial"/>
            <w:sz w:val="18"/>
            <w:szCs w:val="18"/>
            <w:u w:val="single" w:color="auto"/>
            <w:color w:val="0000FF"/>
          </w:rPr>
          <w:t>Financial Officer of Crown Holdings, Inc.</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4" w:lineRule="exact"/>
        <w:rPr>
          <w:rFonts w:ascii="Arial" w:cs="Arial" w:eastAsia="Arial" w:hAnsi="Arial"/>
          <w:sz w:val="18"/>
          <w:szCs w:val="18"/>
          <w:u w:val="single" w:color="auto"/>
          <w:color w:val="0000FF"/>
        </w:rPr>
      </w:pPr>
    </w:p>
    <w:p>
      <w:pPr>
        <w:ind w:left="4965"/>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-359410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5"/>
          </w:cols>
          <w:pgMar w:left="895" w:top="121" w:right="3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120" w:hanging="565"/>
        <w:spacing w:after="0" w:line="293" w:lineRule="auto"/>
        <w:tabs>
          <w:tab w:leader="none" w:pos="102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year ended December 31, 2020 formatted in Inline XBRL (eXtensible Business Reporting Language): (i) Consolidated Statements of Operations for the twelve months ended December 31, 2020, 2019 and 2018, (ii) Consolidated Statements of Comprehensive Income for the twelve months ended December 31, 2020, 2019 and 2018; (iii) Consolidated Balance Sheets as of December 31, 2020 and December 31, 2019, (iv) Consolidated Statements of Cash Flows for the twelve months ended December 31, 2020, 2019 and 2018, (v) Consolidated Statements of Changes in Shareholders' Equity for the twelve months ended December 31, 2020, 2019 and 2018 and (vi) Notes to Consolidated Financial Statements.</w:t>
      </w:r>
    </w:p>
    <w:p>
      <w:pPr>
        <w:spacing w:after="0" w:line="191" w:lineRule="exact"/>
        <w:rPr>
          <w:sz w:val="20"/>
          <w:szCs w:val="20"/>
          <w:color w:val="auto"/>
        </w:rPr>
      </w:pPr>
    </w:p>
    <w:p>
      <w:pPr>
        <w:ind w:left="1120" w:hanging="565"/>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 the XBRL document.</w:t>
      </w:r>
    </w:p>
    <w:p>
      <w:pPr>
        <w:spacing w:after="0" w:line="200" w:lineRule="exact"/>
        <w:rPr>
          <w:sz w:val="20"/>
          <w:szCs w:val="20"/>
          <w:color w:val="auto"/>
        </w:rPr>
      </w:pPr>
    </w:p>
    <w:p>
      <w:pPr>
        <w:spacing w:after="0" w:line="2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tbl>
      <w:tblPr>
        <w:tblLayout w:type="fixed"/>
        <w:tblInd w:w="6500" w:type="dxa"/>
        <w:tblCellMar>
          <w:top w:w="0" w:type="dxa"/>
          <w:left w:w="0" w:type="dxa"/>
          <w:bottom w:w="0" w:type="dxa"/>
          <w:right w:w="0" w:type="dxa"/>
        </w:tblCellMar>
      </w:tblPr>
      <w:tr>
        <w:trPr>
          <w:trHeight w:val="178"/>
        </w:trPr>
        <w:tc>
          <w:tcPr>
            <w:tcW w:w="740" w:type="dxa"/>
            <w:vAlign w:val="bottom"/>
          </w:tcPr>
          <w:p>
            <w:pPr>
              <w:spacing w:after="0"/>
              <w:rPr>
                <w:sz w:val="15"/>
                <w:szCs w:val="15"/>
                <w:color w:val="auto"/>
              </w:rPr>
            </w:pPr>
          </w:p>
        </w:tc>
        <w:tc>
          <w:tcPr>
            <w:tcW w:w="4000" w:type="dxa"/>
            <w:vAlign w:val="bottom"/>
          </w:tcPr>
          <w:p>
            <w:pPr>
              <w:spacing w:after="0" w:line="178" w:lineRule="exact"/>
              <w:rPr>
                <w:sz w:val="20"/>
                <w:szCs w:val="20"/>
                <w:color w:val="auto"/>
              </w:rPr>
            </w:pPr>
            <w:r>
              <w:rPr>
                <w:rFonts w:ascii="Arial" w:cs="Arial" w:eastAsia="Arial" w:hAnsi="Arial"/>
                <w:sz w:val="18"/>
                <w:szCs w:val="18"/>
                <w:color w:val="auto"/>
              </w:rPr>
              <w:t>Crown Holdings, Inc.</w:t>
            </w:r>
          </w:p>
        </w:tc>
      </w:tr>
      <w:tr>
        <w:trPr>
          <w:trHeight w:val="230"/>
        </w:trPr>
        <w:tc>
          <w:tcPr>
            <w:tcW w:w="7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22"/>
        </w:trPr>
        <w:tc>
          <w:tcPr>
            <w:tcW w:w="7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7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Timothy J. Donahue, Thomas A. Kelly and Adam J. Dickstein,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2020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40"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 above.</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9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SIGNATURE</w:t>
            </w:r>
          </w:p>
        </w:tc>
        <w:tc>
          <w:tcPr>
            <w:tcW w:w="3940" w:type="dxa"/>
            <w:vAlign w:val="bottom"/>
            <w:gridSpan w:val="5"/>
          </w:tcPr>
          <w:p>
            <w:pPr>
              <w:ind w:left="360"/>
              <w:spacing w:after="0" w:line="194"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J. Donahue</w:t>
            </w:r>
          </w:p>
        </w:tc>
        <w:tc>
          <w:tcPr>
            <w:tcW w:w="3940" w:type="dxa"/>
            <w:vAlign w:val="bottom"/>
            <w:gridSpan w:val="5"/>
            <w:vMerge w:val="restart"/>
          </w:tcPr>
          <w:p>
            <w:pPr>
              <w:ind w:left="360"/>
              <w:spacing w:after="0"/>
              <w:rPr>
                <w:sz w:val="20"/>
                <w:szCs w:val="20"/>
                <w:color w:val="auto"/>
              </w:rPr>
            </w:pPr>
            <w:r>
              <w:rPr>
                <w:rFonts w:ascii="Arial" w:cs="Arial" w:eastAsia="Arial" w:hAnsi="Arial"/>
                <w:sz w:val="18"/>
                <w:szCs w:val="18"/>
                <w:color w:val="auto"/>
                <w:w w:val="95"/>
              </w:rPr>
              <w:t>Director, President and Chief Executive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3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A. Kelly</w:t>
            </w:r>
          </w:p>
        </w:tc>
        <w:tc>
          <w:tcPr>
            <w:tcW w:w="3940" w:type="dxa"/>
            <w:vAlign w:val="bottom"/>
            <w:gridSpan w:val="5"/>
            <w:vMerge w:val="restart"/>
          </w:tcPr>
          <w:p>
            <w:pPr>
              <w:ind w:left="360"/>
              <w:spacing w:after="0"/>
              <w:rPr>
                <w:sz w:val="20"/>
                <w:szCs w:val="20"/>
                <w:color w:val="auto"/>
              </w:rPr>
            </w:pPr>
            <w:r>
              <w:rPr>
                <w:rFonts w:ascii="Arial" w:cs="Arial" w:eastAsia="Arial" w:hAnsi="Arial"/>
                <w:sz w:val="18"/>
                <w:szCs w:val="18"/>
                <w:color w:val="auto"/>
                <w:w w:val="91"/>
              </w:rPr>
              <w:t>Senior Vice President and Chief Financial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Thomas A. Kelly</w:t>
            </w:r>
          </w:p>
        </w:tc>
        <w:tc>
          <w:tcPr>
            <w:tcW w:w="3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Beaver</w:t>
            </w:r>
          </w:p>
        </w:tc>
        <w:tc>
          <w:tcPr>
            <w:tcW w:w="3940" w:type="dxa"/>
            <w:vAlign w:val="bottom"/>
            <w:gridSpan w:val="5"/>
            <w:vMerge w:val="restart"/>
          </w:tcPr>
          <w:p>
            <w:pPr>
              <w:ind w:left="36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David A. Beaver</w:t>
            </w:r>
          </w:p>
        </w:tc>
        <w:tc>
          <w:tcPr>
            <w:tcW w:w="3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DIRECTORS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/s/ John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45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W. Conway, Chairman of the Board</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45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H. Fearon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45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Andrea J. Funk</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J.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457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J. Hagge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Rose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457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Rose Lee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457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H. 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Josef M.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35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Josef M. Müller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B. Craig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35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 Craig Owens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1635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Caesar F. Sweitzer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Jim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35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 L. Turner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William S. Urkiel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35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Urkiel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1635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Dwayne A. Wilson</w:t>
      </w:r>
    </w:p>
    <w:p>
      <w:pPr>
        <w:spacing w:after="0" w:line="200" w:lineRule="exact"/>
        <w:rPr>
          <w:sz w:val="20"/>
          <w:szCs w:val="20"/>
          <w:color w:val="auto"/>
        </w:rPr>
      </w:pPr>
    </w:p>
    <w:p>
      <w:pPr>
        <w:sectPr>
          <w:pgSz w:w="11900" w:h="16838" w:orient="portrait"/>
          <w:cols w:equalWidth="0" w:num="2">
            <w:col w:w="5520" w:space="720"/>
            <w:col w:w="50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40"/>
          </w:cols>
          <w:pgMar w:left="320" w:top="121" w:right="339" w:bottom="144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22"/>
          <w:szCs w:val="22"/>
          <w:u w:val="single" w:color="auto"/>
          <w:color w:val="auto"/>
        </w:rPr>
        <w:t>Amendment No. 2</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CROWN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2013 STOCK-BASED INCENTIVE COMPENSATION PLAN</w:t>
      </w:r>
    </w:p>
    <w:p>
      <w:pPr>
        <w:spacing w:after="0" w:line="229" w:lineRule="exact"/>
        <w:rPr>
          <w:sz w:val="20"/>
          <w:szCs w:val="20"/>
          <w:color w:val="auto"/>
        </w:rPr>
      </w:pPr>
    </w:p>
    <w:p>
      <w:pPr>
        <w:ind w:right="240" w:firstLine="1296"/>
        <w:spacing w:after="0" w:line="253" w:lineRule="auto"/>
        <w:rPr>
          <w:sz w:val="20"/>
          <w:szCs w:val="20"/>
          <w:color w:val="auto"/>
        </w:rPr>
      </w:pPr>
      <w:r>
        <w:rPr>
          <w:rFonts w:ascii="Arial" w:cs="Arial" w:eastAsia="Arial" w:hAnsi="Arial"/>
          <w:sz w:val="22"/>
          <w:szCs w:val="22"/>
          <w:color w:val="auto"/>
        </w:rPr>
        <w:t>Pursuant to the power reserved to it in Section 12.1 of the Crown Holdings, Inc. 2013 Stock-Based Incentive Compensation Plan ( the "2013 Plan"), the Board of Directors of Crown Holdings, Inc. hereby amends the 2013 Plan, effective February 25, 2021, as follows:</w:t>
      </w:r>
    </w:p>
    <w:p>
      <w:pPr>
        <w:spacing w:after="0" w:line="212" w:lineRule="exact"/>
        <w:rPr>
          <w:sz w:val="20"/>
          <w:szCs w:val="20"/>
          <w:color w:val="auto"/>
        </w:rPr>
      </w:pPr>
    </w:p>
    <w:p>
      <w:pPr>
        <w:ind w:left="1300" w:right="4040" w:hanging="1292"/>
        <w:spacing w:after="0" w:line="473" w:lineRule="auto"/>
        <w:tabs>
          <w:tab w:leader="none" w:pos="65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Section 19 is hereby amended and restated in its entirety to read as follows: "19. </w:t>
      </w:r>
      <w:r>
        <w:rPr>
          <w:rFonts w:ascii="Arial" w:cs="Arial" w:eastAsia="Arial" w:hAnsi="Arial"/>
          <w:sz w:val="22"/>
          <w:szCs w:val="22"/>
          <w:u w:val="single" w:color="auto"/>
          <w:color w:val="auto"/>
        </w:rPr>
        <w:t>Recoupment</w:t>
      </w:r>
    </w:p>
    <w:p>
      <w:pPr>
        <w:spacing w:after="0" w:line="2" w:lineRule="exact"/>
        <w:rPr>
          <w:sz w:val="20"/>
          <w:szCs w:val="20"/>
          <w:color w:val="auto"/>
        </w:rPr>
      </w:pPr>
    </w:p>
    <w:p>
      <w:pPr>
        <w:ind w:left="1300"/>
        <w:spacing w:after="0" w:line="287" w:lineRule="auto"/>
        <w:rPr>
          <w:sz w:val="20"/>
          <w:szCs w:val="20"/>
          <w:color w:val="auto"/>
        </w:rPr>
      </w:pPr>
      <w:r>
        <w:rPr>
          <w:rFonts w:ascii="Arial" w:cs="Arial" w:eastAsia="Arial" w:hAnsi="Arial"/>
          <w:sz w:val="19"/>
          <w:szCs w:val="19"/>
          <w:color w:val="auto"/>
        </w:rPr>
        <w:t>Notwithstanding any provision of the Plan or any Award to the contrary, with respect to any Award (or portion thereof) that is based upon a Performance Goal, if the Company is subsequently required to restate its financial statements resulting in the Company's financial results being reduced such that the Award (or any portion thereof) would not have been awarded (or would have been awarded with respect to a smaller number of shares of Common Stock), the Committee may reduce such Award if it determines, in its sole discretion, that the Participant engaged in intentional misconduct or fraud that resulted in such restatement. In such event, the Participant's Award may be reduced to the amount, if any, that would have been earned on the basis of the revised financial statements, as determined by the Committee in its sole discretion and the Company shall be entitled to seek recoupment from the Participant (in payment of cash or delivery of an amount of shares of Common Stock) for the amount of any excess, as the Committee deems appropriate under the circumstances. As a condition to participation in the Plan, each Participant shall agree that his or her Award (or a portion thereof) may be reduced or recouped pursuant to this Section 19."</w:t>
      </w:r>
    </w:p>
    <w:p>
      <w:pPr>
        <w:spacing w:after="0" w:line="200" w:lineRule="exact"/>
        <w:rPr>
          <w:sz w:val="20"/>
          <w:szCs w:val="20"/>
          <w:color w:val="auto"/>
        </w:rPr>
      </w:pPr>
    </w:p>
    <w:p>
      <w:pPr>
        <w:spacing w:after="0" w:line="247"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22"/>
          <w:szCs w:val="22"/>
          <w:color w:val="auto"/>
        </w:rPr>
        <w:t>*</w:t>
        <w:tab/>
        <w:t>*</w:t>
        <w:tab/>
        <w:t>*</w:t>
      </w:r>
    </w:p>
    <w:p>
      <w:pPr>
        <w:spacing w:after="0" w:line="247"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To record the adoption of this Amendment No. 2 to the 2013 Plan, Crown Holdings, Inc. has authorized its officers to affix its corporate name effective as of the date indicated above.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12609954.3.TAX</w:t>
      </w:r>
    </w:p>
    <w:p>
      <w:pPr>
        <w:sectPr>
          <w:pgSz w:w="11900" w:h="16838" w:orient="portrait"/>
          <w:cols w:equalWidth="0" w:num="1">
            <w:col w:w="11220"/>
          </w:cols>
          <w:pgMar w:left="320" w:top="901" w:right="359" w:bottom="1440" w:gutter="0" w:footer="0" w:header="0"/>
        </w:sectPr>
      </w:pPr>
    </w:p>
    <w:bookmarkStart w:id="101" w:name="page102"/>
    <w:bookmarkEnd w:id="101"/>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9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Timothy J. Donahue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Timothy J. Donahue</w:t>
      </w:r>
    </w:p>
    <w:p>
      <w:pPr>
        <w:spacing w:after="0" w:line="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Title: President and Chief Executive Officer</w:t>
      </w:r>
    </w:p>
    <w:p>
      <w:pPr>
        <w:sectPr>
          <w:pgSz w:w="11900" w:h="16838" w:orient="portrait"/>
          <w:cols w:equalWidth="0" w:num="1">
            <w:col w:w="9019"/>
          </w:cols>
          <w:pgMar w:left="1440" w:top="1440" w:right="1440"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25"/>
          <w:szCs w:val="25"/>
          <w:b w:val="1"/>
          <w:bCs w:val="1"/>
          <w:color w:val="auto"/>
        </w:rPr>
        <w:t>Crown Holdings, Inc.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Exhibit 21 - Subsidiaries of Registrant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and Seal Receivables II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Receivables III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Investment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Crownway Insurance Company</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Vermont</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Australia Pty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Australia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Austria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Austria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(Barbados)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Barbados</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Belgium BVBA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België NV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Shippers Europe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Belgium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Hanoi Investment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Bermuda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Brasil Holdings Ltda.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bl>
    <w:p>
      <w:pPr>
        <w:sectPr>
          <w:pgSz w:w="11900" w:h="16838" w:orient="portrait"/>
          <w:cols w:equalWidth="0" w:num="1">
            <w:col w:w="11060"/>
          </w:cols>
          <w:pgMar w:left="420" w:top="765" w:right="419" w:bottom="1440" w:gutter="0" w:footer="0" w:header="0"/>
        </w:sectPr>
      </w:pPr>
    </w:p>
    <w:bookmarkStart w:id="103" w:name="page104"/>
    <w:bookmarkEnd w:id="1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Embalagens Métalicas da Amazonia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Brasil Ltda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Bulgaria EOOD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Bulgaria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(Cambodia)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Cambodia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Sihanoukville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Cambodia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LP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Canada ULC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CMB Machinery and Technology (Shanghai)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Beijing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Hangzhou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Heshan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Huizhou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Putian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Ziyang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Heshan Trading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Continental Can Co.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Crown Easy-Opening End Co.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(Qingdao)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(Shanghai)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Colombiana,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Colombia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Colombia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Colombia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Denmark ApS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Denmark</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Liljendals Bruk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Finland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Finland Oy</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Finland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Butimove</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Developpement</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Emballage France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European Holdings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Services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Gunther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Litec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Scybele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Civile Immobilière des Baquets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Societe Civile Immobiliere Rousseau-Ivry</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de Participations CarnaudMetalbox</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France Holdings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Germany GmbH &amp; Co. KG</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Vermögensverwaltung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Deutschland Holdings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Germany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Mezger Heftsysteme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Germany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SMB Schwede Maschinenbau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SMP Schwede Maschinenbau Weischlitz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Germany Service Management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Systems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Cans Ghana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6"/>
              </w:rPr>
              <w:t>Ghana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Hellas Can Packaging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Greece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Hong Kong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China Holdings (Hong Kong)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Investment (H.K.)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Hong Kong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Hungary Kft</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Hungary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Magyarorszag Csomagoloipari KFT</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Hungary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India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India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Stopak India Pvt.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India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PT CROWN Beverage Cans Indonesia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Indonesia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Distribution Ireland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Ireland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Ireland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Ireland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Ireland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Ireland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Italy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Italia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Imballaggi Italia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Italy Finance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SIEM</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Ivory Coast</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Jamaica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Jamaica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Japan K.K.</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4"/>
              </w:rPr>
              <w:t>Japan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Middle East Can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4"/>
              </w:rPr>
              <w:t>Jordan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Kenya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Kenya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Luxembourg Holdings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 S.à.r.l.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III S.à.r.l.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Lux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Luxembourg S.a.r.l.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Industrial Packaging S.a.r.l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Société Malgache d'Emballages Métalliques (CROWN SMEM)</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Madagascar</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Malaysia Sdn Bhd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Malaysia</w:t>
            </w:r>
          </w:p>
        </w:tc>
        <w:tc>
          <w:tcPr>
            <w:tcW w:w="0" w:type="dxa"/>
            <w:vAlign w:val="bottom"/>
          </w:tcPr>
          <w:p>
            <w:pPr>
              <w:spacing w:after="0"/>
              <w:rPr>
                <w:sz w:val="1"/>
                <w:szCs w:val="1"/>
                <w:color w:val="auto"/>
              </w:rPr>
            </w:pPr>
          </w:p>
        </w:tc>
      </w:tr>
    </w:tbl>
    <w:p>
      <w:pPr>
        <w:sectPr>
          <w:pgSz w:w="11900" w:h="16838" w:orient="portrait"/>
          <w:cols w:equalWidth="0" w:num="1">
            <w:col w:w="11060"/>
          </w:cols>
          <w:pgMar w:left="420" w:top="1037" w:right="419" w:bottom="144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60" w:type="dxa"/>
            <w:vAlign w:val="bottom"/>
            <w:tcBorders>
              <w:top w:val="single" w:sz="8" w:color="auto"/>
              <w:lef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8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r>
      <w:tr>
        <w:trPr>
          <w:trHeight w:val="189"/>
        </w:trPr>
        <w:tc>
          <w:tcPr>
            <w:tcW w:w="366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r>
      <w:tr>
        <w:trPr>
          <w:trHeight w:val="203"/>
        </w:trPr>
        <w:tc>
          <w:tcPr>
            <w:tcW w:w="7900" w:type="dxa"/>
            <w:vAlign w:val="bottom"/>
            <w:tcBorders>
              <w:left w:val="single" w:sz="8" w:color="auto"/>
              <w:right w:val="single" w:sz="8" w:color="auto"/>
            </w:tcBorders>
            <w:gridSpan w:val="3"/>
          </w:tcPr>
          <w:p>
            <w:pPr>
              <w:ind w:left="3660"/>
              <w:spacing w:after="0" w:line="202" w:lineRule="exact"/>
              <w:rPr>
                <w:sz w:val="20"/>
                <w:szCs w:val="20"/>
                <w:color w:val="auto"/>
              </w:rPr>
            </w:pPr>
            <w:r>
              <w:rPr>
                <w:rFonts w:ascii="Arial" w:cs="Arial" w:eastAsia="Arial" w:hAnsi="Arial"/>
                <w:sz w:val="18"/>
                <w:szCs w:val="18"/>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r>
      <w:tr>
        <w:trPr>
          <w:trHeight w:val="21"/>
        </w:trPr>
        <w:tc>
          <w:tcPr>
            <w:tcW w:w="366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Malaysia Sdn. Bhd.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Malaysia</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Cierres Hermeticos,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Envases Mexico,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Famosa,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Mexican Holdings, S. de R.L.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Fabricas Monterrey,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Glass &amp; Silice,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Prolatamex,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Mexico, R.L.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 Del Istmo,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Silices De Veracruz, S.A. DE C.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Vichisa,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Maroc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3"/>
              </w:rPr>
              <w:t>Morocco</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Myanmar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Myanmar</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Aerosols &amp; Promotional Packaging Nederland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Netherlands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Nederland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Interstrap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Netherlands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Netherlands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New Zealand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New Zealand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Systems NZ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New Zealand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Norway 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Norway</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Canadian Holdings ULC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0"/>
              </w:rPr>
              <w:t>Nova Scotia</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Polska Sp. z.o.o.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Poland</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Polska SP. z.o.o.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Poland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Poland sp. Z.o.o.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Poland</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 Portugal Embalagens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8"/>
              </w:rPr>
              <w:t>Portugal</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Portugal LDA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8"/>
              </w:rPr>
              <w:t>Portugal</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Kuban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4"/>
              </w:rPr>
              <w:t>Russia</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Arabia Can Company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0"/>
              </w:rPr>
              <w:t>Saudi Arabia</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Asia Pacific Holdings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Singapore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Speciality Packaging Investment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Singapore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Investments Holdings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Multi-Packaging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Slovakia s.r.o.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Slovakia</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Slovakia s.r.o.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Slovakia</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Korea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South Korea</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Espana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bl>
    <w:p>
      <w:pPr>
        <w:sectPr>
          <w:pgSz w:w="11900" w:h="16838" w:orient="portrait"/>
          <w:cols w:equalWidth="0" w:num="1">
            <w:col w:w="11060"/>
          </w:cols>
          <w:pgMar w:left="420" w:top="794" w:right="419" w:bottom="1440" w:gutter="0" w:footer="0" w:header="0"/>
        </w:sectPr>
      </w:pPr>
    </w:p>
    <w:bookmarkStart w:id="106" w:name="page107"/>
    <w:bookmarkEnd w:id="1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60" w:type="dxa"/>
            <w:vAlign w:val="bottom"/>
            <w:tcBorders>
              <w:top w:val="single" w:sz="8" w:color="auto"/>
              <w:lef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8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r>
      <w:tr>
        <w:trPr>
          <w:trHeight w:val="189"/>
        </w:trPr>
        <w:tc>
          <w:tcPr>
            <w:tcW w:w="366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r>
      <w:tr>
        <w:trPr>
          <w:trHeight w:val="203"/>
        </w:trPr>
        <w:tc>
          <w:tcPr>
            <w:tcW w:w="7900" w:type="dxa"/>
            <w:vAlign w:val="bottom"/>
            <w:tcBorders>
              <w:left w:val="single" w:sz="8" w:color="auto"/>
              <w:right w:val="single" w:sz="8" w:color="auto"/>
            </w:tcBorders>
            <w:gridSpan w:val="3"/>
          </w:tcPr>
          <w:p>
            <w:pPr>
              <w:ind w:left="3660"/>
              <w:spacing w:after="0" w:line="202" w:lineRule="exact"/>
              <w:rPr>
                <w:sz w:val="20"/>
                <w:szCs w:val="20"/>
                <w:color w:val="auto"/>
              </w:rPr>
            </w:pPr>
            <w:r>
              <w:rPr>
                <w:rFonts w:ascii="Arial" w:cs="Arial" w:eastAsia="Arial" w:hAnsi="Arial"/>
                <w:sz w:val="18"/>
                <w:szCs w:val="18"/>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r>
      <w:tr>
        <w:trPr>
          <w:trHeight w:val="21"/>
        </w:trPr>
        <w:tc>
          <w:tcPr>
            <w:tcW w:w="366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Closures Spain,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 España, S.A.U.</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Spain,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Services Iberia, S.L.U.</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Spain,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Warehouse Automation Iberia,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Angleboard Sweden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Josef Kihlberg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Sweden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Sweden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Sweden Holdings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0"/>
              </w:rPr>
              <w:t>Switzerland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Switzerland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0"/>
              </w:rPr>
              <w:t>Switzerland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Caretex Asia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AP (Thailand)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and Closures (Thailand)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(Hat Yai)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(Nakhon Pathom)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 Packaging (Thailand) Public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TCP Beverage Cans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Pet Containers (Thailand)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Systems (Thailand)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Trinidad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Trinidad</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Maghreb Can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Tunisia</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Türkiye Ambalaj Sanayi Ve Ticaret Limited Sirketi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Turkey</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Turkey Ambalaj Sanayi Ve Ticaret Limited Sirketi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Turkey</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Form Koruyucu Ambalaj Sanayi Ve Ticaret Limited Sirketi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Turkey</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Emirates Company Limited</w:t>
            </w:r>
          </w:p>
        </w:tc>
        <w:tc>
          <w:tcPr>
            <w:tcW w:w="31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1"/>
              </w:rPr>
              <w:t>United Arab Emirates</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CarnaudMetalbox Engineering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CarnaudMetalbox Group UK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CarnaudMetalbox Overseas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Aerosols UK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Commercial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Distribution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Manufacturing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Promotional Packaging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UK Holdings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UK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Danang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(Dong Nai)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Saigon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Vung Tau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r>
    </w:tbl>
    <w:p>
      <w:pPr>
        <w:sectPr>
          <w:pgSz w:w="11900" w:h="16838" w:orient="portrait"/>
          <w:cols w:equalWidth="0" w:num="1">
            <w:col w:w="11060"/>
          </w:cols>
          <w:pgMar w:left="420" w:top="794" w:right="419" w:bottom="1440" w:gutter="0" w:footer="0" w:header="0"/>
        </w:sectPr>
      </w:pPr>
    </w:p>
    <w:bookmarkStart w:id="107" w:name="page108"/>
    <w:bookmarkEnd w:id="107"/>
    <w:p>
      <w:pPr>
        <w:ind w:left="308" w:hanging="308"/>
        <w:spacing w:after="0"/>
        <w:tabs>
          <w:tab w:leader="none" w:pos="3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list includes only consolidated subsidiaries which are directly owned or indirectly owned by the Registrant.</w:t>
      </w:r>
    </w:p>
    <w:p>
      <w:pPr>
        <w:spacing w:after="0" w:line="23" w:lineRule="exact"/>
        <w:rPr>
          <w:rFonts w:ascii="Arial" w:cs="Arial" w:eastAsia="Arial" w:hAnsi="Arial"/>
          <w:sz w:val="18"/>
          <w:szCs w:val="18"/>
          <w:color w:val="auto"/>
        </w:rPr>
      </w:pPr>
    </w:p>
    <w:p>
      <w:pPr>
        <w:ind w:left="328" w:hanging="328"/>
        <w:spacing w:after="0" w:line="255" w:lineRule="auto"/>
        <w:tabs>
          <w:tab w:leader="none" w:pos="3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0868"/>
          </w:cols>
          <w:pgMar w:left="652" w:top="773" w:right="379" w:bottom="1440" w:gutter="0" w:footer="0" w:header="0"/>
        </w:sectPr>
      </w:pPr>
    </w:p>
    <w:bookmarkStart w:id="108" w:name="page109"/>
    <w:bookmarkEnd w:id="108"/>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December 31, 2020,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subsidiaries of the Company were, as of December 31, 2020, guarantors of the Company's $1,000 principal 4.5% senior notes due 2023,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23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hereby consent to the incorporation by reference in the Registration Statements on Form S-8 (Nos. 333-188568, 333-166764, 333-140992, 333-140991, and 333-230008) of Crown Holdings, Inc. of our report dated February 26, 2021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February 26, 2021</w:t>
      </w:r>
    </w:p>
    <w:p>
      <w:pPr>
        <w:sectPr>
          <w:pgSz w:w="11900" w:h="16838" w:orient="portrait"/>
          <w:cols w:equalWidth="0" w:num="1">
            <w:col w:w="11240"/>
          </w:cols>
          <w:pgMar w:left="320" w:top="1138" w:right="339" w:bottom="1440" w:gutter="0" w:footer="0" w:header="0"/>
        </w:sectPr>
      </w:pPr>
    </w:p>
    <w:bookmarkStart w:id="110" w:name="page111"/>
    <w:bookmarkEnd w:id="110"/>
    <w:p>
      <w:pPr>
        <w:ind w:left="10120"/>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34" w:lineRule="auto"/>
        <w:tabs>
          <w:tab w:leader="none" w:pos="12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63" w:lineRule="auto"/>
        <w:tabs>
          <w:tab w:leader="none" w:pos="12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20" w:hanging="644"/>
        <w:spacing w:after="0" w:line="308" w:lineRule="auto"/>
        <w:tabs>
          <w:tab w:leader="none" w:pos="1291"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26, 2021</w:t>
            </w:r>
          </w:p>
        </w:tc>
        <w:tc>
          <w:tcPr>
            <w:tcW w:w="3280" w:type="dxa"/>
            <w:vAlign w:val="bottom"/>
          </w:tcPr>
          <w:p>
            <w:pPr>
              <w:ind w:left="20"/>
              <w:spacing w:after="0"/>
              <w:rPr>
                <w:sz w:val="20"/>
                <w:szCs w:val="20"/>
                <w:color w:val="auto"/>
              </w:rPr>
            </w:pPr>
            <w:r>
              <w:rPr>
                <w:rFonts w:ascii="Arial" w:cs="Arial" w:eastAsia="Arial" w:hAnsi="Arial"/>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Timothy J. Donahue</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11" w:name="page112"/>
    <w:bookmarkEnd w:id="111"/>
    <w:p>
      <w:pPr>
        <w:ind w:left="10120"/>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34" w:lineRule="auto"/>
        <w:tabs>
          <w:tab w:leader="none" w:pos="12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63"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20" w:hanging="644"/>
        <w:spacing w:after="0" w:line="308" w:lineRule="auto"/>
        <w:tabs>
          <w:tab w:leader="none" w:pos="129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26, 2021</w:t>
            </w:r>
          </w:p>
        </w:tc>
        <w:tc>
          <w:tcPr>
            <w:tcW w:w="3280" w:type="dxa"/>
            <w:vAlign w:val="bottom"/>
          </w:tcPr>
          <w:p>
            <w:pPr>
              <w:ind w:left="20"/>
              <w:spacing w:after="0"/>
              <w:rPr>
                <w:sz w:val="20"/>
                <w:szCs w:val="20"/>
                <w:color w:val="auto"/>
              </w:rPr>
            </w:pPr>
            <w:r>
              <w:rPr>
                <w:rFonts w:ascii="Arial" w:cs="Arial" w:eastAsia="Arial" w:hAnsi="Arial"/>
                <w:sz w:val="18"/>
                <w:szCs w:val="18"/>
                <w:color w:val="auto"/>
              </w:rPr>
              <w:t>/s/ Thomas A. Kelly</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Thomas A. Kelly</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400" w:lineRule="exact"/>
        <w:rPr>
          <w:sz w:val="20"/>
          <w:szCs w:val="20"/>
          <w:color w:val="auto"/>
        </w:rPr>
      </w:pPr>
    </w:p>
    <w:p>
      <w:pPr>
        <w:ind w:firstLine="445"/>
        <w:spacing w:after="0" w:line="334" w:lineRule="auto"/>
        <w:rPr>
          <w:sz w:val="20"/>
          <w:szCs w:val="20"/>
          <w:color w:val="auto"/>
        </w:rPr>
      </w:pPr>
      <w:r>
        <w:rPr>
          <w:rFonts w:ascii="Arial" w:cs="Arial" w:eastAsia="Arial" w:hAnsi="Arial"/>
          <w:sz w:val="16"/>
          <w:szCs w:val="16"/>
          <w:color w:val="auto"/>
        </w:rPr>
        <w:t>In connection with the Annual Report of Crown Holdings, Inc. (the “Company”) on Form 10-K for the period ending December 31, 2020 (the “Report”), each of the undersigned officers certify, pursuant to 18 U.S.C. § 1350, as adopted pursuant to § 906 of the Sarbanes-Oxley Act of 2002, that:</w:t>
      </w:r>
    </w:p>
    <w:p>
      <w:pPr>
        <w:spacing w:after="0" w:line="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position and results of operations of the Company.</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26, 2021</w:t>
            </w:r>
          </w:p>
        </w:tc>
        <w:tc>
          <w:tcPr>
            <w:tcW w:w="3280" w:type="dxa"/>
            <w:vAlign w:val="bottom"/>
          </w:tcPr>
          <w:p>
            <w:pPr>
              <w:ind w:left="20"/>
              <w:spacing w:after="0"/>
              <w:rPr>
                <w:sz w:val="20"/>
                <w:szCs w:val="20"/>
                <w:color w:val="auto"/>
              </w:rPr>
            </w:pPr>
            <w:r>
              <w:rPr>
                <w:rFonts w:ascii="Arial" w:cs="Arial" w:eastAsia="Arial" w:hAnsi="Arial"/>
                <w:sz w:val="18"/>
                <w:szCs w:val="18"/>
                <w:color w:val="auto"/>
              </w:rPr>
              <w:t>/s/ Timothy J. Donahue</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Timothy J. Donahue</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26, 2021</w:t>
            </w:r>
          </w:p>
        </w:tc>
        <w:tc>
          <w:tcPr>
            <w:tcW w:w="3280" w:type="dxa"/>
            <w:vAlign w:val="bottom"/>
          </w:tcPr>
          <w:p>
            <w:pPr>
              <w:ind w:left="20"/>
              <w:spacing w:after="0"/>
              <w:rPr>
                <w:sz w:val="20"/>
                <w:szCs w:val="20"/>
                <w:color w:val="auto"/>
              </w:rPr>
            </w:pPr>
            <w:r>
              <w:rPr>
                <w:rFonts w:ascii="Arial" w:cs="Arial" w:eastAsia="Arial" w:hAnsi="Arial"/>
                <w:sz w:val="18"/>
                <w:szCs w:val="18"/>
                <w:color w:val="auto"/>
              </w:rPr>
              <w:t>/s/ Thomas A. Kelly</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Thomas A. Kelly</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5"/>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amp;"/>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upperLetter"/>
      <w:start w:val="23"/>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lowerLetter"/>
      <w:start w:val="1"/>
    </w:lvl>
    <w:lvl w:ilvl="1">
      <w:lvlJc w:val="left"/>
      <w:lvlText w:val="(%2)"/>
      <w:numFmt w:val="decimal"/>
      <w:start w:val="1"/>
    </w:lvl>
  </w:abstractNum>
  <w:abstractNum w:abstractNumId="19">
    <w:nsid w:val="189A769B"/>
    <w:multiLevelType w:val="hybridMultilevel"/>
    <w:lvl w:ilvl="0">
      <w:lvlJc w:val="left"/>
      <w:lvlText w:val="(%1)"/>
      <w:numFmt w:val="decimal"/>
      <w:start w:val="3"/>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lvl w:ilvl="1">
      <w:lvlJc w:val="left"/>
      <w:lvlText w:val="(%2)"/>
      <w:numFmt w:val="decimal"/>
      <w:start w:val="5"/>
    </w:lvl>
  </w:abstractNum>
  <w:abstractNum w:abstractNumId="23">
    <w:nsid w:val="836C40E"/>
    <w:multiLevelType w:val="hybridMultilevel"/>
    <w:lvl w:ilvl="0">
      <w:lvlJc w:val="left"/>
      <w:lvlText w:val="(%1)"/>
      <w:numFmt w:val="decimal"/>
      <w:start w:val="7"/>
    </w:lvl>
    <w:lvl w:ilvl="1">
      <w:lvlJc w:val="left"/>
      <w:lvlText w:val="(%2)"/>
      <w:numFmt w:val="decimal"/>
      <w:start w:val="8"/>
    </w:lvl>
  </w:abstractNum>
  <w:abstractNum w:abstractNumId="24">
    <w:nsid w:val="2901D82"/>
    <w:multiLevelType w:val="hybridMultilevel"/>
    <w:lvl w:ilvl="0">
      <w:lvlJc w:val="left"/>
      <w:lvlText w:val="%1"/>
      <w:numFmt w:val="decimal"/>
      <w:start w:val="21"/>
    </w:lvl>
  </w:abstractNum>
  <w:abstractNum w:abstractNumId="25">
    <w:nsid w:val="3A95F874"/>
    <w:multiLevelType w:val="hybridMultilevel"/>
    <w:lvl w:ilvl="0">
      <w:lvlJc w:val="left"/>
      <w:lvlText w:val="%1"/>
      <w:numFmt w:val="decimal"/>
      <w:start w:val="32"/>
    </w:lvl>
    <w:lvl w:ilvl="1">
      <w:lvlJc w:val="left"/>
      <w:lvlText w:val="%2"/>
      <w:numFmt w:val="upperLetter"/>
      <w:start w:val="1"/>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1"/>
      <w:numFmt w:val="decimal"/>
      <w:start w:val="104"/>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5" Type="http://schemas.openxmlformats.org/officeDocument/2006/relationships/image" Target="media/image106.png"/><Relationship Id="rId126" Type="http://schemas.openxmlformats.org/officeDocument/2006/relationships/image" Target="media/image107.png"/><Relationship Id="rId134" Type="http://schemas.openxmlformats.org/officeDocument/2006/relationships/image" Target="media/image108.png"/><Relationship Id="rId149" Type="http://schemas.openxmlformats.org/officeDocument/2006/relationships/image" Target="media/image109.png"/><Relationship Id="rId163"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13" Type="http://schemas.openxmlformats.org/officeDocument/2006/relationships/hyperlink" Target="http://www.sec.gov/Archives/edgar/data/1219601/000121960105000069/ex3a2004.htm" TargetMode="External"/><Relationship Id="rId114" Type="http://schemas.openxmlformats.org/officeDocument/2006/relationships/hyperlink" Target="https://www.sec.gov/Archives/edgar/data/1219601/000121960120000011/ex3mar2020.htm" TargetMode="External"/><Relationship Id="rId116" Type="http://schemas.openxmlformats.org/officeDocument/2006/relationships/hyperlink" Target="http://www.sec.gov/Archives/edgar/data/1219601/000095016803000549/dex45.htm" TargetMode="External"/><Relationship Id="rId117" Type="http://schemas.openxmlformats.org/officeDocument/2006/relationships/hyperlink" Target="http://www.sec.gov/Archives/edgar/data/1219601/000119312513010869/d465899dex42.htm" TargetMode="External"/><Relationship Id="rId118" Type="http://schemas.openxmlformats.org/officeDocument/2006/relationships/hyperlink" Target="http://www.sec.gov/Archives/edgar/data/1219601/000119312513016125/d468305dex41.htm" TargetMode="External"/><Relationship Id="rId119" Type="http://schemas.openxmlformats.org/officeDocument/2006/relationships/hyperlink" Target="http://www.sec.gov/Archives/edgar/data/1219601/000119312514266345/d755738dex41.htm" TargetMode="External"/><Relationship Id="rId120" Type="http://schemas.openxmlformats.org/officeDocument/2006/relationships/hyperlink" Target="http://www.sec.gov/Archives/edgar/data/1219601/000121960115000009/ex4udec2014.htm" TargetMode="External"/><Relationship Id="rId121" Type="http://schemas.openxmlformats.org/officeDocument/2006/relationships/hyperlink" Target="http://www.sec.gov/Archives/edgar/data/1219601/000119312516712850/d213162dex41.htm" TargetMode="External"/><Relationship Id="rId122" Type="http://schemas.openxmlformats.org/officeDocument/2006/relationships/hyperlink" Target="http://www.sec.gov/Archives/edgar/data/1219601/000119312516712850/d213162dex42.htm" TargetMode="External"/><Relationship Id="rId123" Type="http://schemas.openxmlformats.org/officeDocument/2006/relationships/hyperlink" Target="http://www.sec.gov/Archives/edgar/data/1219601/000121960115000034/ex10.htm" TargetMode="External"/><Relationship Id="rId124" Type="http://schemas.openxmlformats.org/officeDocument/2006/relationships/hyperlink" Target="http://www.sec.gov/Archives/edgar/data/1219601/000121960117000016/ex4march2017.htm" TargetMode="External"/><Relationship Id="rId125" Type="http://schemas.openxmlformats.org/officeDocument/2006/relationships/hyperlink" Target="http://www.sec.gov/Archives/edgar/data/1219601/000121960118000009/ex4dec2017.htm" TargetMode="External"/><Relationship Id="rId127" Type="http://schemas.openxmlformats.org/officeDocument/2006/relationships/hyperlink" Target="http://www.sec.gov/Archives/edgar/data/1219601/000121960119000005/ex4dec2018.htm" TargetMode="External"/><Relationship Id="rId128" Type="http://schemas.openxmlformats.org/officeDocument/2006/relationships/hyperlink" Target="http://www.sec.gov/Archives/edgar/data/1219601/000119312518029266/d470596dex41.htm" TargetMode="External"/><Relationship Id="rId129" Type="http://schemas.openxmlformats.org/officeDocument/2006/relationships/hyperlink" Target="http://www.sec.gov/Archives/edgar/data/1219601/000119312518029266/d470596dex42.htm" TargetMode="External"/><Relationship Id="rId130" Type="http://schemas.openxmlformats.org/officeDocument/2006/relationships/hyperlink" Target="http://www.sec.gov/Archives/edgar/data/1219601/000119312518029266/d470596dex43.htm" TargetMode="External"/><Relationship Id="rId131" Type="http://schemas.openxmlformats.org/officeDocument/2006/relationships/hyperlink" Target="http://www.sec.gov/Archives/edgar/data/1219601/000119312520053971/d896926dex41.htm" TargetMode="External"/><Relationship Id="rId132" Type="http://schemas.openxmlformats.org/officeDocument/2006/relationships/hyperlink" Target="http://www.sec.gov/Archives/edgar/data/1219601/000119312519283489/d794572dex41.htm" TargetMode="External"/><Relationship Id="rId133" Type="http://schemas.openxmlformats.org/officeDocument/2006/relationships/hyperlink" Target="https://www.sec.gov/Archives/edgar/data/1219601/000121960120000006/ex4ffdec2019.htm" TargetMode="External"/><Relationship Id="rId135" Type="http://schemas.openxmlformats.org/officeDocument/2006/relationships/hyperlink" Target="http://www.sec.gov/Archives/edgar/data/1219601/000121960116000041/ex101.htm" TargetMode="External"/><Relationship Id="rId136" Type="http://schemas.openxmlformats.org/officeDocument/2006/relationships/hyperlink" Target="http://www.sec.gov/Archives/edgar/data/1219601/000121960113000032/ex103june2013.htm" TargetMode="External"/><Relationship Id="rId137" Type="http://schemas.openxmlformats.org/officeDocument/2006/relationships/hyperlink" Target="http://www.sec.gov/Archives/edgar/data/1219601/000121960112000033/ex101a.htm" TargetMode="External"/><Relationship Id="rId138" Type="http://schemas.openxmlformats.org/officeDocument/2006/relationships/hyperlink" Target="http://www.sec.gov/Archives/edgar/data/1219601/000121960113000032/ex10june2013.htm" TargetMode="External"/><Relationship Id="rId139" Type="http://schemas.openxmlformats.org/officeDocument/2006/relationships/hyperlink" Target="http://www.sec.gov/Archives/edgar/data/1219601/000121960115000009/ex10c11dec2014.htm" TargetMode="External"/><Relationship Id="rId140" Type="http://schemas.openxmlformats.org/officeDocument/2006/relationships/hyperlink" Target="http://www.sec.gov/Archives/edgar/data/1219601/000121960116000056/ex102-1q2016.htm" TargetMode="External"/><Relationship Id="rId141" Type="http://schemas.openxmlformats.org/officeDocument/2006/relationships/hyperlink" Target="http://www.sec.gov/Archives/edgar/data/1219601/000121960117000016/ex10amarch2017.htm" TargetMode="External"/><Relationship Id="rId142" Type="http://schemas.openxmlformats.org/officeDocument/2006/relationships/hyperlink" Target="http://www.sec.gov/Archives/edgar/data/1219601/000121960109000010/exhibit10i-2008.htm" TargetMode="External"/><Relationship Id="rId143" Type="http://schemas.openxmlformats.org/officeDocument/2006/relationships/hyperlink" Target="http://www.sec.gov/Archives/edgar/data/1219601/000121960119000005/ex10bdec2018.htm" TargetMode="External"/><Relationship Id="rId144" Type="http://schemas.openxmlformats.org/officeDocument/2006/relationships/hyperlink" Target="http://www.sec.gov/Archives/edgar/data/1219601/000121960108000009/ex10l.htm" TargetMode="External"/><Relationship Id="rId145" Type="http://schemas.openxmlformats.org/officeDocument/2006/relationships/hyperlink" Target="http://www.sec.gov/Archives/edgar/data/1219601/000121960107000020/ex104emarch07.htm" TargetMode="External"/><Relationship Id="rId146" Type="http://schemas.openxmlformats.org/officeDocument/2006/relationships/hyperlink" Target="http://www.sec.gov/Archives/edgar/data/1219601/000121960112000033/ex102.htm" TargetMode="External"/><Relationship Id="rId147" Type="http://schemas.openxmlformats.org/officeDocument/2006/relationships/hyperlink" Target="http://www.sec.gov/Archives/edgar/data/1219601/000121960113000007/ex10m7dec2012.htm" TargetMode="External"/><Relationship Id="rId148" Type="http://schemas.openxmlformats.org/officeDocument/2006/relationships/hyperlink" Target="http://www.sec.gov/Archives/edgar/data/1219601/000121960113000032/ex102june2013.htm" TargetMode="External"/><Relationship Id="rId150" Type="http://schemas.openxmlformats.org/officeDocument/2006/relationships/hyperlink" Target="http://www.sec.gov/Archives/edgar/data/1219601/000121960115000009/ex10f9dec2014.htm" TargetMode="External"/><Relationship Id="rId151" Type="http://schemas.openxmlformats.org/officeDocument/2006/relationships/hyperlink" Target="http://www.sec.gov/Archives/edgar/data/1219601/000121960116000056/ex103-1q2016.htm" TargetMode="External"/><Relationship Id="rId152" Type="http://schemas.openxmlformats.org/officeDocument/2006/relationships/hyperlink" Target="http://www.sec.gov/Archives/edgar/data/1219601/000121960116000058/ex101may2016.htm" TargetMode="External"/><Relationship Id="rId153" Type="http://schemas.openxmlformats.org/officeDocument/2006/relationships/hyperlink" Target="http://www.sec.gov/Archives/edgar/data/1219601/000121960117000016/ex10bmarch2017.htm" TargetMode="External"/><Relationship Id="rId154" Type="http://schemas.openxmlformats.org/officeDocument/2006/relationships/hyperlink" Target="http://www.sec.gov/Archives/edgar/data/1219601/000121960117000016/ex10cmarch2017.htm" TargetMode="External"/><Relationship Id="rId155" Type="http://schemas.openxmlformats.org/officeDocument/2006/relationships/hyperlink" Target="https://www.sec.gov/Archives/edgar/data/1219601/000121960120000035/ex10damendment1sept2020.htm" TargetMode="External"/><Relationship Id="rId156" Type="http://schemas.openxmlformats.org/officeDocument/2006/relationships/hyperlink" Target="http://www.sec.gov/Archives/edgar/data/1219601/000121960107000007/exhibit10dd-2006.htm" TargetMode="External"/><Relationship Id="rId157" Type="http://schemas.openxmlformats.org/officeDocument/2006/relationships/hyperlink" Target="http://www.sec.gov/Archives/edgar/data/1219601/000095015904000314/crownproxy.txt" TargetMode="External"/><Relationship Id="rId158" Type="http://schemas.openxmlformats.org/officeDocument/2006/relationships/hyperlink" Target="http://www.sec.gov/Archives/edgar/data/1219601/000121960107000007/exhibit10ff-2006.htm" TargetMode="External"/><Relationship Id="rId159" Type="http://schemas.openxmlformats.org/officeDocument/2006/relationships/hyperlink" Target="http://www.sec.gov/Archives/edgar/data/1219601/000121960104000206/ex106sep04.htm" TargetMode="External"/><Relationship Id="rId160" Type="http://schemas.openxmlformats.org/officeDocument/2006/relationships/hyperlink" Target="http://www.sec.gov/Archives/edgar/data/1219601/000121960109000010/exhibit10w-2008.htm" TargetMode="External"/><Relationship Id="rId161" Type="http://schemas.openxmlformats.org/officeDocument/2006/relationships/hyperlink" Target="http://www.sec.gov/Archives/edgar/data/1219601/000121960105000075/ex10q1-2005.htm" TargetMode="External"/><Relationship Id="rId162" Type="http://schemas.openxmlformats.org/officeDocument/2006/relationships/hyperlink" Target="http://www.sec.gov/Archives/edgar/data/1219601/000095015906000473/chproxy.htm" TargetMode="External"/><Relationship Id="rId164" Type="http://schemas.openxmlformats.org/officeDocument/2006/relationships/hyperlink" Target="http://www.sec.gov/Archives/edgar/data/1219601/000121960107000007/exhibit10pp-2006.htm" TargetMode="External"/><Relationship Id="rId165" Type="http://schemas.openxmlformats.org/officeDocument/2006/relationships/hyperlink" Target="http://www.sec.gov/Archives/edgar/data/1219601/000119312510181200/dex101.htm" TargetMode="External"/><Relationship Id="rId166" Type="http://schemas.openxmlformats.org/officeDocument/2006/relationships/hyperlink" Target="http://www.sec.gov/Archives/edgar/data/1219601/000121960107000020/ex102march07.htm" TargetMode="External"/><Relationship Id="rId167" Type="http://schemas.openxmlformats.org/officeDocument/2006/relationships/hyperlink" Target="http://www.sec.gov/Archives/edgar/data/1219601/000095015913000173/crownproxy.htm" TargetMode="External"/><Relationship Id="rId168" Type="http://schemas.openxmlformats.org/officeDocument/2006/relationships/hyperlink" Target="http://www.sec.gov/Archives/edgar/data/1219601/000121960113000045/ex10sept2013.htm" TargetMode="External"/><Relationship Id="rId169" Type="http://schemas.openxmlformats.org/officeDocument/2006/relationships/hyperlink" Target="http://www.sec.gov/Archives/edgar/data/1219601/000121960113000045/ex102sept2013.htm" TargetMode="External"/><Relationship Id="rId170" Type="http://schemas.openxmlformats.org/officeDocument/2006/relationships/hyperlink" Target="http://www.sec.gov/Archives/edgar/data/1219601/000121960112000033/ex103.htm" TargetMode="External"/><Relationship Id="rId171" Type="http://schemas.openxmlformats.org/officeDocument/2006/relationships/hyperlink" Target="http://www.sec.gov/Archives/edgar/data/1219601/000121960112000033/ex104.htm" TargetMode="External"/><Relationship Id="rId172" Type="http://schemas.openxmlformats.org/officeDocument/2006/relationships/hyperlink" Target="https://www.sec.gov/Archives/edgar/data/1219601/000121960120000018/ex10uamendment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2021-02-26T13:32:18Z</dcterms:created>
  <dcterms:modified xsi:type="dcterms:W3CDTF">2021-02-26T13:32:18Z</dcterms:modified>
</cp:coreProperties>
</file>