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23, 2018</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CROWN HOLDINGS,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2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0-50189</w:t>
            </w:r>
          </w:p>
        </w:tc>
        <w:tc>
          <w:tcPr>
            <w:tcW w:w="2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75-3099507</w:t>
            </w:r>
          </w:p>
        </w:tc>
      </w:tr>
      <w:tr>
        <w:trPr>
          <w:trHeight w:val="256"/>
        </w:trPr>
        <w:tc>
          <w:tcPr>
            <w:tcW w:w="320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1"/>
              </w:rPr>
              <w:t>(Commission</w:t>
            </w: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right="89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2"/>
              </w:rPr>
              <w:t>File Number)</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Yardley, PA 19067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Arial" w:cs="Arial" w:eastAsia="Arial" w:hAnsi="Arial"/>
          <w:sz w:val="18"/>
          <w:szCs w:val="18"/>
          <w:b w:val="1"/>
          <w:bCs w:val="1"/>
          <w:color w:val="auto"/>
        </w:rPr>
        <w:t>o</w:t>
      </w:r>
    </w:p>
    <w:p>
      <w:pPr>
        <w:spacing w:after="0" w:line="3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Effective September 24, 2018, Crown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has moved its global corporate headquarters and changed its principal executive offices from One Crown Way, Philadelphia, Pennsylvania 19154 to 770 Township Line Road, Yardley, Pennsylvania 19067. The Company’s telephone is: (215) 698-5100. All future correspondence and communications from shareholders and others to the Company should be directed to this address.</w:t>
      </w:r>
    </w:p>
    <w:p>
      <w:pPr>
        <w:sectPr>
          <w:pgSz w:w="11900" w:h="16838" w:orient="portrait"/>
          <w:cols w:equalWidth="0" w:num="1">
            <w:col w:w="11100"/>
          </w:cols>
          <w:pgMar w:left="240" w:top="580" w:right="559" w:bottom="1440" w:gutter="0" w:footer="0" w:header="0"/>
        </w:sectPr>
      </w:pPr>
    </w:p>
    <w:bookmarkStart w:id="2" w:name="page3"/>
    <w:bookmarkEnd w:id="2"/>
    <w:p>
      <w:pPr>
        <w:ind w:left="512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Form 8-K to be signed on its behalf by the undersigned hereunto duly authorized.</w:t>
      </w:r>
    </w:p>
    <w:p>
      <w:pPr>
        <w:spacing w:after="0" w:line="200" w:lineRule="exact"/>
        <w:rPr>
          <w:sz w:val="20"/>
          <w:szCs w:val="20"/>
          <w:color w:val="auto"/>
        </w:rPr>
      </w:pPr>
    </w:p>
    <w:p>
      <w:pPr>
        <w:spacing w:after="0" w:line="315" w:lineRule="exact"/>
        <w:rPr>
          <w:sz w:val="20"/>
          <w:szCs w:val="20"/>
          <w:color w:val="auto"/>
        </w:rPr>
      </w:pPr>
    </w:p>
    <w:p>
      <w:pPr>
        <w:ind w:left="520"/>
        <w:spacing w:after="0"/>
        <w:tabs>
          <w:tab w:leader="none" w:pos="5720" w:val="left"/>
        </w:tabs>
        <w:rPr>
          <w:sz w:val="20"/>
          <w:szCs w:val="20"/>
          <w:color w:val="auto"/>
        </w:rPr>
      </w:pPr>
      <w:r>
        <w:rPr>
          <w:rFonts w:ascii="Arial" w:cs="Arial" w:eastAsia="Arial" w:hAnsi="Arial"/>
          <w:sz w:val="20"/>
          <w:szCs w:val="20"/>
          <w:color w:val="auto"/>
        </w:rPr>
        <w:t>Dated: September 24, 2018</w:t>
      </w:r>
      <w:r>
        <w:rPr>
          <w:sz w:val="20"/>
          <w:szCs w:val="20"/>
          <w:color w:val="auto"/>
        </w:rPr>
        <w:tab/>
      </w:r>
      <w:r>
        <w:rPr>
          <w:rFonts w:ascii="Arial" w:cs="Arial" w:eastAsia="Arial" w:hAnsi="Arial"/>
          <w:sz w:val="19"/>
          <w:szCs w:val="19"/>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David A. Beaver</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Vice President and Corporate Controller</w:t>
      </w:r>
    </w:p>
    <w:sectPr>
      <w:pgSz w:w="11900" w:h="16838" w:orient="portrait"/>
      <w:cols w:equalWidth="0" w:num="1">
        <w:col w:w="10900"/>
      </w:cols>
      <w:pgMar w:left="240" w:top="672"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2019-12-06T21:44:44Z</dcterms:created>
  <dcterms:modified xsi:type="dcterms:W3CDTF">2019-12-06T21:44:44Z</dcterms:modified>
</cp:coreProperties>
</file>