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6"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15, 2022</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CROWN HOLDINGS, INC.</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960" w:type="dxa"/>
        <w:tblCellMar>
          <w:top w:w="0" w:type="dxa"/>
          <w:left w:w="0" w:type="dxa"/>
          <w:bottom w:w="0" w:type="dxa"/>
          <w:right w:w="0" w:type="dxa"/>
        </w:tblCellMar>
      </w:tblPr>
      <w:tr>
        <w:trPr>
          <w:trHeight w:val="233"/>
        </w:trPr>
        <w:tc>
          <w:tcPr>
            <w:tcW w:w="3180" w:type="dxa"/>
            <w:vAlign w:val="bottom"/>
          </w:tcPr>
          <w:p>
            <w:pPr>
              <w:jc w:val="center"/>
              <w:ind w:right="870"/>
              <w:spacing w:after="0"/>
              <w:rPr>
                <w:sz w:val="20"/>
                <w:szCs w:val="20"/>
                <w:color w:val="auto"/>
              </w:rPr>
            </w:pPr>
            <w:r>
              <w:rPr>
                <w:rFonts w:ascii="Arial" w:cs="Arial" w:eastAsia="Arial" w:hAnsi="Arial"/>
                <w:sz w:val="18"/>
                <w:szCs w:val="18"/>
                <w:b w:val="1"/>
                <w:bCs w:val="1"/>
                <w:color w:val="auto"/>
                <w:w w:val="88"/>
              </w:rPr>
              <w:t>Pennsylvania</w:t>
            </w:r>
          </w:p>
        </w:tc>
        <w:tc>
          <w:tcPr>
            <w:tcW w:w="3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000-50189</w:t>
            </w:r>
          </w:p>
        </w:tc>
        <w:tc>
          <w:tcPr>
            <w:tcW w:w="2540" w:type="dxa"/>
            <w:vAlign w:val="bottom"/>
          </w:tcPr>
          <w:p>
            <w:pPr>
              <w:jc w:val="center"/>
              <w:ind w:left="1110"/>
              <w:spacing w:after="0"/>
              <w:rPr>
                <w:sz w:val="20"/>
                <w:szCs w:val="20"/>
                <w:color w:val="auto"/>
              </w:rPr>
            </w:pPr>
            <w:r>
              <w:rPr>
                <w:rFonts w:ascii="Arial" w:cs="Arial" w:eastAsia="Arial" w:hAnsi="Arial"/>
                <w:sz w:val="18"/>
                <w:szCs w:val="18"/>
                <w:b w:val="1"/>
                <w:bCs w:val="1"/>
                <w:color w:val="auto"/>
                <w:w w:val="89"/>
              </w:rPr>
              <w:t>75-3099507</w:t>
            </w:r>
          </w:p>
        </w:tc>
      </w:tr>
      <w:tr>
        <w:trPr>
          <w:trHeight w:val="189"/>
        </w:trPr>
        <w:tc>
          <w:tcPr>
            <w:tcW w:w="3180" w:type="dxa"/>
            <w:vAlign w:val="bottom"/>
          </w:tcPr>
          <w:p>
            <w:pPr>
              <w:jc w:val="center"/>
              <w:ind w:right="890"/>
              <w:spacing w:after="0" w:line="189" w:lineRule="exact"/>
              <w:rPr>
                <w:sz w:val="20"/>
                <w:szCs w:val="20"/>
                <w:color w:val="auto"/>
              </w:rPr>
            </w:pPr>
            <w:r>
              <w:rPr>
                <w:rFonts w:ascii="Arial" w:cs="Arial" w:eastAsia="Arial" w:hAnsi="Arial"/>
                <w:sz w:val="18"/>
                <w:szCs w:val="18"/>
                <w:color w:val="auto"/>
                <w:w w:val="92"/>
              </w:rPr>
              <w:t>(State or Other Jurisdiction of</w:t>
            </w:r>
          </w:p>
        </w:tc>
        <w:tc>
          <w:tcPr>
            <w:tcW w:w="3160" w:type="dxa"/>
            <w:vAlign w:val="bottom"/>
          </w:tcPr>
          <w:p>
            <w:pPr>
              <w:jc w:val="center"/>
              <w:ind w:right="150"/>
              <w:spacing w:after="0" w:line="189" w:lineRule="exact"/>
              <w:rPr>
                <w:sz w:val="20"/>
                <w:szCs w:val="20"/>
                <w:color w:val="auto"/>
              </w:rPr>
            </w:pPr>
            <w:r>
              <w:rPr>
                <w:rFonts w:ascii="Arial" w:cs="Arial" w:eastAsia="Arial" w:hAnsi="Arial"/>
                <w:sz w:val="18"/>
                <w:szCs w:val="18"/>
                <w:color w:val="auto"/>
                <w:w w:val="91"/>
              </w:rPr>
              <w:t>(Commission</w:t>
            </w:r>
          </w:p>
        </w:tc>
        <w:tc>
          <w:tcPr>
            <w:tcW w:w="2540" w:type="dxa"/>
            <w:vAlign w:val="bottom"/>
          </w:tcPr>
          <w:p>
            <w:pPr>
              <w:jc w:val="center"/>
              <w:ind w:left="1110"/>
              <w:spacing w:after="0" w:line="189" w:lineRule="exact"/>
              <w:rPr>
                <w:sz w:val="20"/>
                <w:szCs w:val="20"/>
                <w:color w:val="auto"/>
              </w:rPr>
            </w:pPr>
            <w:r>
              <w:rPr>
                <w:rFonts w:ascii="Arial" w:cs="Arial" w:eastAsia="Arial" w:hAnsi="Arial"/>
                <w:sz w:val="18"/>
                <w:szCs w:val="18"/>
                <w:color w:val="auto"/>
                <w:w w:val="92"/>
              </w:rPr>
              <w:t>(I.R.S. Employer</w:t>
            </w:r>
          </w:p>
        </w:tc>
      </w:tr>
      <w:tr>
        <w:trPr>
          <w:trHeight w:val="230"/>
        </w:trPr>
        <w:tc>
          <w:tcPr>
            <w:tcW w:w="3180" w:type="dxa"/>
            <w:vAlign w:val="bottom"/>
          </w:tcPr>
          <w:p>
            <w:pPr>
              <w:jc w:val="center"/>
              <w:ind w:right="890"/>
              <w:spacing w:after="0"/>
              <w:rPr>
                <w:sz w:val="20"/>
                <w:szCs w:val="20"/>
                <w:color w:val="auto"/>
              </w:rPr>
            </w:pPr>
            <w:r>
              <w:rPr>
                <w:rFonts w:ascii="Arial" w:cs="Arial" w:eastAsia="Arial" w:hAnsi="Arial"/>
                <w:sz w:val="18"/>
                <w:szCs w:val="18"/>
                <w:color w:val="auto"/>
                <w:w w:val="91"/>
              </w:rPr>
              <w:t>Incorporation or Organization)</w:t>
            </w:r>
          </w:p>
        </w:tc>
        <w:tc>
          <w:tcPr>
            <w:tcW w:w="31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2540" w:type="dxa"/>
            <w:vAlign w:val="bottom"/>
          </w:tcPr>
          <w:p>
            <w:pPr>
              <w:jc w:val="center"/>
              <w:ind w:left="1110"/>
              <w:spacing w:after="0"/>
              <w:rPr>
                <w:sz w:val="20"/>
                <w:szCs w:val="20"/>
                <w:color w:val="auto"/>
              </w:rPr>
            </w:pPr>
            <w:r>
              <w:rPr>
                <w:rFonts w:ascii="Arial" w:cs="Arial" w:eastAsia="Arial" w:hAnsi="Arial"/>
                <w:sz w:val="18"/>
                <w:szCs w:val="18"/>
                <w:color w:val="auto"/>
                <w:w w:val="95"/>
              </w:rPr>
              <w:t>Identification No.)</w:t>
            </w:r>
          </w:p>
        </w:tc>
      </w:tr>
    </w:tbl>
    <w:p>
      <w:pPr>
        <w:spacing w:after="0" w:line="2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3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Title of each class</w:t>
            </w:r>
          </w:p>
        </w:tc>
        <w:tc>
          <w:tcPr>
            <w:tcW w:w="184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Trading Symbols</w:t>
            </w:r>
          </w:p>
        </w:tc>
        <w:tc>
          <w:tcPr>
            <w:tcW w:w="55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Name of each exchange on which registered</w:t>
            </w:r>
          </w:p>
        </w:tc>
        <w:tc>
          <w:tcPr>
            <w:tcW w:w="1220" w:type="dxa"/>
            <w:vAlign w:val="bottom"/>
            <w:gridSpan w:val="2"/>
          </w:tcPr>
          <w:p>
            <w:pPr>
              <w:spacing w:after="0"/>
              <w:rPr>
                <w:sz w:val="18"/>
                <w:szCs w:val="18"/>
                <w:color w:val="auto"/>
              </w:rPr>
            </w:pPr>
          </w:p>
        </w:tc>
      </w:tr>
      <w:tr>
        <w:trPr>
          <w:trHeight w:val="206"/>
        </w:trPr>
        <w:tc>
          <w:tcPr>
            <w:tcW w:w="2600" w:type="dxa"/>
            <w:vAlign w:val="bottom"/>
          </w:tcPr>
          <w:p>
            <w:pPr>
              <w:ind w:left="20"/>
              <w:spacing w:after="0"/>
              <w:rPr>
                <w:sz w:val="20"/>
                <w:szCs w:val="20"/>
                <w:color w:val="auto"/>
              </w:rPr>
            </w:pPr>
            <w:r>
              <w:rPr>
                <w:rFonts w:ascii="Arial" w:cs="Arial" w:eastAsia="Arial" w:hAnsi="Arial"/>
                <w:sz w:val="16"/>
                <w:szCs w:val="16"/>
                <w:color w:val="auto"/>
              </w:rPr>
              <w:t>Common Stock $5.00 Par Value</w:t>
            </w:r>
          </w:p>
        </w:tc>
        <w:tc>
          <w:tcPr>
            <w:tcW w:w="1840" w:type="dxa"/>
            <w:vAlign w:val="bottom"/>
          </w:tcPr>
          <w:p>
            <w:pPr>
              <w:ind w:left="500"/>
              <w:spacing w:after="0"/>
              <w:rPr>
                <w:sz w:val="20"/>
                <w:szCs w:val="20"/>
                <w:color w:val="auto"/>
              </w:rPr>
            </w:pPr>
            <w:r>
              <w:rPr>
                <w:rFonts w:ascii="Arial" w:cs="Arial" w:eastAsia="Arial" w:hAnsi="Arial"/>
                <w:sz w:val="16"/>
                <w:szCs w:val="16"/>
                <w:color w:val="auto"/>
              </w:rPr>
              <w:t>CCK</w:t>
            </w:r>
          </w:p>
        </w:tc>
        <w:tc>
          <w:tcPr>
            <w:tcW w:w="6800" w:type="dxa"/>
            <w:vAlign w:val="bottom"/>
            <w:gridSpan w:val="3"/>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600" w:type="dxa"/>
            <w:vAlign w:val="bottom"/>
          </w:tcPr>
          <w:p>
            <w:pPr>
              <w:ind w:left="20"/>
              <w:spacing w:after="0"/>
              <w:rPr>
                <w:sz w:val="20"/>
                <w:szCs w:val="20"/>
                <w:color w:val="auto"/>
              </w:rPr>
            </w:pPr>
            <w:r>
              <w:rPr>
                <w:rFonts w:ascii="Arial" w:cs="Arial" w:eastAsia="Arial" w:hAnsi="Arial"/>
                <w:sz w:val="16"/>
                <w:szCs w:val="16"/>
                <w:color w:val="auto"/>
              </w:rPr>
              <w:t>7 3/8% Debentures Due 2026</w:t>
            </w:r>
          </w:p>
        </w:tc>
        <w:tc>
          <w:tcPr>
            <w:tcW w:w="1840" w:type="dxa"/>
            <w:vAlign w:val="bottom"/>
          </w:tcPr>
          <w:p>
            <w:pPr>
              <w:ind w:left="500"/>
              <w:spacing w:after="0"/>
              <w:rPr>
                <w:sz w:val="20"/>
                <w:szCs w:val="20"/>
                <w:color w:val="auto"/>
              </w:rPr>
            </w:pPr>
            <w:r>
              <w:rPr>
                <w:rFonts w:ascii="Arial" w:cs="Arial" w:eastAsia="Arial" w:hAnsi="Arial"/>
                <w:sz w:val="16"/>
                <w:szCs w:val="16"/>
                <w:color w:val="auto"/>
              </w:rPr>
              <w:t>CCK26</w:t>
            </w:r>
          </w:p>
        </w:tc>
        <w:tc>
          <w:tcPr>
            <w:tcW w:w="6800" w:type="dxa"/>
            <w:vAlign w:val="bottom"/>
            <w:gridSpan w:val="3"/>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600" w:type="dxa"/>
            <w:vAlign w:val="bottom"/>
          </w:tcPr>
          <w:p>
            <w:pPr>
              <w:ind w:left="20"/>
              <w:spacing w:after="0"/>
              <w:rPr>
                <w:sz w:val="20"/>
                <w:szCs w:val="20"/>
                <w:color w:val="auto"/>
              </w:rPr>
            </w:pPr>
            <w:r>
              <w:rPr>
                <w:rFonts w:ascii="Arial" w:cs="Arial" w:eastAsia="Arial" w:hAnsi="Arial"/>
                <w:sz w:val="16"/>
                <w:szCs w:val="16"/>
                <w:color w:val="auto"/>
              </w:rPr>
              <w:t>7 1/2% Debentures Due 2096</w:t>
            </w:r>
          </w:p>
        </w:tc>
        <w:tc>
          <w:tcPr>
            <w:tcW w:w="1840" w:type="dxa"/>
            <w:vAlign w:val="bottom"/>
          </w:tcPr>
          <w:p>
            <w:pPr>
              <w:ind w:left="500"/>
              <w:spacing w:after="0"/>
              <w:rPr>
                <w:sz w:val="20"/>
                <w:szCs w:val="20"/>
                <w:color w:val="auto"/>
              </w:rPr>
            </w:pPr>
            <w:r>
              <w:rPr>
                <w:rFonts w:ascii="Arial" w:cs="Arial" w:eastAsia="Arial" w:hAnsi="Arial"/>
                <w:sz w:val="16"/>
                <w:szCs w:val="16"/>
                <w:color w:val="auto"/>
              </w:rPr>
              <w:t>CCK96</w:t>
            </w:r>
          </w:p>
        </w:tc>
        <w:tc>
          <w:tcPr>
            <w:tcW w:w="6800" w:type="dxa"/>
            <w:vAlign w:val="bottom"/>
            <w:gridSpan w:val="3"/>
          </w:tcPr>
          <w:p>
            <w:pPr>
              <w:ind w:left="200"/>
              <w:spacing w:after="0"/>
              <w:rPr>
                <w:sz w:val="20"/>
                <w:szCs w:val="20"/>
                <w:color w:val="auto"/>
              </w:rPr>
            </w:pPr>
            <w:r>
              <w:rPr>
                <w:rFonts w:ascii="Arial" w:cs="Arial" w:eastAsia="Arial" w:hAnsi="Arial"/>
                <w:sz w:val="16"/>
                <w:szCs w:val="16"/>
                <w:color w:val="auto"/>
              </w:rPr>
              <w:t>New York Stock Exchange</w:t>
            </w:r>
          </w:p>
        </w:tc>
      </w:tr>
      <w:tr>
        <w:trPr>
          <w:trHeight w:val="202"/>
        </w:trPr>
        <w:tc>
          <w:tcPr>
            <w:tcW w:w="26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55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60" w:type="dxa"/>
            <w:vAlign w:val="bottom"/>
          </w:tcPr>
          <w:p>
            <w:pPr>
              <w:spacing w:after="0"/>
              <w:rPr>
                <w:sz w:val="17"/>
                <w:szCs w:val="17"/>
                <w:color w:val="auto"/>
              </w:rPr>
            </w:pPr>
          </w:p>
        </w:tc>
      </w:tr>
      <w:tr>
        <w:trPr>
          <w:trHeight w:val="979"/>
        </w:trPr>
        <w:tc>
          <w:tcPr>
            <w:tcW w:w="26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798"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under Item 8.01 of this Current Report on Form 8-K is incorporated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32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November 15, 2022, the Board of Directors of Crown Holdings, Inc., a Pennsylvania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approved the extension of the deadline for shareholders to nominate directors and to propose other business to be considered at the Company’s 2023 Annual Meeting of Shareholders (the “</w:t>
      </w:r>
      <w:r>
        <w:rPr>
          <w:rFonts w:ascii="Arial" w:cs="Arial" w:eastAsia="Arial" w:hAnsi="Arial"/>
          <w:sz w:val="16"/>
          <w:szCs w:val="16"/>
          <w:u w:val="single" w:color="auto"/>
          <w:color w:val="auto"/>
        </w:rPr>
        <w:t>2023 Annual Meeting</w:t>
      </w:r>
      <w:r>
        <w:rPr>
          <w:rFonts w:ascii="Arial" w:cs="Arial" w:eastAsia="Arial" w:hAnsi="Arial"/>
          <w:sz w:val="16"/>
          <w:szCs w:val="16"/>
          <w:color w:val="auto"/>
        </w:rPr>
        <w:t>”) from November 21, 2022 to December 12, 2022. Director nominations or proposals of other business received by the Company on or prior to December 12, 2022, and otherwise complying with the Company’s Amended and Restated By-laws, will be considered timely.</w:t>
      </w:r>
    </w:p>
    <w:p>
      <w:pPr>
        <w:spacing w:after="0" w:line="182" w:lineRule="exact"/>
        <w:rPr>
          <w:sz w:val="20"/>
          <w:szCs w:val="20"/>
          <w:color w:val="auto"/>
        </w:rPr>
      </w:pPr>
    </w:p>
    <w:p>
      <w:pPr>
        <w:jc w:val="both"/>
        <w:ind w:right="320"/>
        <w:spacing w:after="0" w:line="248" w:lineRule="auto"/>
        <w:rPr>
          <w:sz w:val="20"/>
          <w:szCs w:val="20"/>
          <w:color w:val="auto"/>
        </w:rPr>
      </w:pPr>
      <w:r>
        <w:rPr>
          <w:rFonts w:ascii="Arial" w:cs="Arial" w:eastAsia="Arial" w:hAnsi="Arial"/>
          <w:sz w:val="18"/>
          <w:szCs w:val="18"/>
          <w:color w:val="auto"/>
        </w:rPr>
        <w:t>This extension of the deadline for advance notice of director nominations and other business (a) is applicable only for the 2023 Annual Meeting and (b) does not modify or extend the deadline for shareholder proposals intended to be presented at the 2023 Annual Meeting and included in the Company’s proxy materials pursuant to Rule 14a-8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8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3089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Christy L. Kalaus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15, 2022</w:t>
      </w:r>
    </w:p>
    <w:sectPr>
      <w:pgSz w:w="11900" w:h="16838" w:orient="portrait"/>
      <w:cols w:equalWidth="0" w:num="1">
        <w:col w:w="11020"/>
      </w:cols>
      <w:pgMar w:left="320" w:top="130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2022-11-16T05:11:03Z</dcterms:created>
  <dcterms:modified xsi:type="dcterms:W3CDTF">2022-11-16T05:11:03Z</dcterms:modified>
</cp:coreProperties>
</file>