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10-Q/A</w:t>
      </w:r>
    </w:p>
    <w:p>
      <w:pPr>
        <w:spacing w:after="0" w:line="173" w:lineRule="exact"/>
        <w:rPr>
          <w:sz w:val="24"/>
          <w:szCs w:val="24"/>
          <w:color w:val="auto"/>
        </w:rPr>
      </w:pPr>
    </w:p>
    <w:p>
      <w:pPr>
        <w:ind w:left="500" w:right="420" w:hanging="465"/>
        <w:spacing w:after="0" w:line="262" w:lineRule="auto"/>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31, 2019</w:t>
      </w:r>
    </w:p>
    <w:p>
      <w:pPr>
        <w:spacing w:after="0" w:line="341" w:lineRule="exact"/>
        <w:rPr>
          <w:sz w:val="24"/>
          <w:szCs w:val="24"/>
          <w:color w:val="auto"/>
        </w:rPr>
      </w:pPr>
    </w:p>
    <w:p>
      <w:pPr>
        <w:ind w:left="500" w:right="420" w:hanging="465"/>
        <w:spacing w:after="0" w:line="251" w:lineRule="auto"/>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ind w:left="300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 TO ____</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000-50189</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CROWN HOLDINGS,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2260" w:type="dxa"/>
            <w:vAlign w:val="bottom"/>
          </w:tcPr>
          <w:p>
            <w:pPr>
              <w:jc w:val="center"/>
              <w:ind w:right="1039"/>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5520" w:type="dxa"/>
            <w:vAlign w:val="bottom"/>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75-3099507</w:t>
            </w:r>
          </w:p>
        </w:tc>
      </w:tr>
      <w:tr>
        <w:trPr>
          <w:trHeight w:val="178"/>
        </w:trPr>
        <w:tc>
          <w:tcPr>
            <w:tcW w:w="4420" w:type="dxa"/>
            <w:vAlign w:val="bottom"/>
            <w:gridSpan w:val="2"/>
          </w:tcPr>
          <w:p>
            <w:pPr>
              <w:jc w:val="center"/>
              <w:ind w:left="941"/>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520" w:type="dxa"/>
            <w:vAlign w:val="bottom"/>
          </w:tcPr>
          <w:p>
            <w:pPr>
              <w:jc w:val="center"/>
              <w:ind w:left="276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420" w:type="dxa"/>
            <w:vAlign w:val="bottom"/>
            <w:gridSpan w:val="2"/>
          </w:tcPr>
          <w:p>
            <w:pPr>
              <w:jc w:val="center"/>
              <w:ind w:left="94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520" w:type="dxa"/>
            <w:vAlign w:val="bottom"/>
          </w:tcPr>
          <w:p>
            <w:pPr>
              <w:jc w:val="center"/>
              <w:ind w:left="274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77"/>
        </w:trPr>
        <w:tc>
          <w:tcPr>
            <w:tcW w:w="4420" w:type="dxa"/>
            <w:vAlign w:val="bottom"/>
            <w:gridSpan w:val="2"/>
          </w:tcPr>
          <w:p>
            <w:pPr>
              <w:jc w:val="center"/>
              <w:ind w:left="941"/>
              <w:spacing w:after="0"/>
              <w:rPr>
                <w:sz w:val="20"/>
                <w:szCs w:val="20"/>
                <w:color w:val="auto"/>
              </w:rPr>
            </w:pPr>
            <w:r>
              <w:rPr>
                <w:rFonts w:ascii="Times New Roman" w:cs="Times New Roman" w:eastAsia="Times New Roman" w:hAnsi="Times New Roman"/>
                <w:sz w:val="18"/>
                <w:szCs w:val="18"/>
                <w:b w:val="1"/>
                <w:bCs w:val="1"/>
                <w:color w:val="auto"/>
                <w:w w:val="98"/>
              </w:rPr>
              <w:t>770 Township Line Road, Yardley, PA</w:t>
            </w:r>
          </w:p>
        </w:tc>
        <w:tc>
          <w:tcPr>
            <w:tcW w:w="5520" w:type="dxa"/>
            <w:vAlign w:val="bottom"/>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19067</w:t>
            </w:r>
          </w:p>
        </w:tc>
      </w:tr>
      <w:tr>
        <w:trPr>
          <w:trHeight w:val="220"/>
        </w:trPr>
        <w:tc>
          <w:tcPr>
            <w:tcW w:w="4420" w:type="dxa"/>
            <w:vAlign w:val="bottom"/>
            <w:gridSpan w:val="2"/>
          </w:tcPr>
          <w:p>
            <w:pPr>
              <w:jc w:val="center"/>
              <w:ind w:left="96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520" w:type="dxa"/>
            <w:vAlign w:val="bottom"/>
          </w:tcPr>
          <w:p>
            <w:pPr>
              <w:jc w:val="center"/>
              <w:ind w:left="274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3"/>
        </w:trPr>
        <w:tc>
          <w:tcPr>
            <w:tcW w:w="2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520" w:type="dxa"/>
            <w:vAlign w:val="bottom"/>
          </w:tcPr>
          <w:p>
            <w:pPr>
              <w:jc w:val="right"/>
              <w:ind w:right="3640"/>
              <w:spacing w:after="0"/>
              <w:rPr>
                <w:sz w:val="20"/>
                <w:szCs w:val="20"/>
                <w:color w:val="auto"/>
              </w:rPr>
            </w:pPr>
            <w:r>
              <w:rPr>
                <w:rFonts w:ascii="Times New Roman" w:cs="Times New Roman" w:eastAsia="Times New Roman" w:hAnsi="Times New Roman"/>
                <w:sz w:val="18"/>
                <w:szCs w:val="18"/>
                <w:b w:val="1"/>
                <w:bCs w:val="1"/>
                <w:color w:val="auto"/>
              </w:rPr>
              <w:t>215-698-5100</w:t>
            </w:r>
          </w:p>
        </w:tc>
      </w:tr>
      <w:tr>
        <w:trPr>
          <w:trHeight w:val="164"/>
        </w:trPr>
        <w:tc>
          <w:tcPr>
            <w:tcW w:w="2160" w:type="dxa"/>
            <w:vAlign w:val="bottom"/>
          </w:tcPr>
          <w:p>
            <w:pPr>
              <w:spacing w:after="0"/>
              <w:rPr>
                <w:sz w:val="14"/>
                <w:szCs w:val="14"/>
                <w:color w:val="auto"/>
              </w:rPr>
            </w:pPr>
          </w:p>
        </w:tc>
        <w:tc>
          <w:tcPr>
            <w:tcW w:w="778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188"/>
        </w:trPr>
        <w:tc>
          <w:tcPr>
            <w:tcW w:w="21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520" w:type="dxa"/>
            <w:vAlign w:val="bottom"/>
          </w:tcPr>
          <w:p>
            <w:pPr>
              <w:jc w:val="right"/>
              <w:ind w:right="3420"/>
              <w:spacing w:after="0"/>
              <w:rPr>
                <w:sz w:val="20"/>
                <w:szCs w:val="20"/>
                <w:color w:val="auto"/>
              </w:rPr>
            </w:pPr>
            <w:r>
              <w:rPr>
                <w:rFonts w:ascii="Times New Roman" w:cs="Times New Roman" w:eastAsia="Times New Roman" w:hAnsi="Times New Roman"/>
                <w:sz w:val="14"/>
                <w:szCs w:val="14"/>
                <w:color w:val="auto"/>
              </w:rPr>
              <w:t>____________________</w:t>
            </w:r>
          </w:p>
        </w:tc>
      </w:tr>
      <w:tr>
        <w:trPr>
          <w:trHeight w:val="274"/>
        </w:trPr>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51"/>
        </w:trPr>
        <w:tc>
          <w:tcPr>
            <w:tcW w:w="2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Title of each class</w:t>
            </w:r>
          </w:p>
        </w:tc>
        <w:tc>
          <w:tcPr>
            <w:tcW w:w="22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Trading Symbols</w:t>
            </w:r>
          </w:p>
        </w:tc>
        <w:tc>
          <w:tcPr>
            <w:tcW w:w="5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21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17"/>
        </w:trPr>
        <w:tc>
          <w:tcPr>
            <w:tcW w:w="2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22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CCK</w:t>
            </w:r>
          </w:p>
        </w:tc>
        <w:tc>
          <w:tcPr>
            <w:tcW w:w="5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303"/>
        </w:trPr>
        <w:tc>
          <w:tcPr>
            <w:tcW w:w="2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7 </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/8% Debentures Due 2026</w:t>
            </w:r>
          </w:p>
        </w:tc>
        <w:tc>
          <w:tcPr>
            <w:tcW w:w="22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CCK26</w:t>
            </w:r>
          </w:p>
        </w:tc>
        <w:tc>
          <w:tcPr>
            <w:tcW w:w="5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85"/>
        </w:trPr>
        <w:tc>
          <w:tcPr>
            <w:tcW w:w="2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7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/2% Debentures Due 2096</w:t>
            </w:r>
          </w:p>
        </w:tc>
        <w:tc>
          <w:tcPr>
            <w:tcW w:w="22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CCK96</w:t>
            </w:r>
          </w:p>
        </w:tc>
        <w:tc>
          <w:tcPr>
            <w:tcW w:w="5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82" w:lineRule="exact"/>
        <w:rPr>
          <w:sz w:val="24"/>
          <w:szCs w:val="24"/>
          <w:color w:val="auto"/>
        </w:rPr>
      </w:pPr>
    </w:p>
    <w:p>
      <w:pPr>
        <w:jc w:val="both"/>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289"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and posted pursuant to Rule 405 of Regulation S-T (§ 232.405 of this chapter) during the preceding 12 months (or such shorter period that the registrant was required to submit such files). Yes x No </w:t>
      </w:r>
      <w:r>
        <w:rPr>
          <w:rFonts w:ascii="MS PGothic" w:cs="MS PGothic" w:eastAsia="MS PGothic" w:hAnsi="MS PGothic"/>
          <w:sz w:val="16"/>
          <w:szCs w:val="16"/>
          <w:color w:val="auto"/>
        </w:rPr>
        <w:t>☐</w:t>
      </w:r>
    </w:p>
    <w:p>
      <w:pPr>
        <w:spacing w:after="0" w:line="123"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0" w:right="239" w:bottom="1440" w:gutter="0" w:footer="0" w:header="0"/>
        </w:sectPr>
      </w:pPr>
    </w:p>
    <w:p>
      <w:pPr>
        <w:spacing w:after="0" w:line="1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7" w:lineRule="exact"/>
        <w:rPr>
          <w:sz w:val="24"/>
          <w:szCs w:val="24"/>
          <w:color w:val="auto"/>
        </w:rPr>
      </w:pPr>
    </w:p>
    <w:p>
      <w:pPr>
        <w:sectPr>
          <w:pgSz w:w="11900" w:h="16838" w:orient="portrait"/>
          <w:cols w:equalWidth="0" w:num="4">
            <w:col w:w="1480" w:space="700"/>
            <w:col w:w="4820" w:space="720"/>
            <w:col w:w="2540" w:space="720"/>
            <w:col w:w="440"/>
          </w:cols>
          <w:pgMar w:left="240" w:top="230" w:right="239" w:bottom="144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93" w:lineRule="exact"/>
        <w:rPr>
          <w:sz w:val="24"/>
          <w:szCs w:val="24"/>
          <w:color w:val="auto"/>
        </w:rPr>
      </w:pPr>
    </w:p>
    <w:p>
      <w:pPr>
        <w:sectPr>
          <w:pgSz w:w="11900" w:h="16838" w:orient="portrait"/>
          <w:cols w:equalWidth="0" w:num="4">
            <w:col w:w="1460" w:space="720"/>
            <w:col w:w="4820" w:space="720"/>
            <w:col w:w="2540" w:space="720"/>
            <w:col w:w="440"/>
          </w:cols>
          <w:pgMar w:left="240" w:top="230" w:right="239" w:bottom="144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100" w:val="left"/>
          <w:tab w:leader="none" w:pos="77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No x</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were 135,338,696 shares of Common Stock outstanding as of April 26, 2019.</w:t>
      </w:r>
    </w:p>
    <w:p>
      <w:pPr>
        <w:sectPr>
          <w:pgSz w:w="11900" w:h="16838" w:orient="portrait"/>
          <w:cols w:equalWidth="0" w:num="1">
            <w:col w:w="11420"/>
          </w:cols>
          <w:pgMar w:left="240" w:top="230" w:right="239" w:bottom="1440" w:gutter="0" w:footer="0" w:header="0"/>
          <w:type w:val="continuous"/>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Amendment No. 1 on Form 10-Q/A (this “Form 10-Q/A”) amends our Quarterly Report for the period ended March 31, 2019 originally filed with the Securities and Exchange Commission (“SEC”) on April 29, 2019 (the “Form 10-Q”). When filed, Exhibit 32 to the Form 10-Q reflected a clerical error identifying an incorrect periodic report. We are filing this Form 10-Q/A to re-file Exhibit 32 to reference the proper periodic report.</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32, “Certification Pursuant to 18 U.S.C Section 1350 as adopted pursuant to Section 906 of the Sarbanes-Oxley Act of 2002," is being filed with this Amendment No.1. No other information contained in the original filing is amended by this Form 10-Q/A.</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91" w:lineRule="exact"/>
        <w:rPr>
          <w:sz w:val="20"/>
          <w:szCs w:val="20"/>
          <w:color w:val="auto"/>
        </w:rPr>
      </w:pPr>
    </w:p>
    <w:p>
      <w:pPr>
        <w:jc w:val="both"/>
        <w:ind w:left="1020" w:right="100" w:hanging="782"/>
        <w:spacing w:after="0" w:line="282" w:lineRule="auto"/>
        <w:tabs>
          <w:tab w:leader="none" w:pos="10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Chief Executive Officer pursuant to Rule 13a-14(a) or 15d-14(a) of the Securities Exchange Act of 1934, as adopted pursuant to Section 302 of the Sarbanes-Oxley Act of 2002.</w:t>
      </w:r>
    </w:p>
    <w:p>
      <w:pPr>
        <w:spacing w:after="0" w:line="270" w:lineRule="exact"/>
        <w:rPr>
          <w:sz w:val="20"/>
          <w:szCs w:val="20"/>
          <w:color w:val="auto"/>
        </w:rPr>
      </w:pPr>
    </w:p>
    <w:p>
      <w:pPr>
        <w:jc w:val="both"/>
        <w:ind w:left="1020" w:right="120" w:hanging="782"/>
        <w:spacing w:after="0" w:line="282" w:lineRule="auto"/>
        <w:tabs>
          <w:tab w:leader="none" w:pos="10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Certification of Chief Financial Officer pursuant to Rule 13a-14(a) or 15d-14(a) of the Securities Exchange Act of 1934, as adopted pursuant to Section 302 of the Sarbanes-Oxley Act of 2002.</w:t>
      </w:r>
    </w:p>
    <w:p>
      <w:pPr>
        <w:spacing w:after="0" w:line="270" w:lineRule="exact"/>
        <w:rPr>
          <w:sz w:val="20"/>
          <w:szCs w:val="20"/>
          <w:color w:val="auto"/>
        </w:rPr>
      </w:pPr>
    </w:p>
    <w:p>
      <w:pPr>
        <w:jc w:val="both"/>
        <w:ind w:left="1020" w:right="100" w:hanging="779"/>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w:anchor="page4">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executed by</w:t>
        </w:r>
      </w:hyperlink>
      <w:r>
        <w:rPr>
          <w:rFonts w:ascii="Times New Roman" w:cs="Times New Roman" w:eastAsia="Times New Roman" w:hAnsi="Times New Roman"/>
          <w:sz w:val="18"/>
          <w:szCs w:val="18"/>
          <w:u w:val="single" w:color="auto"/>
          <w:color w:val="0000FF"/>
        </w:rPr>
        <w:t xml:space="preserve"> </w:t>
      </w:r>
      <w:hyperlink w:anchor="page4">
        <w:r>
          <w:rPr>
            <w:rFonts w:ascii="Times New Roman" w:cs="Times New Roman" w:eastAsia="Times New Roman" w:hAnsi="Times New Roman"/>
            <w:sz w:val="18"/>
            <w:szCs w:val="18"/>
            <w:u w:val="single" w:color="auto"/>
            <w:color w:val="0000FF"/>
          </w:rPr>
          <w:t>Timothy J. Donahue, President and Chief Executive Officer of Crown Holdings, Inc. and Thomas A. Kelly, Senior Vice President and Chief</w:t>
        </w:r>
      </w:hyperlink>
      <w:r>
        <w:rPr>
          <w:rFonts w:ascii="Times New Roman" w:cs="Times New Roman" w:eastAsia="Times New Roman" w:hAnsi="Times New Roman"/>
          <w:sz w:val="18"/>
          <w:szCs w:val="18"/>
          <w:u w:val="single" w:color="auto"/>
          <w:color w:val="0000FF"/>
        </w:rPr>
        <w:t xml:space="preserve"> </w:t>
      </w:r>
      <w:hyperlink w:anchor="page4">
        <w:r>
          <w:rPr>
            <w:rFonts w:ascii="Times New Roman" w:cs="Times New Roman" w:eastAsia="Times New Roman" w:hAnsi="Times New Roman"/>
            <w:sz w:val="18"/>
            <w:szCs w:val="18"/>
            <w:u w:val="single" w:color="auto"/>
            <w:color w:val="0000FF"/>
          </w:rPr>
          <w:t>Financial Officer of Crown Holdings, Inc.</w:t>
        </w:r>
      </w:hyperlink>
    </w:p>
    <w:p>
      <w:pPr>
        <w:spacing w:after="0" w:line="284" w:lineRule="exact"/>
        <w:rPr>
          <w:rFonts w:ascii="Times New Roman" w:cs="Times New Roman" w:eastAsia="Times New Roman" w:hAnsi="Times New Roman"/>
          <w:sz w:val="18"/>
          <w:szCs w:val="18"/>
          <w:u w:val="single" w:color="auto"/>
          <w:color w:val="0000FF"/>
        </w:rPr>
      </w:pPr>
    </w:p>
    <w:p>
      <w:pPr>
        <w:jc w:val="both"/>
        <w:ind w:left="1020" w:right="100" w:hanging="779"/>
        <w:spacing w:after="0" w:line="256" w:lineRule="auto"/>
        <w:tabs>
          <w:tab w:leader="none" w:pos="10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financial information from the Registrant's Quarterly Report on Form 10-Q for the quarter ended March 31, 2019 formatted in XBRL (eXtensible Business Reporting Language): (i) Consolidated Statements of Operations for the three months ended March 31, 2019 and 2018, (ii) Consolidated Statements of Comprehensive Income for the three months ended March 31, 2019 and 2018, (iii) Consolidated Balance Sheets as of March 31, 2019 and December 31, 2018, (iv) Consolidated Statements of Cash Flows for the three months ended March 31, 2019 and 2018, (v) Consolidated Statements of Changes in Equity for the three months ended March 31, 2019 and 2018 and (vi) Notes to Consolidated Financial Statements.</w:t>
      </w:r>
    </w:p>
    <w:p>
      <w:pPr>
        <w:spacing w:after="0" w:line="219" w:lineRule="exact"/>
        <w:rPr>
          <w:rFonts w:ascii="Times New Roman" w:cs="Times New Roman" w:eastAsia="Times New Roman" w:hAnsi="Times New Roman"/>
          <w:sz w:val="18"/>
          <w:szCs w:val="18"/>
          <w:u w:val="single" w:color="auto"/>
          <w:color w:val="0000FF"/>
        </w:rPr>
      </w:pPr>
    </w:p>
    <w:p>
      <w:pPr>
        <w:ind w:right="1280" w:firstLine="8"/>
        <w:spacing w:after="0" w:line="281" w:lineRule="auto"/>
        <w:tabs>
          <w:tab w:leader="none" w:pos="12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included with the Form 10-Q for the period ended March 31, 2019, as filed with the Securities and Exchange Commission on April 29, 2019. ** Furnished with this Form 10-Q/A.</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7" w:lineRule="exact"/>
        <w:rPr>
          <w:rFonts w:ascii="Times New Roman" w:cs="Times New Roman" w:eastAsia="Times New Roman" w:hAnsi="Times New Roman"/>
          <w:sz w:val="18"/>
          <w:szCs w:val="18"/>
          <w:u w:val="single" w:color="auto"/>
          <w:color w:val="0000FF"/>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00"/>
          </w:cols>
          <w:pgMar w:left="240" w:top="117" w:right="359" w:bottom="1440" w:gutter="0" w:footer="0" w:header="0"/>
        </w:sectPr>
      </w:pPr>
    </w:p>
    <w:bookmarkStart w:id="2" w:name="page3"/>
    <w:bookmarkEnd w:id="2"/>
    <w:p>
      <w:pPr>
        <w:ind w:left="42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u w:val="single" w:color="auto"/>
          <w:color w:val="auto"/>
        </w:rPr>
        <w:t>Crown Holdings, Inc.</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Registrant</w:t>
      </w:r>
    </w:p>
    <w:p>
      <w:pPr>
        <w:spacing w:after="0" w:line="369" w:lineRule="exact"/>
        <w:rPr>
          <w:sz w:val="20"/>
          <w:szCs w:val="20"/>
          <w:color w:val="auto"/>
        </w:rPr>
      </w:pPr>
    </w:p>
    <w:p>
      <w:pPr>
        <w:ind w:left="5920"/>
        <w:spacing w:after="0"/>
        <w:tabs>
          <w:tab w:leader="none" w:pos="6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4079875</wp:posOffset>
            </wp:positionH>
            <wp:positionV relativeFrom="paragraph">
              <wp:posOffset>34290</wp:posOffset>
            </wp:positionV>
            <wp:extent cx="27527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David A. Beaver</w:t>
      </w:r>
    </w:p>
    <w:p>
      <w:pPr>
        <w:spacing w:after="0" w:line="6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Vice President and Corporate Controller</w:t>
      </w:r>
    </w:p>
    <w:p>
      <w:pPr>
        <w:spacing w:after="0" w:line="6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2019</w:t>
      </w:r>
    </w:p>
    <w:p>
      <w:pPr>
        <w:spacing w:after="0" w:line="200" w:lineRule="exact"/>
        <w:rPr>
          <w:sz w:val="20"/>
          <w:szCs w:val="20"/>
          <w:color w:val="auto"/>
        </w:rPr>
      </w:pPr>
    </w:p>
    <w:p>
      <w:pPr>
        <w:spacing w:after="0" w:line="26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60"/>
          </w:cols>
          <w:pgMar w:left="900" w:top="11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line="268"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March 31, 2019 (the “Report”), each of the undersigned officers certify, pursuant to 18 U.S.C. § 1350, as adopted pursuant to § 906 of the Sarbanes-Oxley Act of 2002, that:</w:t>
      </w:r>
    </w:p>
    <w:p>
      <w:pPr>
        <w:spacing w:after="0" w:line="198" w:lineRule="exact"/>
        <w:rPr>
          <w:sz w:val="20"/>
          <w:szCs w:val="20"/>
          <w:color w:val="auto"/>
        </w:rPr>
      </w:pPr>
    </w:p>
    <w:p>
      <w:pPr>
        <w:ind w:left="520" w:hanging="512"/>
        <w:spacing w:after="0"/>
        <w:tabs>
          <w:tab w:leader="none" w:pos="520"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Report fully complies with the requirements of Section 13(a) or 15(d) of the Securities Exchange Act of 1934;</w:t>
      </w:r>
    </w:p>
    <w:p>
      <w:pPr>
        <w:spacing w:after="0" w:line="4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and</w:t>
      </w:r>
    </w:p>
    <w:p>
      <w:pPr>
        <w:spacing w:after="0" w:line="232" w:lineRule="exact"/>
        <w:rPr>
          <w:rFonts w:ascii="Arial" w:cs="Arial" w:eastAsia="Arial" w:hAnsi="Arial"/>
          <w:sz w:val="21"/>
          <w:szCs w:val="21"/>
          <w:color w:val="auto"/>
        </w:rPr>
      </w:pPr>
    </w:p>
    <w:p>
      <w:pPr>
        <w:ind w:firstLine="8"/>
        <w:spacing w:after="0" w:line="281" w:lineRule="auto"/>
        <w:tabs>
          <w:tab w:leader="none" w:pos="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80" w:type="dxa"/>
            <w:vAlign w:val="bottom"/>
          </w:tcPr>
          <w:p>
            <w:pPr>
              <w:spacing w:after="0"/>
              <w:rPr>
                <w:sz w:val="20"/>
                <w:szCs w:val="20"/>
                <w:color w:val="auto"/>
              </w:rPr>
            </w:pPr>
            <w:r>
              <w:rPr>
                <w:rFonts w:ascii="Arial" w:cs="Arial" w:eastAsia="Arial" w:hAnsi="Arial"/>
                <w:sz w:val="22"/>
                <w:szCs w:val="22"/>
                <w:color w:val="auto"/>
              </w:rPr>
              <w:t>Date: April 29, 2019</w:t>
            </w:r>
          </w:p>
        </w:tc>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7"/>
              </w:rPr>
              <w:t>/s/ Timothy J. Donahue</w:t>
            </w:r>
          </w:p>
        </w:tc>
        <w:tc>
          <w:tcPr>
            <w:tcW w:w="3040" w:type="dxa"/>
            <w:vAlign w:val="bottom"/>
          </w:tcPr>
          <w:p>
            <w:pPr>
              <w:spacing w:after="0"/>
              <w:rPr>
                <w:sz w:val="21"/>
                <w:szCs w:val="21"/>
                <w:color w:val="auto"/>
              </w:rPr>
            </w:pPr>
          </w:p>
        </w:tc>
      </w:tr>
      <w:tr>
        <w:trPr>
          <w:trHeight w:val="256"/>
        </w:trPr>
        <w:tc>
          <w:tcPr>
            <w:tcW w:w="2880" w:type="dxa"/>
            <w:vAlign w:val="bottom"/>
          </w:tcPr>
          <w:p>
            <w:pPr>
              <w:spacing w:after="0"/>
              <w:rPr>
                <w:sz w:val="22"/>
                <w:szCs w:val="22"/>
                <w:color w:val="auto"/>
              </w:rPr>
            </w:pPr>
          </w:p>
        </w:tc>
        <w:tc>
          <w:tcPr>
            <w:tcW w:w="5260" w:type="dxa"/>
            <w:vAlign w:val="bottom"/>
            <w:gridSpan w:val="3"/>
          </w:tcPr>
          <w:p>
            <w:pPr>
              <w:ind w:left="1660"/>
              <w:spacing w:after="0"/>
              <w:rPr>
                <w:sz w:val="20"/>
                <w:szCs w:val="20"/>
                <w:color w:val="auto"/>
              </w:rPr>
            </w:pPr>
            <w:r>
              <w:rPr>
                <w:rFonts w:ascii="Arial" w:cs="Arial" w:eastAsia="Arial" w:hAnsi="Arial"/>
                <w:sz w:val="22"/>
                <w:szCs w:val="22"/>
                <w:color w:val="auto"/>
              </w:rPr>
              <w:t>Timothy J. Donahue</w:t>
            </w:r>
          </w:p>
        </w:tc>
      </w:tr>
      <w:tr>
        <w:trPr>
          <w:trHeight w:val="294"/>
        </w:trPr>
        <w:tc>
          <w:tcPr>
            <w:tcW w:w="2880" w:type="dxa"/>
            <w:vAlign w:val="bottom"/>
          </w:tcPr>
          <w:p>
            <w:pPr>
              <w:spacing w:after="0"/>
              <w:rPr>
                <w:sz w:val="24"/>
                <w:szCs w:val="24"/>
                <w:color w:val="auto"/>
              </w:rPr>
            </w:pPr>
          </w:p>
        </w:tc>
        <w:tc>
          <w:tcPr>
            <w:tcW w:w="5260" w:type="dxa"/>
            <w:vAlign w:val="bottom"/>
            <w:gridSpan w:val="3"/>
          </w:tcPr>
          <w:p>
            <w:pPr>
              <w:ind w:left="1660"/>
              <w:spacing w:after="0"/>
              <w:rPr>
                <w:sz w:val="20"/>
                <w:szCs w:val="20"/>
                <w:color w:val="auto"/>
              </w:rPr>
            </w:pPr>
            <w:r>
              <w:rPr>
                <w:rFonts w:ascii="Arial" w:cs="Arial" w:eastAsia="Arial" w:hAnsi="Arial"/>
                <w:sz w:val="22"/>
                <w:szCs w:val="22"/>
                <w:color w:val="auto"/>
                <w:w w:val="97"/>
              </w:rPr>
              <w:t>President and Chief Executive Officer</w:t>
            </w:r>
          </w:p>
        </w:tc>
      </w:tr>
      <w:tr>
        <w:trPr>
          <w:trHeight w:val="457"/>
        </w:trPr>
        <w:tc>
          <w:tcPr>
            <w:tcW w:w="2880" w:type="dxa"/>
            <w:vAlign w:val="bottom"/>
          </w:tcPr>
          <w:p>
            <w:pPr>
              <w:spacing w:after="0"/>
              <w:rPr>
                <w:sz w:val="20"/>
                <w:szCs w:val="20"/>
                <w:color w:val="auto"/>
              </w:rPr>
            </w:pPr>
            <w:r>
              <w:rPr>
                <w:rFonts w:ascii="Arial" w:cs="Arial" w:eastAsia="Arial" w:hAnsi="Arial"/>
                <w:sz w:val="22"/>
                <w:szCs w:val="22"/>
                <w:color w:val="auto"/>
              </w:rPr>
              <w:t>Date: April 29, 2019</w:t>
            </w:r>
          </w:p>
        </w:tc>
        <w:tc>
          <w:tcPr>
            <w:tcW w:w="18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/s/ Thomas A. Kelly</w:t>
            </w:r>
          </w:p>
        </w:tc>
        <w:tc>
          <w:tcPr>
            <w:tcW w:w="3400" w:type="dxa"/>
            <w:vAlign w:val="bottom"/>
            <w:gridSpan w:val="2"/>
          </w:tcPr>
          <w:p>
            <w:pPr>
              <w:spacing w:after="0"/>
              <w:rPr>
                <w:sz w:val="24"/>
                <w:szCs w:val="24"/>
                <w:color w:val="auto"/>
              </w:rPr>
            </w:pPr>
          </w:p>
        </w:tc>
      </w:tr>
      <w:tr>
        <w:trPr>
          <w:trHeight w:val="256"/>
        </w:trPr>
        <w:tc>
          <w:tcPr>
            <w:tcW w:w="2880" w:type="dxa"/>
            <w:vAlign w:val="bottom"/>
          </w:tcPr>
          <w:p>
            <w:pPr>
              <w:spacing w:after="0"/>
              <w:rPr>
                <w:sz w:val="22"/>
                <w:szCs w:val="22"/>
                <w:color w:val="auto"/>
              </w:rPr>
            </w:pPr>
          </w:p>
        </w:tc>
        <w:tc>
          <w:tcPr>
            <w:tcW w:w="5260" w:type="dxa"/>
            <w:vAlign w:val="bottom"/>
            <w:gridSpan w:val="3"/>
          </w:tcPr>
          <w:p>
            <w:pPr>
              <w:ind w:left="1660"/>
              <w:spacing w:after="0"/>
              <w:rPr>
                <w:sz w:val="20"/>
                <w:szCs w:val="20"/>
                <w:color w:val="auto"/>
              </w:rPr>
            </w:pPr>
            <w:r>
              <w:rPr>
                <w:rFonts w:ascii="Arial" w:cs="Arial" w:eastAsia="Arial" w:hAnsi="Arial"/>
                <w:sz w:val="22"/>
                <w:szCs w:val="22"/>
                <w:color w:val="auto"/>
              </w:rPr>
              <w:t>Thomas A. Kelly</w:t>
            </w:r>
          </w:p>
        </w:tc>
      </w:tr>
      <w:tr>
        <w:trPr>
          <w:trHeight w:val="257"/>
        </w:trPr>
        <w:tc>
          <w:tcPr>
            <w:tcW w:w="2880" w:type="dxa"/>
            <w:vAlign w:val="bottom"/>
          </w:tcPr>
          <w:p>
            <w:pPr>
              <w:spacing w:after="0"/>
              <w:rPr>
                <w:sz w:val="22"/>
                <w:szCs w:val="22"/>
                <w:color w:val="auto"/>
              </w:rPr>
            </w:pPr>
          </w:p>
        </w:tc>
        <w:tc>
          <w:tcPr>
            <w:tcW w:w="5260" w:type="dxa"/>
            <w:vAlign w:val="bottom"/>
            <w:gridSpan w:val="3"/>
          </w:tcPr>
          <w:p>
            <w:pPr>
              <w:ind w:left="1660"/>
              <w:spacing w:after="0"/>
              <w:rPr>
                <w:sz w:val="20"/>
                <w:szCs w:val="20"/>
                <w:color w:val="auto"/>
              </w:rPr>
            </w:pPr>
            <w:r>
              <w:rPr>
                <w:rFonts w:ascii="Arial" w:cs="Arial" w:eastAsia="Arial" w:hAnsi="Arial"/>
                <w:sz w:val="22"/>
                <w:szCs w:val="22"/>
                <w:color w:val="auto"/>
              </w:rPr>
              <w:t>Senior Vice President</w:t>
            </w:r>
          </w:p>
        </w:tc>
      </w:tr>
      <w:tr>
        <w:trPr>
          <w:trHeight w:val="294"/>
        </w:trPr>
        <w:tc>
          <w:tcPr>
            <w:tcW w:w="2880" w:type="dxa"/>
            <w:vAlign w:val="bottom"/>
          </w:tcPr>
          <w:p>
            <w:pPr>
              <w:spacing w:after="0"/>
              <w:rPr>
                <w:sz w:val="24"/>
                <w:szCs w:val="24"/>
                <w:color w:val="auto"/>
              </w:rPr>
            </w:pPr>
          </w:p>
        </w:tc>
        <w:tc>
          <w:tcPr>
            <w:tcW w:w="5260" w:type="dxa"/>
            <w:vAlign w:val="bottom"/>
            <w:gridSpan w:val="3"/>
          </w:tcPr>
          <w:p>
            <w:pPr>
              <w:ind w:left="1660"/>
              <w:spacing w:after="0"/>
              <w:rPr>
                <w:sz w:val="20"/>
                <w:szCs w:val="20"/>
                <w:color w:val="auto"/>
              </w:rPr>
            </w:pPr>
            <w:r>
              <w:rPr>
                <w:rFonts w:ascii="Arial" w:cs="Arial" w:eastAsia="Arial" w:hAnsi="Arial"/>
                <w:sz w:val="22"/>
                <w:szCs w:val="22"/>
                <w:color w:val="auto"/>
              </w:rPr>
              <w:t>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81"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420"/>
      </w:cols>
      <w:pgMar w:left="240" w:top="8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2019-12-28T13:39:07Z</dcterms:created>
  <dcterms:modified xsi:type="dcterms:W3CDTF">2019-12-28T13:39:07Z</dcterms:modified>
</cp:coreProperties>
</file>