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Gifford Gerard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9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CROWN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CCK</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5"/>
        <w:spacing w:after="0"/>
        <w:rPr>
          <w:sz w:val="20"/>
          <w:szCs w:val="20"/>
          <w:color w:val="auto"/>
        </w:rPr>
      </w:pPr>
      <w:r>
        <w:rPr>
          <w:rFonts w:ascii="Arial" w:cs="Arial" w:eastAsia="Arial" w:hAnsi="Arial"/>
          <w:sz w:val="17"/>
          <w:szCs w:val="17"/>
          <w:color w:val="0000FF"/>
        </w:rPr>
        <w:t>EVP &amp; COO</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YARDLEY</w:t>
            </w:r>
          </w:p>
        </w:tc>
        <w:tc>
          <w:tcPr>
            <w:tcW w:w="1020" w:type="dxa"/>
            <w:vAlign w:val="bottom"/>
          </w:tcPr>
          <w:p>
            <w:pPr>
              <w:ind w:left="200"/>
              <w:spacing w:after="0"/>
              <w:rPr>
                <w:sz w:val="20"/>
                <w:szCs w:val="20"/>
                <w:color w:val="auto"/>
              </w:rPr>
            </w:pPr>
            <w:r>
              <w:rPr>
                <w:rFonts w:ascii="Arial" w:cs="Arial" w:eastAsia="Arial" w:hAnsi="Arial"/>
                <w:sz w:val="17"/>
                <w:szCs w:val="17"/>
                <w:color w:val="0000FF"/>
              </w:rPr>
              <w:t>PA</w:t>
            </w:r>
          </w:p>
        </w:tc>
        <w:tc>
          <w:tcPr>
            <w:tcW w:w="1600" w:type="dxa"/>
            <w:vAlign w:val="bottom"/>
          </w:tcPr>
          <w:p>
            <w:pPr>
              <w:ind w:left="400"/>
              <w:spacing w:after="0"/>
              <w:rPr>
                <w:sz w:val="20"/>
                <w:szCs w:val="20"/>
                <w:color w:val="auto"/>
              </w:rPr>
            </w:pPr>
            <w:r>
              <w:rPr>
                <w:rFonts w:ascii="Arial" w:cs="Arial" w:eastAsia="Arial" w:hAnsi="Arial"/>
                <w:sz w:val="17"/>
                <w:szCs w:val="17"/>
                <w:color w:val="0000FF"/>
              </w:rPr>
              <w:t>19067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5"/>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01/05/2022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4"/>
              </w:rPr>
              <w:t>17,817</w:t>
            </w:r>
            <w:r>
              <w:rPr>
                <w:rFonts w:ascii="Arial" w:cs="Arial" w:eastAsia="Arial" w:hAnsi="Arial"/>
                <w:sz w:val="22"/>
                <w:szCs w:val="22"/>
                <w:color w:val="008000"/>
                <w:w w:val="94"/>
                <w:vertAlign w:val="superscript"/>
              </w:rPr>
              <w:t>(1)</w:t>
            </w:r>
          </w:p>
        </w:tc>
        <w:tc>
          <w:tcPr>
            <w:tcW w:w="4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00"/>
              <w:spacing w:after="0"/>
              <w:rPr>
                <w:sz w:val="20"/>
                <w:szCs w:val="20"/>
                <w:color w:val="auto"/>
              </w:rPr>
            </w:pPr>
            <w:r>
              <w:rPr>
                <w:rFonts w:ascii="Arial" w:cs="Arial" w:eastAsia="Arial" w:hAnsi="Arial"/>
                <w:sz w:val="17"/>
                <w:szCs w:val="17"/>
                <w:color w:val="0000FF"/>
              </w:rPr>
              <w:t>114,125</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40" w:type="dxa"/>
            <w:vAlign w:val="bottom"/>
            <w:vMerge w:val="restart"/>
          </w:tcPr>
          <w:p>
            <w:pPr>
              <w:ind w:left="60"/>
              <w:spacing w:after="0"/>
              <w:rPr>
                <w:sz w:val="20"/>
                <w:szCs w:val="20"/>
                <w:color w:val="auto"/>
              </w:rPr>
            </w:pPr>
            <w:r>
              <w:rPr>
                <w:rFonts w:ascii="Arial" w:cs="Arial" w:eastAsia="Arial" w:hAnsi="Arial"/>
                <w:sz w:val="17"/>
                <w:szCs w:val="17"/>
                <w:color w:val="0000FF"/>
                <w:w w:val="95"/>
              </w:rPr>
              <w:t>Common</w:t>
            </w:r>
          </w:p>
        </w:tc>
        <w:tc>
          <w:tcPr>
            <w:tcW w:w="7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3"/>
            <w:vMerge w:val="restart"/>
          </w:tcPr>
          <w:p>
            <w:pPr>
              <w:jc w:val="center"/>
              <w:ind w:right="300"/>
              <w:spacing w:after="0"/>
              <w:rPr>
                <w:sz w:val="20"/>
                <w:szCs w:val="20"/>
                <w:color w:val="auto"/>
              </w:rPr>
            </w:pPr>
            <w:r>
              <w:rPr>
                <w:rFonts w:ascii="Arial" w:cs="Arial" w:eastAsia="Arial" w:hAnsi="Arial"/>
                <w:sz w:val="17"/>
                <w:szCs w:val="17"/>
                <w:color w:val="0000FF"/>
              </w:rPr>
              <w:t>5,426</w:t>
            </w:r>
            <w:r>
              <w:rPr>
                <w:rFonts w:ascii="Arial" w:cs="Arial" w:eastAsia="Arial" w:hAnsi="Arial"/>
                <w:sz w:val="22"/>
                <w:szCs w:val="22"/>
                <w:color w:val="008000"/>
                <w:vertAlign w:val="superscript"/>
              </w:rPr>
              <w:t>(2)</w:t>
            </w:r>
          </w:p>
        </w:tc>
        <w:tc>
          <w:tcPr>
            <w:tcW w:w="30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280" w:type="dxa"/>
            <w:vAlign w:val="bottom"/>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401(k)Plan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was granted 17,817 shares of Restricted Common Stock under the 2013 Stock-Based Compensation Plan. 6,080 time-vested restricted shares vest over a three year period as follows: 2,027 time-vested restricted shares on January 5, 2023 and 2024, respectively, and 2,026 time-vested restricted shares on January 6, 2025. 5,657 performance-based restricted shares are targeted to vest on January 6, 2025 based on the Company's Total Shareholder Return versus a defined peer group of companies, with the final number of performance-based vested shares varying from 0 to 200% of 5,657. 6,080 performance-based restricted shares are targeted to vest on January 6, 2025 based on the Return on Invested Capital achieved by the Company compared to the ROIC target, with the final number of performance-based vested shares varying from 0 to 6,080.</w:t>
      </w:r>
    </w:p>
    <w:p>
      <w:pPr>
        <w:spacing w:after="0" w:line="29"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At December 31, 2021, the Reporting Person owned 5,426 shares of CCK Common Stock under the CCK 401(k) Plan.</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Rosemary Haselroth, by</w:t>
            </w:r>
          </w:p>
        </w:tc>
        <w:tc>
          <w:tcPr>
            <w:tcW w:w="1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01/07/2022</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9910"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2022-01-07T11:14:07Z</dcterms:created>
  <dcterms:modified xsi:type="dcterms:W3CDTF">2022-01-07T11:14:07Z</dcterms:modified>
</cp:coreProperties>
</file>