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3" w:lineRule="exact"/>
        <w:rPr>
          <w:sz w:val="24"/>
          <w:szCs w:val="24"/>
          <w:color w:val="auto"/>
        </w:rPr>
      </w:pPr>
    </w:p>
    <w:p>
      <w:pPr>
        <w:ind w:left="460" w:right="280" w:hanging="434"/>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2020</w:t>
      </w:r>
    </w:p>
    <w:p>
      <w:pPr>
        <w:spacing w:after="0" w:line="233" w:lineRule="exact"/>
        <w:rPr>
          <w:sz w:val="24"/>
          <w:szCs w:val="24"/>
          <w:color w:val="auto"/>
        </w:rPr>
      </w:pPr>
    </w:p>
    <w:p>
      <w:pPr>
        <w:ind w:left="460" w:right="280" w:hanging="434"/>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3020" w:type="dxa"/>
            <w:vAlign w:val="bottom"/>
          </w:tcPr>
          <w:p>
            <w:pPr>
              <w:jc w:val="center"/>
              <w:ind w:left="1140"/>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525"/>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218"/>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38"/>
        </w:trPr>
        <w:tc>
          <w:tcPr>
            <w:tcW w:w="3020" w:type="dxa"/>
            <w:vAlign w:val="bottom"/>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Pr>
          <w:p>
            <w:pPr>
              <w:spacing w:after="0"/>
              <w:rPr>
                <w:sz w:val="20"/>
                <w:szCs w:val="20"/>
                <w:color w:val="auto"/>
              </w:rPr>
            </w:pPr>
            <w:r>
              <w:rPr>
                <w:rFonts w:ascii="Arial" w:cs="Arial" w:eastAsia="Arial" w:hAnsi="Arial"/>
                <w:sz w:val="16"/>
                <w:szCs w:val="16"/>
                <w:color w:val="auto"/>
              </w:rPr>
              <w:t>Trading Symbols</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Pr>
          <w:p>
            <w:pPr>
              <w:spacing w:after="0"/>
              <w:rPr>
                <w:sz w:val="24"/>
                <w:szCs w:val="24"/>
                <w:color w:val="auto"/>
              </w:rPr>
            </w:pPr>
          </w:p>
        </w:tc>
      </w:tr>
      <w:tr>
        <w:trPr>
          <w:trHeight w:val="33"/>
        </w:trPr>
        <w:tc>
          <w:tcPr>
            <w:tcW w:w="3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5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r>
        <w:trPr>
          <w:trHeight w:val="257"/>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22"/>
                <w:szCs w:val="22"/>
                <w:color w:val="auto"/>
              </w:rPr>
            </w:pPr>
          </w:p>
        </w:tc>
      </w:tr>
    </w:tbl>
    <w:p>
      <w:pPr>
        <w:spacing w:after="0" w:line="13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134,762,595 shares of Common Stock outstanding as of October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200" w:type="dxa"/>
            <w:vAlign w:val="bottom"/>
            <w:gridSpan w:val="5"/>
          </w:tcPr>
          <w:p>
            <w:pPr>
              <w:jc w:val="center"/>
              <w:ind w:left="363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60"/>
        </w:trPr>
        <w:tc>
          <w:tcPr>
            <w:tcW w:w="8640" w:type="dxa"/>
            <w:vAlign w:val="bottom"/>
            <w:gridSpan w:val="8"/>
          </w:tcPr>
          <w:p>
            <w:pPr>
              <w:jc w:val="center"/>
              <w:ind w:left="219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7200" w:type="dxa"/>
            <w:vAlign w:val="bottom"/>
            <w:gridSpan w:val="5"/>
          </w:tcPr>
          <w:p>
            <w:pPr>
              <w:jc w:val="center"/>
              <w:ind w:left="3630"/>
              <w:spacing w:after="0"/>
              <w:rPr>
                <w:sz w:val="20"/>
                <w:szCs w:val="20"/>
                <w:color w:val="auto"/>
              </w:rPr>
            </w:pPr>
            <w:r>
              <w:rPr>
                <w:rFonts w:ascii="Arial" w:cs="Arial" w:eastAsia="Arial" w:hAnsi="Arial"/>
                <w:sz w:val="18"/>
                <w:szCs w:val="18"/>
                <w:b w:val="1"/>
                <w:bCs w:val="1"/>
                <w:color w:val="auto"/>
                <w:w w:val="90"/>
              </w:rPr>
              <w:t>(In millions except per share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4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3"/>
                <w:szCs w:val="23"/>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270"/>
        </w:trPr>
        <w:tc>
          <w:tcPr>
            <w:tcW w:w="4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3"/>
                <w:szCs w:val="23"/>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7"/>
        </w:trPr>
        <w:tc>
          <w:tcPr>
            <w:tcW w:w="49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8,874</w:t>
            </w:r>
          </w:p>
        </w:tc>
      </w:tr>
      <w:tr>
        <w:trPr>
          <w:trHeight w:val="237"/>
        </w:trPr>
        <w:tc>
          <w:tcPr>
            <w:tcW w:w="4920" w:type="dxa"/>
            <w:vAlign w:val="bottom"/>
          </w:tcPr>
          <w:p>
            <w:pPr>
              <w:ind w:left="320"/>
              <w:spacing w:after="0"/>
              <w:rPr>
                <w:sz w:val="20"/>
                <w:szCs w:val="20"/>
                <w:color w:val="auto"/>
              </w:rPr>
            </w:pPr>
            <w:r>
              <w:rPr>
                <w:rFonts w:ascii="Arial" w:cs="Arial" w:eastAsia="Arial" w:hAnsi="Arial"/>
                <w:sz w:val="18"/>
                <w:szCs w:val="18"/>
                <w:color w:val="auto"/>
                <w:w w:val="92"/>
              </w:rPr>
              <w:t>Cost of products sold, excluding depreciation and amortization</w:t>
            </w:r>
          </w:p>
        </w:tc>
        <w:tc>
          <w:tcPr>
            <w:tcW w:w="10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7,082</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Selling and administrative expense</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from early extinguishments of debt</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Other pension and postretirement</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exchange</w:t>
            </w: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Equity earnings in affiliates</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9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9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Earnings per common share attributable to Crown Holdings:</w:t>
            </w: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2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4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9"/>
        </w:trPr>
        <w:tc>
          <w:tcPr>
            <w:tcW w:w="4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Nine Months Ended</w:t>
            </w:r>
          </w:p>
        </w:tc>
      </w:tr>
      <w:tr>
        <w:trPr>
          <w:trHeight w:val="270"/>
        </w:trPr>
        <w:tc>
          <w:tcPr>
            <w:tcW w:w="5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3"/>
                <w:szCs w:val="23"/>
                <w:color w:val="auto"/>
              </w:rPr>
            </w:pPr>
          </w:p>
        </w:tc>
        <w:tc>
          <w:tcPr>
            <w:tcW w:w="20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50"/>
        </w:trPr>
        <w:tc>
          <w:tcPr>
            <w:tcW w:w="59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Derivatives qualifying as hedges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other comprehensive (loss) / income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50"/>
        </w:trPr>
        <w:tc>
          <w:tcPr>
            <w:tcW w:w="59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1,528</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4,002</w:t>
            </w:r>
          </w:p>
        </w:tc>
      </w:tr>
      <w:tr>
        <w:trPr>
          <w:trHeight w:val="250"/>
        </w:trPr>
        <w:tc>
          <w:tcPr>
            <w:tcW w:w="7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37"/>
        </w:trPr>
        <w:tc>
          <w:tcPr>
            <w:tcW w:w="710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4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15,505</w:t>
            </w:r>
          </w:p>
        </w:tc>
      </w:tr>
      <w:tr>
        <w:trPr>
          <w:trHeight w:val="27"/>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r>
      <w:tr>
        <w:trPr>
          <w:trHeight w:val="250"/>
        </w:trPr>
        <w:tc>
          <w:tcPr>
            <w:tcW w:w="7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7,818</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857</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100" w:type="dxa"/>
            <w:vAlign w:val="bottom"/>
            <w:shd w:val="clear" w:color="auto" w:fill="CCEEFF"/>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hyperlink w:anchor="page12">
              <w:r>
                <w:rPr>
                  <w:rFonts w:ascii="Arial" w:cs="Arial" w:eastAsia="Arial" w:hAnsi="Arial"/>
                  <w:sz w:val="18"/>
                  <w:szCs w:val="18"/>
                  <w:i w:val="1"/>
                  <w:iCs w:val="1"/>
                  <w:u w:val="single" w:color="auto"/>
                  <w:color w:val="0000FF"/>
                </w:rPr>
                <w:t>Note I</w:t>
              </w:r>
            </w:hyperlink>
            <w:r>
              <w:rPr>
                <w:rFonts w:ascii="Arial" w:cs="Arial" w:eastAsia="Arial" w:hAnsi="Arial"/>
                <w:sz w:val="18"/>
                <w:szCs w:val="18"/>
                <w:i w:val="1"/>
                <w:iCs w:val="1"/>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r>
      <w:tr>
        <w:trPr>
          <w:trHeight w:val="237"/>
        </w:trPr>
        <w:tc>
          <w:tcPr>
            <w:tcW w:w="7100" w:type="dxa"/>
            <w:vAlign w:val="bottom"/>
          </w:tcPr>
          <w:p>
            <w:pPr>
              <w:ind w:left="66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w:t>
            </w:r>
          </w:p>
        </w:tc>
      </w:tr>
      <w:tr>
        <w:trPr>
          <w:trHeight w:val="27"/>
        </w:trPr>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c>
          <w:tcPr>
            <w:tcW w:w="4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4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20"/>
                <w:szCs w:val="20"/>
                <w:color w:val="auto"/>
              </w:rPr>
            </w:pPr>
          </w:p>
        </w:tc>
      </w:tr>
      <w:tr>
        <w:trPr>
          <w:trHeight w:val="270"/>
        </w:trPr>
        <w:tc>
          <w:tcPr>
            <w:tcW w:w="8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5"/>
              </w:rPr>
              <w:t>September 30,</w:t>
            </w:r>
          </w:p>
        </w:tc>
        <w:tc>
          <w:tcPr>
            <w:tcW w:w="420" w:type="dxa"/>
            <w:vAlign w:val="bottom"/>
          </w:tcPr>
          <w:p>
            <w:pPr>
              <w:spacing w:after="0"/>
              <w:rPr>
                <w:sz w:val="23"/>
                <w:szCs w:val="23"/>
                <w:color w:val="auto"/>
              </w:rPr>
            </w:pPr>
          </w:p>
        </w:tc>
      </w:tr>
      <w:tr>
        <w:trPr>
          <w:trHeight w:val="27"/>
        </w:trPr>
        <w:tc>
          <w:tcPr>
            <w:tcW w:w="8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Restructuring and other</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(658)</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(694)</w:t>
            </w:r>
          </w:p>
        </w:tc>
      </w:tr>
      <w:tr>
        <w:trPr>
          <w:trHeight w:val="237"/>
        </w:trPr>
        <w:tc>
          <w:tcPr>
            <w:tcW w:w="81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(333)</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(242)</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Acquisition of business,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investment hedge</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4"/>
        </w:trPr>
        <w:tc>
          <w:tcPr>
            <w:tcW w:w="814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used for investing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(309)</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(216)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(323)</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Payments of finance leases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Common stock issued</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Common stock repurchased</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14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1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 (used for) financing activities</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(245)</w:t>
            </w:r>
          </w:p>
        </w:tc>
      </w:tr>
      <w:tr>
        <w:trPr>
          <w:trHeight w:val="27"/>
        </w:trPr>
        <w:tc>
          <w:tcPr>
            <w:tcW w:w="8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(261)</w:t>
            </w:r>
          </w:p>
        </w:tc>
      </w:tr>
      <w:tr>
        <w:trPr>
          <w:trHeight w:val="27"/>
        </w:trPr>
        <w:tc>
          <w:tcPr>
            <w:tcW w:w="8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7"/>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September 30</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w:t>
            </w:r>
          </w:p>
        </w:tc>
        <w:tc>
          <w:tcPr>
            <w:tcW w:w="440" w:type="dxa"/>
            <w:vAlign w:val="bottom"/>
          </w:tcPr>
          <w:p>
            <w:pPr>
              <w:spacing w:after="0"/>
              <w:rPr>
                <w:sz w:val="20"/>
                <w:szCs w:val="20"/>
                <w:color w:val="auto"/>
              </w:rPr>
            </w:pP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8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8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34290</wp:posOffset>
            </wp:positionV>
            <wp:extent cx="3531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Crown</w:t>
            </w:r>
          </w:p>
        </w:tc>
        <w:tc>
          <w:tcPr>
            <w:tcW w:w="1080" w:type="dxa"/>
            <w:vAlign w:val="bottom"/>
            <w:gridSpan w:val="3"/>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34290</wp:posOffset>
            </wp:positionV>
            <wp:extent cx="3531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Crown</w:t>
            </w:r>
          </w:p>
        </w:tc>
        <w:tc>
          <w:tcPr>
            <w:tcW w:w="1080" w:type="dxa"/>
            <w:vAlign w:val="bottom"/>
            <w:gridSpan w:val="3"/>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6"/>
                <w:szCs w:val="16"/>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2020 and the results of its operations for the three and nine months ended September 30, 2020 and 2019 and of its cash flows for the nine months ended September 30, 2020 and 2019. The results reported in these consolidated financial statements are not necessarily indicative of the results that may be expected for the entire year including the extent and duration of the impact of the coronavirus pandemic.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2019.</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60" w:right="7440" w:hanging="652"/>
        <w:spacing w:after="0" w:line="557" w:lineRule="auto"/>
        <w:tabs>
          <w:tab w:leader="none" w:pos="6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w:t>
      </w:r>
    </w:p>
    <w:p>
      <w:pPr>
        <w:jc w:val="both"/>
        <w:ind w:left="6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On January 1, 2020, the Company adopted new guidance on the accounting for credit losses on financial instruments. The new guidance introduces an approach, based on expected losses, to estimate credit losses on certain types of financial instruments. The new approach to estimating credit losses applies to most financial assets measured at amortized cost and certain other instruments, including trade and other receivables, loans, held-to-maturity debt securities, net investments in operating leases and off-balance-sheet credit exposures. The guidance did not have a material impact on the Company's consolidated financial statements.</w:t>
      </w:r>
    </w:p>
    <w:p>
      <w:pPr>
        <w:spacing w:after="0" w:line="214" w:lineRule="exact"/>
        <w:rPr>
          <w:rFonts w:ascii="Arial" w:cs="Arial" w:eastAsia="Arial" w:hAnsi="Arial"/>
          <w:sz w:val="16"/>
          <w:szCs w:val="16"/>
          <w:b w:val="1"/>
          <w:bCs w:val="1"/>
          <w:color w:val="auto"/>
        </w:rPr>
      </w:pPr>
    </w:p>
    <w:p>
      <w:pPr>
        <w:jc w:val="both"/>
        <w:ind w:left="660" w:right="2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On January 1, 2020, the Company adopted new guidance, on a prospective basis, which aligns the accounting for implementation costs incurred in a cloud computing arrangement that is a service arrangement (i.e. hosting arrangement) with the guidance on capitalizing costs for internal use software. The guidance did not have a material impact on the Company's consolidated financial statements.</w:t>
      </w:r>
    </w:p>
    <w:p>
      <w:pPr>
        <w:spacing w:after="0" w:line="19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Recently Issued Accounting Standards</w:t>
      </w:r>
    </w:p>
    <w:p>
      <w:pPr>
        <w:spacing w:after="0" w:line="252" w:lineRule="exact"/>
        <w:rPr>
          <w:rFonts w:ascii="Arial" w:cs="Arial" w:eastAsia="Arial" w:hAnsi="Arial"/>
          <w:sz w:val="16"/>
          <w:szCs w:val="16"/>
          <w:b w:val="1"/>
          <w:bCs w:val="1"/>
          <w:color w:val="auto"/>
        </w:rPr>
      </w:pPr>
    </w:p>
    <w:p>
      <w:pPr>
        <w:ind w:left="6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December 2019, the FASB issued new guidance to simplify the accounting for income taxes by, among other things, reducing complexity in the interim-period accounting for year-to-date loss limitations and changes in tax laws. The guidance is effective for the Company on January 1, 2021. The Company is currently evaluating the impact of adopting this standard and does not expect the guidance to have a material impact on its consolidated financial statements.</w:t>
      </w:r>
    </w:p>
    <w:p>
      <w:pPr>
        <w:spacing w:after="0" w:line="213" w:lineRule="exact"/>
        <w:rPr>
          <w:rFonts w:ascii="Arial" w:cs="Arial" w:eastAsia="Arial" w:hAnsi="Arial"/>
          <w:sz w:val="16"/>
          <w:szCs w:val="16"/>
          <w:b w:val="1"/>
          <w:bCs w:val="1"/>
          <w:color w:val="auto"/>
        </w:rPr>
      </w:pPr>
    </w:p>
    <w:p>
      <w:pPr>
        <w:ind w:left="660" w:right="2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March 2020, the FASB issued guidance which provides optional expedients and exceptions for applying GAAP to certain contract modifications and hedging relationships that reference London Inter-bank Offered Rate (LIBOR) or another reference rate expected to be discontinued. The guidance is effective upon issuance and can be applied through December 31, 2022. The Company is currently evaluating the impact of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2019</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70"/>
        </w:trPr>
        <w:tc>
          <w:tcPr>
            <w:tcW w:w="5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58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34"/>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4"/>
                <w:szCs w:val="24"/>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2019</w:t>
            </w:r>
          </w:p>
        </w:tc>
      </w:tr>
      <w:tr>
        <w:trPr>
          <w:trHeight w:val="27"/>
        </w:trPr>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252</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63"/>
        </w:trPr>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7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market, with cost principally determined under the first-in first-out ("FIFO") or average cost method.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0"/>
                <w:szCs w:val="20"/>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7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2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 2020</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December 31, 2019</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1"/>
              </w:rPr>
              <w:t>Gross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Total amortization expense of intangible assets for the three and nine months ended September 30, 2020 and 2019 was $45 and $134 and $43 and $140.</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charges / (benefits) as follows:</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20" w:type="dxa"/>
            <w:vAlign w:val="bottom"/>
          </w:tcPr>
          <w:p>
            <w:pPr>
              <w:spacing w:after="0"/>
              <w:rPr>
                <w:sz w:val="23"/>
                <w:szCs w:val="23"/>
                <w:color w:val="auto"/>
              </w:rPr>
            </w:pPr>
          </w:p>
        </w:tc>
        <w:tc>
          <w:tcPr>
            <w:tcW w:w="2080" w:type="dxa"/>
            <w:vAlign w:val="bottom"/>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costs / (income)</w:t>
            </w:r>
          </w:p>
        </w:tc>
        <w:tc>
          <w:tcPr>
            <w:tcW w:w="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4520" w:type="dxa"/>
            <w:vAlign w:val="bottom"/>
          </w:tcPr>
          <w:p>
            <w:pPr>
              <w:spacing w:after="0"/>
              <w:rPr>
                <w:sz w:val="20"/>
                <w:szCs w:val="20"/>
                <w:color w:val="auto"/>
              </w:rPr>
            </w:pP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nine months ended September 30, 2020, restructuring included charges related to internal reorganizations within the Transit Packaging division, including headcount reductions. For the nine months ended September 30, 2019, restructuring included a charge of $8 related to headcount reductions in the Company's European Division.</w:t>
      </w:r>
    </w:p>
    <w:p>
      <w:pPr>
        <w:spacing w:after="0" w:line="21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nine months ended September 30, 2019, asset impairments and sales included gains on asset sales related to prior restructuring actions and a charge of $6 related to a fire at a production facility in Asia.</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nine months ended September 30, 2019, other income related to gains arising from favorable court rulings related to the recovery of indirect taxes paid in prior years by certain of the Company's Brazilijean subsidiaries.</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September 30, 2020, the Company had restructuring accruals of $18,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2020, the Company paid $7 to settle outstanding claims and had claims activity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56,000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4"/>
              </w:rPr>
              <w:t>(1,000)</w:t>
            </w: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56,000</w:t>
            </w:r>
          </w:p>
        </w:tc>
      </w:tr>
      <w:tr>
        <w:trPr>
          <w:trHeight w:val="27"/>
        </w:trPr>
        <w:tc>
          <w:tcPr>
            <w:tcW w:w="8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2019, the Company's outstanding claims were:</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Texas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8340" w:type="dxa"/>
            <w:vAlign w:val="bottom"/>
          </w:tcPr>
          <w:p>
            <w:pPr>
              <w:ind w:left="320"/>
              <w:spacing w:after="0"/>
              <w:rPr>
                <w:sz w:val="20"/>
                <w:szCs w:val="20"/>
                <w:color w:val="auto"/>
              </w:rPr>
            </w:pPr>
            <w:r>
              <w:rPr>
                <w:rFonts w:ascii="Arial" w:cs="Arial" w:eastAsia="Arial" w:hAnsi="Arial"/>
                <w:sz w:val="18"/>
                <w:szCs w:val="18"/>
                <w:color w:val="auto"/>
              </w:rPr>
              <w:t>Pennsylvania</w:t>
            </w:r>
          </w:p>
        </w:tc>
        <w:tc>
          <w:tcPr>
            <w:tcW w:w="13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3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states that have enacted asbestos legislation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340" w:type="dxa"/>
            <w:vAlign w:val="bottom"/>
          </w:tcPr>
          <w:p>
            <w:pPr>
              <w:ind w:left="320"/>
              <w:spacing w:after="0"/>
              <w:rPr>
                <w:sz w:val="20"/>
                <w:szCs w:val="20"/>
                <w:color w:val="auto"/>
              </w:rPr>
            </w:pPr>
            <w:r>
              <w:rPr>
                <w:rFonts w:ascii="Arial" w:cs="Arial" w:eastAsia="Arial" w:hAnsi="Arial"/>
                <w:sz w:val="18"/>
                <w:szCs w:val="18"/>
                <w:color w:val="auto"/>
              </w:rPr>
              <w:t>Other states</w:t>
            </w:r>
          </w:p>
        </w:tc>
        <w:tc>
          <w:tcPr>
            <w:tcW w:w="138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7"/>
        </w:trPr>
        <w:tc>
          <w:tcPr>
            <w:tcW w:w="83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2018</w:t>
            </w:r>
          </w:p>
        </w:tc>
      </w:tr>
      <w:tr>
        <w:trPr>
          <w:trHeight w:val="27"/>
        </w:trPr>
        <w:tc>
          <w:tcPr>
            <w:tcW w:w="63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2020.</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the Company’s accrual for pending and future asbestos-related claims and related legal costs was $261, including $215 for unasserted claims. The Company determines its accrual without limitation to a specific time period.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2019),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2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20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0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September 30, 2020,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ind w:left="660" w:right="7520" w:hanging="652"/>
        <w:spacing w:after="0" w:line="566" w:lineRule="auto"/>
        <w:tabs>
          <w:tab w:leader="none" w:pos="32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Derivative and Other Financial Instruments </w:t>
      </w:r>
      <w:r>
        <w:rPr>
          <w:rFonts w:ascii="Arial" w:cs="Arial" w:eastAsia="Arial" w:hAnsi="Arial"/>
          <w:sz w:val="17"/>
          <w:szCs w:val="17"/>
          <w:u w:val="single" w:color="auto"/>
          <w:color w:val="auto"/>
        </w:rPr>
        <w:t>Fair Value Measurements</w:t>
      </w: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8">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2020 mature between one and twenty-six months.</w:t>
      </w:r>
    </w:p>
    <w:p>
      <w:pPr>
        <w:spacing w:after="0" w:line="203"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5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140"/>
              <w:spacing w:after="0"/>
              <w:rPr>
                <w:sz w:val="20"/>
                <w:szCs w:val="20"/>
                <w:color w:val="auto"/>
              </w:rPr>
            </w:pPr>
            <w:r>
              <w:rPr>
                <w:rFonts w:ascii="Arial" w:cs="Arial" w:eastAsia="Arial" w:hAnsi="Arial"/>
                <w:sz w:val="18"/>
                <w:szCs w:val="18"/>
                <w:color w:val="auto"/>
              </w:rPr>
              <w:t>Amount of gain/(loss)</w:t>
            </w:r>
          </w:p>
        </w:tc>
        <w:tc>
          <w:tcPr>
            <w:tcW w:w="240" w:type="dxa"/>
            <w:vAlign w:val="bottom"/>
          </w:tcPr>
          <w:p>
            <w:pPr>
              <w:spacing w:after="0"/>
              <w:rPr>
                <w:sz w:val="20"/>
                <w:szCs w:val="20"/>
                <w:color w:val="auto"/>
              </w:rPr>
            </w:pPr>
          </w:p>
        </w:tc>
        <w:tc>
          <w:tcPr>
            <w:tcW w:w="17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Amount of gain/(loss)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recognized in OCI</w:t>
            </w:r>
          </w:p>
        </w:tc>
        <w:tc>
          <w:tcPr>
            <w:tcW w:w="240" w:type="dxa"/>
            <w:vAlign w:val="bottom"/>
          </w:tcPr>
          <w:p>
            <w:pPr>
              <w:spacing w:after="0"/>
              <w:rPr>
                <w:sz w:val="23"/>
                <w:szCs w:val="23"/>
                <w:color w:val="auto"/>
              </w:rPr>
            </w:pPr>
          </w:p>
        </w:tc>
        <w:tc>
          <w:tcPr>
            <w:tcW w:w="17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recognized in OCI</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17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17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
        </w:trPr>
        <w:tc>
          <w:tcPr>
            <w:tcW w:w="3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Pr>
          <w:p>
            <w:pPr>
              <w:spacing w:after="0"/>
              <w:rPr>
                <w:sz w:val="21"/>
                <w:szCs w:val="2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37"/>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7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Amount of gain/</w:t>
            </w:r>
          </w:p>
        </w:tc>
        <w:tc>
          <w:tcPr>
            <w:tcW w:w="240" w:type="dxa"/>
            <w:vAlign w:val="bottom"/>
          </w:tcPr>
          <w:p>
            <w:pPr>
              <w:spacing w:after="0"/>
              <w:rPr>
                <w:sz w:val="24"/>
                <w:szCs w:val="24"/>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Amount of gain/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(loss) reclassified from</w:t>
            </w:r>
          </w:p>
        </w:tc>
        <w:tc>
          <w:tcPr>
            <w:tcW w:w="240" w:type="dxa"/>
            <w:vAlign w:val="bottom"/>
          </w:tcPr>
          <w:p>
            <w:pPr>
              <w:spacing w:after="0"/>
              <w:rPr>
                <w:sz w:val="23"/>
                <w:szCs w:val="23"/>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(loss) reclassified from</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color w:val="auto"/>
                <w:w w:val="94"/>
              </w:rPr>
              <w:t>AOCI into income</w:t>
            </w:r>
          </w:p>
        </w:tc>
        <w:tc>
          <w:tcPr>
            <w:tcW w:w="240" w:type="dxa"/>
            <w:vAlign w:val="bottom"/>
          </w:tcPr>
          <w:p>
            <w:pPr>
              <w:spacing w:after="0"/>
              <w:rPr>
                <w:sz w:val="23"/>
                <w:szCs w:val="23"/>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AOCI into income</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17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178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tcPr>
          <w:p>
            <w:pPr>
              <w:ind w:left="280"/>
              <w:spacing w:after="0"/>
              <w:rPr>
                <w:sz w:val="20"/>
                <w:szCs w:val="20"/>
                <w:color w:val="auto"/>
              </w:rPr>
            </w:pPr>
            <w:r>
              <w:rPr>
                <w:rFonts w:ascii="Arial" w:cs="Arial" w:eastAsia="Arial" w:hAnsi="Arial"/>
                <w:sz w:val="18"/>
                <w:szCs w:val="18"/>
                <w:color w:val="auto"/>
              </w:rPr>
              <w:t>Affected line items in the</w:t>
            </w:r>
          </w:p>
        </w:tc>
      </w:tr>
      <w:tr>
        <w:trPr>
          <w:trHeight w:val="27"/>
        </w:trPr>
        <w:tc>
          <w:tcPr>
            <w:tcW w:w="31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ind w:left="320"/>
              <w:spacing w:after="0"/>
              <w:rPr>
                <w:sz w:val="20"/>
                <w:szCs w:val="20"/>
                <w:color w:val="auto"/>
              </w:rPr>
            </w:pPr>
            <w:r>
              <w:rPr>
                <w:rFonts w:ascii="Arial" w:cs="Arial" w:eastAsia="Arial" w:hAnsi="Arial"/>
                <w:sz w:val="18"/>
                <w:szCs w:val="18"/>
                <w:color w:val="auto"/>
              </w:rPr>
              <w:t>Statement of Operations</w:t>
            </w: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0" w:type="dxa"/>
            <w:vAlign w:val="bottom"/>
          </w:tcPr>
          <w:p>
            <w:pPr>
              <w:ind w:left="20"/>
              <w:spacing w:after="0"/>
              <w:rPr>
                <w:sz w:val="20"/>
                <w:szCs w:val="20"/>
                <w:color w:val="auto"/>
              </w:rPr>
            </w:pPr>
            <w:r>
              <w:rPr>
                <w:rFonts w:ascii="Arial" w:cs="Arial" w:eastAsia="Arial" w:hAnsi="Arial"/>
                <w:sz w:val="18"/>
                <w:szCs w:val="18"/>
                <w:color w:val="auto"/>
              </w:rPr>
              <w:t>Cost of products sold</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r>
      <w:tr>
        <w:trPr>
          <w:trHeight w:val="236"/>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Income before taxes</w:t>
            </w: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6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1"/>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For the twelve-month period ending September 30, 2021, a net gain of $3 ($2, net of tax) is expected to be reclassified to earnings for commodity and foreign exchange contracts. No amounts were reclassified during the nine months</w:t>
      </w:r>
    </w:p>
    <w:p>
      <w:pPr>
        <w:sectPr>
          <w:pgSz w:w="11900" w:h="16838" w:orient="portrait"/>
          <w:cols w:equalWidth="0" w:num="1">
            <w:col w:w="11040"/>
          </w:cols>
          <w:pgMar w:left="5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type w:val="continuous"/>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ended September 30, 2020 and 2019 in connection with anticipated transactions that were no longer considered probable.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286" w:lineRule="auto"/>
        <w:rPr>
          <w:sz w:val="20"/>
          <w:szCs w:val="20"/>
          <w:color w:val="auto"/>
        </w:rPr>
      </w:pPr>
      <w:r>
        <w:rPr>
          <w:rFonts w:ascii="Arial" w:cs="Arial" w:eastAsia="Arial" w:hAnsi="Arial"/>
          <w:sz w:val="17"/>
          <w:szCs w:val="17"/>
          <w:color w:val="auto"/>
        </w:rPr>
        <w:t>For the three and nine months ended September 30, 2020, the Company recorded a gain of $3 and gain of $26 from foreign exchange contracts designated as fair value hedges. For the three and nine months ended September 30, 2019, the Company recorded a gain $2 related to these contracts. These adjustments were reported within foreign exchange in the Consolidated Statements of Operations.</w:t>
      </w:r>
    </w:p>
    <w:p>
      <w:pPr>
        <w:spacing w:after="0" w:line="192"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ind w:left="220"/>
              <w:spacing w:after="0"/>
              <w:rPr>
                <w:sz w:val="20"/>
                <w:szCs w:val="20"/>
                <w:color w:val="auto"/>
              </w:rPr>
            </w:pPr>
            <w:r>
              <w:rPr>
                <w:rFonts w:ascii="Arial" w:cs="Arial" w:eastAsia="Arial" w:hAnsi="Arial"/>
                <w:sz w:val="18"/>
                <w:szCs w:val="18"/>
                <w:color w:val="auto"/>
              </w:rPr>
              <w:t>Pre-tax amount of gain/</w:t>
            </w:r>
          </w:p>
        </w:tc>
        <w:tc>
          <w:tcPr>
            <w:tcW w:w="220" w:type="dxa"/>
            <w:vAlign w:val="bottom"/>
          </w:tcPr>
          <w:p>
            <w:pPr>
              <w:spacing w:after="0"/>
              <w:rPr>
                <w:sz w:val="20"/>
                <w:szCs w:val="20"/>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color w:val="auto"/>
              </w:rPr>
              <w:t>Pre-tax amount of gain/</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0"/>
        </w:trPr>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(loss) recognized in income</w:t>
            </w:r>
          </w:p>
        </w:tc>
        <w:tc>
          <w:tcPr>
            <w:tcW w:w="220" w:type="dxa"/>
            <w:vAlign w:val="bottom"/>
          </w:tcPr>
          <w:p>
            <w:pPr>
              <w:spacing w:after="0"/>
              <w:rPr>
                <w:sz w:val="23"/>
                <w:szCs w:val="23"/>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(loss) recognized in</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70"/>
        </w:trPr>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on derivative</w:t>
            </w:r>
          </w:p>
        </w:tc>
        <w:tc>
          <w:tcPr>
            <w:tcW w:w="220" w:type="dxa"/>
            <w:vAlign w:val="bottom"/>
          </w:tcPr>
          <w:p>
            <w:pPr>
              <w:spacing w:after="0"/>
              <w:rPr>
                <w:sz w:val="23"/>
                <w:szCs w:val="23"/>
                <w:color w:val="auto"/>
              </w:rPr>
            </w:pPr>
          </w:p>
        </w:tc>
        <w:tc>
          <w:tcPr>
            <w:tcW w:w="178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income on derivative</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178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Nine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70"/>
        </w:trPr>
        <w:tc>
          <w:tcPr>
            <w:tcW w:w="3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178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September 30,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Affected line item in the</w:t>
            </w:r>
          </w:p>
        </w:tc>
      </w:tr>
      <w:tr>
        <w:trPr>
          <w:trHeight w:val="27"/>
        </w:trPr>
        <w:tc>
          <w:tcPr>
            <w:tcW w:w="3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1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w w:val="99"/>
              </w:rPr>
              <w:t>Statement of Operations</w:t>
            </w: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Foreign exchange</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r>
      <w:tr>
        <w:trPr>
          <w:trHeight w:val="288"/>
        </w:trPr>
        <w:tc>
          <w:tcPr>
            <w:tcW w:w="3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left="480"/>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During the three and nine months ended September 30, 2020, the Company recorded a loss of $61 ($61, net of tax) in other comprehensive income for certain debt instruments that are designated as hedges of its net investment in a euro-based subsidiary. For the three and nine months ended September 30, 2019, the Company recorded a gain of $58 ($58, net of tax) and a gain of $67 ($67, net of tax). As of September 30, 2020 and December 31, 2019, cumulative losses of $93 ($70, net of tax) and $32 ($9, net of tax) were recognized in accumulated other comprehensive income related to these net investment hedges and the carrying amount of the hedged net investment was €1,164 ($1,364 at September 30, 2020).</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set forth the impact on OCI from changes in the fair value of derivative instruments designated as net investment hedges.</w:t>
      </w:r>
    </w:p>
    <w:p>
      <w:pPr>
        <w:spacing w:after="0" w:line="200" w:lineRule="exact"/>
        <w:rPr>
          <w:sz w:val="20"/>
          <w:szCs w:val="20"/>
          <w:color w:val="auto"/>
        </w:rPr>
      </w:pPr>
    </w:p>
    <w:p>
      <w:pPr>
        <w:spacing w:after="0" w:line="38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6" w:name="page17"/>
    <w:bookmarkEnd w:id="16"/>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color w:val="auto"/>
                <w:w w:val="94"/>
              </w:rPr>
              <w:t>Amount of gain/(loss)</w:t>
            </w:r>
          </w:p>
        </w:tc>
        <w:tc>
          <w:tcPr>
            <w:tcW w:w="22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Amount of gain/(loss)</w:t>
            </w:r>
          </w:p>
        </w:tc>
      </w:tr>
      <w:tr>
        <w:trPr>
          <w:trHeight w:val="270"/>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recognized in OCI</w:t>
            </w:r>
          </w:p>
        </w:tc>
        <w:tc>
          <w:tcPr>
            <w:tcW w:w="220" w:type="dxa"/>
            <w:vAlign w:val="bottom"/>
          </w:tcPr>
          <w:p>
            <w:pPr>
              <w:spacing w:after="0"/>
              <w:rPr>
                <w:sz w:val="23"/>
                <w:szCs w:val="23"/>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recognized in OCI</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Nine months ended</w:t>
            </w:r>
          </w:p>
        </w:tc>
      </w:tr>
      <w:tr>
        <w:trPr>
          <w:trHeight w:val="270"/>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color w:val="auto"/>
                <w:w w:val="86"/>
              </w:rPr>
              <w:t>September 30,</w:t>
            </w:r>
          </w:p>
        </w:tc>
      </w:tr>
      <w:tr>
        <w:trPr>
          <w:trHeight w:val="27"/>
        </w:trPr>
        <w:tc>
          <w:tcPr>
            <w:tcW w:w="45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September 30, 2020 and December 31, 2019, respectively. The fair values of these financial instruments were reported under Level 2 of the fair value hierarchy.</w:t>
      </w:r>
    </w:p>
    <w:p>
      <w:pPr>
        <w:spacing w:after="0" w:line="265"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Balance Sheet</w:t>
            </w:r>
          </w:p>
        </w:tc>
        <w:tc>
          <w:tcPr>
            <w:tcW w:w="1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r>
      <w:tr>
        <w:trPr>
          <w:trHeight w:val="230"/>
        </w:trPr>
        <w:tc>
          <w:tcPr>
            <w:tcW w:w="174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7"/>
        </w:trPr>
        <w:tc>
          <w:tcPr>
            <w:tcW w:w="3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Derivatives designated</w:t>
            </w:r>
          </w:p>
        </w:tc>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hedging</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5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22"/>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Foreign exchange</w:t>
            </w: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current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17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17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contracts fair value</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cash flow</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74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Other non-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Interest rate contracts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color w:val="auto"/>
                <w:w w:val="97"/>
              </w:rPr>
              <w:t>Net investment hedge</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Other non-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3380" w:type="dxa"/>
            <w:vAlign w:val="bottom"/>
            <w:gridSpan w:val="3"/>
          </w:tcPr>
          <w:p>
            <w:pPr>
              <w:ind w:left="20"/>
              <w:spacing w:after="0"/>
              <w:rPr>
                <w:sz w:val="20"/>
                <w:szCs w:val="20"/>
                <w:color w:val="auto"/>
              </w:rPr>
            </w:pPr>
            <w:r>
              <w:rPr>
                <w:rFonts w:ascii="Arial" w:cs="Arial" w:eastAsia="Arial" w:hAnsi="Arial"/>
                <w:sz w:val="18"/>
                <w:szCs w:val="18"/>
                <w:color w:val="auto"/>
              </w:rPr>
              <w:t>Derivatives not designated as hedging</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22"/>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740" w:type="dxa"/>
            <w:vAlign w:val="bottom"/>
          </w:tcPr>
          <w:p>
            <w:pPr>
              <w:spacing w:after="0"/>
              <w:rPr>
                <w:sz w:val="19"/>
                <w:szCs w:val="19"/>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Other non-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Other non-current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7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17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17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8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500" w:top="121" w:right="339" w:bottom="6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21" w:right="339" w:bottom="669" w:gutter="0" w:footer="0" w:header="0"/>
          <w:type w:val="continuous"/>
        </w:sectPr>
      </w:pPr>
    </w:p>
    <w:bookmarkStart w:id="17" w:name="page18"/>
    <w:bookmarkEnd w:id="17"/>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Arial" w:cs="Arial" w:eastAsia="Arial" w:hAnsi="Arial"/>
                <w:sz w:val="18"/>
                <w:szCs w:val="18"/>
                <w:color w:val="auto"/>
              </w:rPr>
              <w:t>Fair Value Hedge Carrying Amounts</w:t>
            </w: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91"/>
        </w:trPr>
        <w:tc>
          <w:tcPr>
            <w:tcW w:w="264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240" w:type="dxa"/>
            <w:vAlign w:val="bottom"/>
            <w:gridSpan w:val="3"/>
          </w:tcPr>
          <w:p>
            <w:pPr>
              <w:ind w:left="480"/>
              <w:spacing w:after="0"/>
              <w:rPr>
                <w:sz w:val="20"/>
                <w:szCs w:val="20"/>
                <w:color w:val="auto"/>
              </w:rPr>
            </w:pPr>
            <w:r>
              <w:rPr>
                <w:rFonts w:ascii="Arial" w:cs="Arial" w:eastAsia="Arial" w:hAnsi="Arial"/>
                <w:sz w:val="18"/>
                <w:szCs w:val="18"/>
                <w:color w:val="auto"/>
              </w:rPr>
              <w:t>Carrying amount of the hedged</w:t>
            </w:r>
          </w:p>
        </w:tc>
      </w:tr>
      <w:tr>
        <w:trPr>
          <w:trHeight w:val="270"/>
        </w:trPr>
        <w:tc>
          <w:tcPr>
            <w:tcW w:w="26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240" w:type="dxa"/>
            <w:vAlign w:val="bottom"/>
            <w:gridSpan w:val="3"/>
          </w:tcPr>
          <w:p>
            <w:pPr>
              <w:ind w:left="980"/>
              <w:spacing w:after="0"/>
              <w:rPr>
                <w:sz w:val="20"/>
                <w:szCs w:val="20"/>
                <w:color w:val="auto"/>
              </w:rPr>
            </w:pPr>
            <w:r>
              <w:rPr>
                <w:rFonts w:ascii="Arial" w:cs="Arial" w:eastAsia="Arial" w:hAnsi="Arial"/>
                <w:sz w:val="18"/>
                <w:szCs w:val="18"/>
                <w:color w:val="auto"/>
              </w:rPr>
              <w:t>assets/(liabilities)</w:t>
            </w:r>
          </w:p>
        </w:tc>
      </w:tr>
      <w:tr>
        <w:trPr>
          <w:trHeight w:val="27"/>
        </w:trPr>
        <w:tc>
          <w:tcPr>
            <w:tcW w:w="26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2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September 30,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December 31,</w:t>
            </w: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360" w:type="dxa"/>
            <w:vAlign w:val="bottom"/>
          </w:tcPr>
          <w:p>
            <w:pPr>
              <w:ind w:left="50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65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364" w:lineRule="exact"/>
        <w:rPr>
          <w:sz w:val="20"/>
          <w:szCs w:val="20"/>
          <w:color w:val="auto"/>
        </w:rPr>
      </w:pPr>
    </w:p>
    <w:p>
      <w:pPr>
        <w:ind w:left="480" w:right="20"/>
        <w:spacing w:after="0" w:line="263" w:lineRule="auto"/>
        <w:rPr>
          <w:sz w:val="20"/>
          <w:szCs w:val="20"/>
          <w:color w:val="auto"/>
        </w:rPr>
      </w:pPr>
      <w:r>
        <w:rPr>
          <w:rFonts w:ascii="Arial" w:cs="Arial" w:eastAsia="Arial" w:hAnsi="Arial"/>
          <w:sz w:val="18"/>
          <w:szCs w:val="18"/>
          <w:color w:val="auto"/>
        </w:rPr>
        <w:t>As of September 30, 2020, the cumulative amount of fair value hedging adjustments included in the carrying amount of the hedge assets and liabilities was a gain of $3. As of December 31, 2019, the cumulative amount of fair value hedging adjustments included in the carrying amount of the hedge assets and liabilities was a loss of $2.</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80" w:type="dxa"/>
            <w:vAlign w:val="bottom"/>
          </w:tcPr>
          <w:p>
            <w:pPr>
              <w:jc w:val="center"/>
              <w:ind w:left="450"/>
              <w:spacing w:after="0"/>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89"/>
              </w:rPr>
              <w:t>Gross amounts not offset in the</w:t>
            </w:r>
          </w:p>
        </w:tc>
        <w:tc>
          <w:tcPr>
            <w:tcW w:w="14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Pr>
          <w:p>
            <w:pPr>
              <w:ind w:left="24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00" w:type="dxa"/>
            <w:vAlign w:val="bottom"/>
            <w:gridSpan w:val="3"/>
          </w:tcPr>
          <w:p>
            <w:pPr>
              <w:spacing w:after="0" w:line="196" w:lineRule="exact"/>
              <w:rPr>
                <w:sz w:val="20"/>
                <w:szCs w:val="20"/>
                <w:color w:val="auto"/>
              </w:rPr>
            </w:pPr>
            <w:r>
              <w:rPr>
                <w:rFonts w:ascii="Arial" w:cs="Arial" w:eastAsia="Arial" w:hAnsi="Arial"/>
                <w:sz w:val="18"/>
                <w:szCs w:val="18"/>
                <w:color w:val="auto"/>
              </w:rPr>
              <w:t>Balance at September 30, 2020</w:t>
            </w:r>
          </w:p>
        </w:tc>
        <w:tc>
          <w:tcPr>
            <w:tcW w:w="29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6"/>
              </w:rPr>
              <w:t>$96</w:t>
            </w:r>
          </w:p>
        </w:tc>
        <w:tc>
          <w:tcPr>
            <w:tcW w:w="25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$12</w:t>
            </w:r>
          </w:p>
        </w:tc>
        <w:tc>
          <w:tcPr>
            <w:tcW w:w="14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$84</w:t>
            </w:r>
          </w:p>
        </w:tc>
      </w:tr>
      <w:tr>
        <w:trPr>
          <w:trHeight w:val="243"/>
        </w:trPr>
        <w:tc>
          <w:tcPr>
            <w:tcW w:w="2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42</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12</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30</w:t>
            </w: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280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2019</w:t>
            </w:r>
          </w:p>
        </w:tc>
        <w:tc>
          <w:tcPr>
            <w:tcW w:w="29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9"/>
              </w:rPr>
              <w:t>83</w:t>
            </w:r>
          </w:p>
        </w:tc>
        <w:tc>
          <w:tcPr>
            <w:tcW w:w="25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16</w:t>
            </w:r>
          </w:p>
        </w:tc>
        <w:tc>
          <w:tcPr>
            <w:tcW w:w="14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67</w:t>
            </w:r>
          </w:p>
        </w:tc>
      </w:tr>
      <w:tr>
        <w:trPr>
          <w:trHeight w:val="243"/>
        </w:trPr>
        <w:tc>
          <w:tcPr>
            <w:tcW w:w="20" w:type="dxa"/>
            <w:vAlign w:val="bottom"/>
          </w:tcPr>
          <w:p>
            <w:pPr>
              <w:spacing w:after="0"/>
              <w:rPr>
                <w:sz w:val="21"/>
                <w:szCs w:val="21"/>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49</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16</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33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480" w:right="22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September 30, 2020 and December 31, 2019 were:</w:t>
      </w:r>
    </w:p>
    <w:p>
      <w:pPr>
        <w:spacing w:after="0" w:line="8"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September 30, 2020</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91"/>
              </w:rPr>
              <w:t>December 31, 2019</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9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Commodities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3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1,017</w:t>
            </w:r>
          </w:p>
        </w:tc>
      </w:tr>
    </w:tbl>
    <w:p>
      <w:pPr>
        <w:spacing w:after="0" w:line="200" w:lineRule="exact"/>
        <w:rPr>
          <w:sz w:val="20"/>
          <w:szCs w:val="20"/>
          <w:color w:val="auto"/>
        </w:rPr>
      </w:pP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K.  Debt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4540" w:type="dxa"/>
            <w:vAlign w:val="bottom"/>
            <w:gridSpan w:val="4"/>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80" w:type="dxa"/>
            <w:vAlign w:val="bottom"/>
            <w:gridSpan w:val="5"/>
          </w:tcPr>
          <w:p>
            <w:pPr>
              <w:ind w:left="500"/>
              <w:spacing w:after="0"/>
              <w:rPr>
                <w:sz w:val="20"/>
                <w:szCs w:val="20"/>
                <w:color w:val="auto"/>
              </w:rPr>
            </w:pPr>
            <w:r>
              <w:rPr>
                <w:rFonts w:ascii="Arial" w:cs="Arial" w:eastAsia="Arial" w:hAnsi="Arial"/>
                <w:sz w:val="18"/>
                <w:szCs w:val="18"/>
                <w:color w:val="auto"/>
              </w:rPr>
              <w:t>September 30, 2020</w:t>
            </w:r>
          </w:p>
        </w:tc>
        <w:tc>
          <w:tcPr>
            <w:tcW w:w="140" w:type="dxa"/>
            <w:vAlign w:val="bottom"/>
          </w:tcPr>
          <w:p>
            <w:pPr>
              <w:spacing w:after="0"/>
              <w:rPr>
                <w:sz w:val="23"/>
                <w:szCs w:val="23"/>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color w:val="auto"/>
              </w:rPr>
              <w:t>December 31, 2019</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20"/>
                <w:szCs w:val="20"/>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Carrying</w:t>
            </w:r>
          </w:p>
        </w:tc>
      </w:tr>
      <w:tr>
        <w:trPr>
          <w:trHeight w:val="270"/>
        </w:trPr>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23"/>
                <w:szCs w:val="23"/>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outstanding</w:t>
            </w:r>
          </w:p>
        </w:tc>
        <w:tc>
          <w:tcPr>
            <w:tcW w:w="180" w:type="dxa"/>
            <w:vAlign w:val="bottom"/>
          </w:tcPr>
          <w:p>
            <w:pPr>
              <w:spacing w:after="0"/>
              <w:rPr>
                <w:sz w:val="23"/>
                <w:szCs w:val="23"/>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amount</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380" w:type="dxa"/>
            <w:vAlign w:val="bottom"/>
          </w:tcPr>
          <w:p>
            <w:pPr>
              <w:spacing w:after="0"/>
              <w:rPr>
                <w:sz w:val="15"/>
                <w:szCs w:val="15"/>
                <w:color w:val="auto"/>
              </w:rPr>
            </w:pPr>
          </w:p>
        </w:tc>
        <w:tc>
          <w:tcPr>
            <w:tcW w:w="360" w:type="dxa"/>
            <w:vAlign w:val="bottom"/>
            <w:tcBorders>
              <w:right w:val="single" w:sz="8" w:color="CCEEFF"/>
            </w:tcBorders>
          </w:tcPr>
          <w:p>
            <w:pPr>
              <w:spacing w:after="0"/>
              <w:rPr>
                <w:sz w:val="15"/>
                <w:szCs w:val="15"/>
                <w:color w:val="auto"/>
              </w:rPr>
            </w:pPr>
          </w:p>
        </w:tc>
        <w:tc>
          <w:tcPr>
            <w:tcW w:w="3800" w:type="dxa"/>
            <w:vAlign w:val="bottom"/>
            <w:gridSpan w:val="2"/>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75</w:t>
            </w:r>
          </w:p>
        </w:tc>
      </w:tr>
      <w:tr>
        <w:trPr>
          <w:trHeight w:val="61"/>
        </w:trPr>
        <w:tc>
          <w:tcPr>
            <w:tcW w:w="380" w:type="dxa"/>
            <w:vAlign w:val="bottom"/>
          </w:tcPr>
          <w:p>
            <w:pPr>
              <w:spacing w:after="0"/>
              <w:rPr>
                <w:sz w:val="5"/>
                <w:szCs w:val="5"/>
                <w:color w:val="auto"/>
              </w:rPr>
            </w:pPr>
          </w:p>
        </w:tc>
        <w:tc>
          <w:tcPr>
            <w:tcW w:w="360" w:type="dxa"/>
            <w:vAlign w:val="bottom"/>
            <w:tcBorders>
              <w:right w:val="single" w:sz="8" w:color="CCEEFF"/>
            </w:tcBorders>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2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16"/>
        </w:trPr>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1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Long-term debt</w:t>
            </w:r>
          </w:p>
        </w:tc>
        <w:tc>
          <w:tcPr>
            <w:tcW w:w="2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Senior secured borrowings: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Revolving credit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Term loan facilities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U.S. dollar at LIBOR + 1.5% due 2024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70"/>
        </w:trPr>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0" w:type="dxa"/>
            <w:vAlign w:val="bottom"/>
            <w:gridSpan w:val="2"/>
          </w:tcPr>
          <w:p>
            <w:pPr>
              <w:ind w:left="580"/>
              <w:spacing w:after="0"/>
              <w:rPr>
                <w:sz w:val="20"/>
                <w:szCs w:val="20"/>
                <w:color w:val="auto"/>
              </w:rPr>
            </w:pPr>
            <w:r>
              <w:rPr>
                <w:rFonts w:ascii="Arial" w:cs="Arial" w:eastAsia="Arial" w:hAnsi="Arial"/>
                <w:sz w:val="18"/>
                <w:szCs w:val="18"/>
                <w:color w:val="auto"/>
              </w:rPr>
              <w:t>Euro at EURIBOR + 1.5% due 2024</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€650 at 4.0% due 2022</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 S. dollar at 4.50%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€335 at 2.25% due 2023</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€500 at 0.75%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€600 at 2.625% due 2024</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€600 at 3.375% due 2025</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U.S. dollar at 4.25% due 2026</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dollar at 4.75%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U.S. dollar at 7.375% due 2026</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60" w:type="dxa"/>
            <w:vAlign w:val="bottom"/>
            <w:tcBorders>
              <w:right w:val="single" w:sz="8" w:color="CCEEFF"/>
            </w:tcBorders>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€500 at 2.875% due 2026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43"/>
        </w:trPr>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gridSpan w:val="2"/>
          </w:tcPr>
          <w:p>
            <w:pPr>
              <w:ind w:left="240"/>
              <w:spacing w:after="0"/>
              <w:rPr>
                <w:sz w:val="20"/>
                <w:szCs w:val="20"/>
                <w:color w:val="auto"/>
              </w:rPr>
            </w:pPr>
            <w:r>
              <w:rPr>
                <w:rFonts w:ascii="Arial" w:cs="Arial" w:eastAsia="Arial" w:hAnsi="Arial"/>
                <w:sz w:val="18"/>
                <w:szCs w:val="18"/>
                <w:color w:val="auto"/>
              </w:rPr>
              <w:t>U.S. dollar at 7.50% due 2096</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80" w:type="dxa"/>
            <w:vAlign w:val="bottom"/>
          </w:tcPr>
          <w:p>
            <w:pPr>
              <w:spacing w:after="0"/>
              <w:rPr>
                <w:sz w:val="23"/>
                <w:szCs w:val="23"/>
                <w:color w:val="auto"/>
              </w:rPr>
            </w:pPr>
          </w:p>
        </w:tc>
        <w:tc>
          <w:tcPr>
            <w:tcW w:w="360" w:type="dxa"/>
            <w:vAlign w:val="bottom"/>
            <w:tcBorders>
              <w:right w:val="single" w:sz="8" w:color="CCEEFF"/>
            </w:tcBorders>
          </w:tcPr>
          <w:p>
            <w:pPr>
              <w:spacing w:after="0"/>
              <w:rPr>
                <w:sz w:val="23"/>
                <w:szCs w:val="23"/>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0" w:type="dxa"/>
            <w:vAlign w:val="bottom"/>
            <w:gridSpan w:val="2"/>
          </w:tcPr>
          <w:p>
            <w:pPr>
              <w:ind w:left="56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8,165</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8,111</w:t>
            </w:r>
          </w:p>
        </w:tc>
        <w:tc>
          <w:tcPr>
            <w:tcW w:w="3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7,880</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80" w:type="dxa"/>
            <w:vAlign w:val="bottom"/>
          </w:tcPr>
          <w:p>
            <w:pPr>
              <w:spacing w:after="0"/>
              <w:rPr>
                <w:sz w:val="23"/>
                <w:szCs w:val="23"/>
                <w:color w:val="auto"/>
              </w:rPr>
            </w:pPr>
          </w:p>
        </w:tc>
        <w:tc>
          <w:tcPr>
            <w:tcW w:w="360" w:type="dxa"/>
            <w:vAlign w:val="bottom"/>
            <w:tcBorders>
              <w:right w:val="single" w:sz="8" w:color="CCEEFF"/>
            </w:tcBorders>
          </w:tcPr>
          <w:p>
            <w:pPr>
              <w:spacing w:after="0"/>
              <w:rPr>
                <w:sz w:val="23"/>
                <w:szCs w:val="23"/>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0" w:type="dxa"/>
            <w:vAlign w:val="bottom"/>
            <w:gridSpan w:val="2"/>
          </w:tcPr>
          <w:p>
            <w:pPr>
              <w:ind w:left="560"/>
              <w:spacing w:after="0"/>
              <w:rPr>
                <w:sz w:val="20"/>
                <w:szCs w:val="20"/>
                <w:color w:val="auto"/>
              </w:rPr>
            </w:pPr>
            <w:r>
              <w:rPr>
                <w:rFonts w:ascii="Arial" w:cs="Arial" w:eastAsia="Arial" w:hAnsi="Arial"/>
                <w:sz w:val="18"/>
                <w:szCs w:val="18"/>
                <w:color w:val="auto"/>
                <w:w w:val="92"/>
              </w:rPr>
              <w:t>Total long-term debt, less current maturities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8,039</w:t>
            </w:r>
          </w:p>
        </w:tc>
        <w:tc>
          <w:tcPr>
            <w:tcW w:w="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7,882</w:t>
            </w:r>
          </w:p>
        </w:tc>
        <w:tc>
          <w:tcPr>
            <w:tcW w:w="4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7,818</w:t>
            </w:r>
          </w:p>
        </w:tc>
      </w:tr>
      <w:tr>
        <w:trPr>
          <w:trHeight w:val="27"/>
        </w:trPr>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€442 and €450 at September 30, 2020 and December 31, 2019</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$8,548 at September 30, 2020 and $8,410 at December 31, 2019.</w:t>
      </w: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nine months ended September 30, 2020 and 2019 were as follows: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Pension benefits – U.S. plans</w:t>
            </w: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2019</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24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Recognized prior service cost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6"/>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periodic cost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47"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7" w:gutter="0" w:footer="0" w:header="0"/>
          <w:type w:val="continuous"/>
        </w:sectPr>
      </w:pPr>
    </w:p>
    <w:bookmarkStart w:id="19" w:name="page20"/>
    <w:bookmarkEnd w:id="19"/>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6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4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2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Net periodic cost /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56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40" w:type="dxa"/>
            <w:vAlign w:val="bottom"/>
          </w:tcPr>
          <w:p>
            <w:pPr>
              <w:spacing w:after="0"/>
              <w:rPr>
                <w:sz w:val="17"/>
                <w:szCs w:val="17"/>
                <w:color w:val="auto"/>
              </w:rPr>
            </w:pPr>
          </w:p>
        </w:tc>
        <w:tc>
          <w:tcPr>
            <w:tcW w:w="8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2019</w:t>
            </w:r>
          </w:p>
        </w:tc>
      </w:tr>
      <w:tr>
        <w:trPr>
          <w:trHeight w:val="48"/>
        </w:trPr>
        <w:tc>
          <w:tcPr>
            <w:tcW w:w="20" w:type="dxa"/>
            <w:vAlign w:val="bottom"/>
            <w:tcBorders>
              <w:bottom w:val="single" w:sz="8" w:color="CCEEFF"/>
            </w:tcBorders>
          </w:tcPr>
          <w:p>
            <w:pPr>
              <w:spacing w:after="0"/>
              <w:rPr>
                <w:sz w:val="4"/>
                <w:szCs w:val="4"/>
                <w:color w:val="auto"/>
              </w:rPr>
            </w:pPr>
          </w:p>
        </w:tc>
        <w:tc>
          <w:tcPr>
            <w:tcW w:w="2100" w:type="dxa"/>
            <w:vAlign w:val="bottom"/>
            <w:tcBorders>
              <w:top w:val="single" w:sz="8" w:color="auto"/>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80"/>
        <w:spacing w:after="0" w:line="308" w:lineRule="auto"/>
        <w:rPr>
          <w:sz w:val="20"/>
          <w:szCs w:val="20"/>
          <w:color w:val="auto"/>
        </w:rPr>
      </w:pPr>
      <w:r>
        <w:rPr>
          <w:rFonts w:ascii="Arial" w:cs="Arial" w:eastAsia="Arial" w:hAnsi="Arial"/>
          <w:sz w:val="17"/>
          <w:szCs w:val="17"/>
          <w:color w:val="auto"/>
        </w:rPr>
        <w:t>In the three and nine months ended September 30, 2020, the Company recorded settlement charges related to the payment of lump sum buy-outs to settle certain non-U.S. pension obligations using plan assets. The Company may incur additional settlement charges in 2020.</w:t>
      </w:r>
    </w:p>
    <w:p>
      <w:pPr>
        <w:spacing w:after="0" w:line="173" w:lineRule="exact"/>
        <w:rPr>
          <w:sz w:val="20"/>
          <w:szCs w:val="20"/>
          <w:color w:val="auto"/>
        </w:rPr>
      </w:pPr>
    </w:p>
    <w:p>
      <w:pPr>
        <w:ind w:left="480"/>
        <w:spacing w:after="0" w:line="308" w:lineRule="auto"/>
        <w:rPr>
          <w:sz w:val="20"/>
          <w:szCs w:val="20"/>
          <w:color w:val="auto"/>
        </w:rPr>
      </w:pPr>
      <w:r>
        <w:rPr>
          <w:rFonts w:ascii="Arial" w:cs="Arial" w:eastAsia="Arial" w:hAnsi="Arial"/>
          <w:sz w:val="17"/>
          <w:szCs w:val="17"/>
          <w:color w:val="auto"/>
        </w:rPr>
        <w:t>In the nine months ended September 30, 2019, the Company recorded a curtailment gain to recognize prior service credits that were previously recorded in accumulated other comprehensive income in connection with the closure of a non-U.S. defined benefit pension plan.</w:t>
      </w:r>
    </w:p>
    <w:p>
      <w:pPr>
        <w:spacing w:after="0" w:line="173"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06"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0"/>
                <w:szCs w:val="20"/>
                <w:color w:val="auto"/>
              </w:rPr>
            </w:pPr>
          </w:p>
        </w:tc>
        <w:tc>
          <w:tcPr>
            <w:tcW w:w="1820" w:type="dxa"/>
            <w:vAlign w:val="bottom"/>
            <w:gridSpan w:val="4"/>
          </w:tcPr>
          <w:p>
            <w:pPr>
              <w:jc w:val="center"/>
              <w:ind w:right="110"/>
              <w:spacing w:after="0"/>
              <w:rPr>
                <w:sz w:val="20"/>
                <w:szCs w:val="20"/>
                <w:color w:val="auto"/>
              </w:rPr>
            </w:pPr>
            <w:r>
              <w:rPr>
                <w:rFonts w:ascii="Arial" w:cs="Arial" w:eastAsia="Arial" w:hAnsi="Arial"/>
                <w:sz w:val="18"/>
                <w:szCs w:val="18"/>
                <w:color w:val="auto"/>
                <w:w w:val="92"/>
              </w:rPr>
              <w:t>Nine Months Ended</w:t>
            </w:r>
          </w:p>
        </w:tc>
        <w:tc>
          <w:tcPr>
            <w:tcW w:w="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340"/>
              <w:spacing w:after="0"/>
              <w:rPr>
                <w:sz w:val="20"/>
                <w:szCs w:val="20"/>
                <w:color w:val="auto"/>
              </w:rPr>
            </w:pPr>
            <w:r>
              <w:rPr>
                <w:rFonts w:ascii="Arial" w:cs="Arial" w:eastAsia="Arial" w:hAnsi="Arial"/>
                <w:sz w:val="18"/>
                <w:szCs w:val="18"/>
                <w:color w:val="auto"/>
              </w:rPr>
              <w:t>Details about accumulated other</w:t>
            </w:r>
          </w:p>
        </w:tc>
        <w:tc>
          <w:tcPr>
            <w:tcW w:w="200" w:type="dxa"/>
            <w:vAlign w:val="bottom"/>
          </w:tcPr>
          <w:p>
            <w:pPr>
              <w:spacing w:after="0"/>
              <w:rPr>
                <w:sz w:val="23"/>
                <w:szCs w:val="23"/>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3"/>
                <w:szCs w:val="23"/>
                <w:color w:val="auto"/>
              </w:rPr>
            </w:pPr>
          </w:p>
        </w:tc>
        <w:tc>
          <w:tcPr>
            <w:tcW w:w="182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23"/>
                <w:szCs w:val="23"/>
                <w:color w:val="auto"/>
              </w:rPr>
            </w:pPr>
          </w:p>
        </w:tc>
        <w:tc>
          <w:tcPr>
            <w:tcW w:w="2300" w:type="dxa"/>
            <w:vAlign w:val="bottom"/>
          </w:tcPr>
          <w:p>
            <w:pPr>
              <w:ind w:left="28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comprehensive income components</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vMerge w:val="restart"/>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Actuarial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89"/>
              </w:rPr>
              <w:t>70</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37</w:t>
            </w:r>
          </w:p>
        </w:tc>
        <w:tc>
          <w:tcPr>
            <w:tcW w:w="14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center"/>
              <w:ind w:left="290"/>
              <w:spacing w:after="0"/>
              <w:rPr>
                <w:sz w:val="20"/>
                <w:szCs w:val="20"/>
                <w:color w:val="auto"/>
              </w:rPr>
            </w:pPr>
            <w:r>
              <w:rPr>
                <w:rFonts w:ascii="Arial" w:cs="Arial" w:eastAsia="Arial" w:hAnsi="Arial"/>
                <w:sz w:val="18"/>
                <w:szCs w:val="18"/>
                <w:color w:val="auto"/>
                <w:w w:val="93"/>
              </w:rPr>
              <w:t>(25)</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(14)</w:t>
            </w:r>
          </w:p>
        </w:tc>
        <w:tc>
          <w:tcPr>
            <w:tcW w:w="1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color w:val="auto"/>
                <w:w w:val="89"/>
              </w:rPr>
              <w:t>68</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(13)</w:t>
            </w:r>
          </w:p>
        </w:tc>
        <w:tc>
          <w:tcPr>
            <w:tcW w:w="14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64"/>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22"/>
                <w:szCs w:val="22"/>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currency</w:t>
            </w: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flow hedges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27"/>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8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4">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9">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64"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and deferred stock transactions during the nine months ended September 30, 2020 is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Number of shares</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2020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2,102,654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Time-vesting shares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284,093</w:t>
            </w:r>
          </w:p>
        </w:tc>
      </w:tr>
      <w:tr>
        <w:trPr>
          <w:trHeight w:val="243"/>
        </w:trPr>
        <w:tc>
          <w:tcPr>
            <w:tcW w:w="7860" w:type="dxa"/>
            <w:vAlign w:val="bottom"/>
          </w:tcPr>
          <w:p>
            <w:pPr>
              <w:ind w:left="320"/>
              <w:spacing w:after="0"/>
              <w:rPr>
                <w:sz w:val="20"/>
                <w:szCs w:val="20"/>
                <w:color w:val="auto"/>
              </w:rPr>
            </w:pPr>
            <w:r>
              <w:rPr>
                <w:rFonts w:ascii="Arial" w:cs="Arial" w:eastAsia="Arial" w:hAnsi="Arial"/>
                <w:sz w:val="18"/>
                <w:szCs w:val="18"/>
                <w:color w:val="auto"/>
              </w:rPr>
              <w:t>Performance-based shares</w:t>
            </w:r>
          </w:p>
        </w:tc>
        <w:tc>
          <w:tcPr>
            <w:tcW w:w="1660" w:type="dxa"/>
            <w:vAlign w:val="bottom"/>
          </w:tcPr>
          <w:p>
            <w:pPr>
              <w:jc w:val="right"/>
              <w:spacing w:after="0"/>
              <w:rPr>
                <w:sz w:val="20"/>
                <w:szCs w:val="20"/>
                <w:color w:val="auto"/>
              </w:rPr>
            </w:pPr>
            <w:r>
              <w:rPr>
                <w:rFonts w:ascii="Arial" w:cs="Arial" w:eastAsia="Arial" w:hAnsi="Arial"/>
                <w:sz w:val="18"/>
                <w:szCs w:val="18"/>
                <w:color w:val="auto"/>
              </w:rPr>
              <w:t>166,018</w:t>
            </w:r>
          </w:p>
        </w:tc>
      </w:tr>
      <w:tr>
        <w:trPr>
          <w:trHeight w:val="27"/>
        </w:trPr>
        <w:tc>
          <w:tcPr>
            <w:tcW w:w="78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20"/>
              <w:spacing w:after="0"/>
              <w:rPr>
                <w:sz w:val="20"/>
                <w:szCs w:val="20"/>
                <w:color w:val="auto"/>
              </w:rPr>
            </w:pPr>
            <w:r>
              <w:rPr>
                <w:rFonts w:ascii="Arial" w:cs="Arial" w:eastAsia="Arial" w:hAnsi="Arial"/>
                <w:sz w:val="18"/>
                <w:szCs w:val="18"/>
                <w:color w:val="auto"/>
              </w:rPr>
              <w:t>Time-vesting shares</w:t>
            </w:r>
          </w:p>
        </w:tc>
        <w:tc>
          <w:tcPr>
            <w:tcW w:w="1660" w:type="dxa"/>
            <w:vAlign w:val="bottom"/>
          </w:tcPr>
          <w:p>
            <w:pPr>
              <w:jc w:val="right"/>
              <w:spacing w:after="0"/>
              <w:rPr>
                <w:sz w:val="20"/>
                <w:szCs w:val="20"/>
                <w:color w:val="auto"/>
              </w:rPr>
            </w:pPr>
            <w:r>
              <w:rPr>
                <w:rFonts w:ascii="Arial" w:cs="Arial" w:eastAsia="Arial" w:hAnsi="Arial"/>
                <w:sz w:val="18"/>
                <w:szCs w:val="18"/>
                <w:color w:val="auto"/>
              </w:rPr>
              <w:t>(142,481)</w:t>
            </w:r>
          </w:p>
        </w:tc>
      </w:tr>
      <w:tr>
        <w:trPr>
          <w:trHeight w:val="27"/>
        </w:trPr>
        <w:tc>
          <w:tcPr>
            <w:tcW w:w="78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Performance-based shares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(181,705)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Time-vesting shares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(80,421)</w:t>
            </w:r>
          </w:p>
        </w:tc>
      </w:tr>
      <w:tr>
        <w:trPr>
          <w:trHeight w:val="243"/>
        </w:trPr>
        <w:tc>
          <w:tcPr>
            <w:tcW w:w="7860" w:type="dxa"/>
            <w:vAlign w:val="bottom"/>
          </w:tcPr>
          <w:p>
            <w:pPr>
              <w:ind w:left="320"/>
              <w:spacing w:after="0"/>
              <w:rPr>
                <w:sz w:val="20"/>
                <w:szCs w:val="20"/>
                <w:color w:val="auto"/>
              </w:rPr>
            </w:pPr>
            <w:r>
              <w:rPr>
                <w:rFonts w:ascii="Arial" w:cs="Arial" w:eastAsia="Arial" w:hAnsi="Arial"/>
                <w:sz w:val="18"/>
                <w:szCs w:val="18"/>
                <w:color w:val="auto"/>
              </w:rPr>
              <w:t>Performance-based shares</w:t>
            </w:r>
          </w:p>
        </w:tc>
        <w:tc>
          <w:tcPr>
            <w:tcW w:w="1660" w:type="dxa"/>
            <w:vAlign w:val="bottom"/>
          </w:tcPr>
          <w:p>
            <w:pPr>
              <w:jc w:val="right"/>
              <w:spacing w:after="0"/>
              <w:rPr>
                <w:sz w:val="20"/>
                <w:szCs w:val="20"/>
                <w:color w:val="auto"/>
              </w:rPr>
            </w:pPr>
            <w:r>
              <w:rPr>
                <w:rFonts w:ascii="Arial" w:cs="Arial" w:eastAsia="Arial" w:hAnsi="Arial"/>
                <w:sz w:val="18"/>
                <w:szCs w:val="18"/>
                <w:color w:val="auto"/>
              </w:rPr>
              <w:t>(7,651)</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September 30, 2020</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2,140,507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awards subject to a performance condition, the performance metric is the Company's average return on invested capital over the three-year term. These awards cliff vest at the end of three years. The number of performance-based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shares that will ultimately vest is based on the level of performance achieved, ranging between 0% and 200% of the shares originally awarded, and are settled in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weighted average grant-date fair values of awards issued during the nine months ended September 30, 2020 were $69.85 for the time-vesting stock awards and $72.08 for the performance-based stock awards.</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fair value of the performance-based shares subject to a market condition awarded in 2020 was calculated using a Monte Carlo valuation model, including a weighted average stock price volatility of 22.0%, an expected term of three years, and a weighted average risk-free interest rate of 1.60%.</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September 30, 2020, unrecognized compensation cost related to outstanding non-vested stock awards was $69. The weighted average period over which the expense is expected to be recognized is 2.7 years. The aggregate market value of the shares released on the vesting dates was $22 for the nine months ended September 30, 2020.</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September 30, 2020 and 2019, the Company recognized revenue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8"/>
                <w:szCs w:val="18"/>
                <w:color w:val="auto"/>
              </w:rPr>
              <w:t>Nine Months Ended</w:t>
            </w:r>
          </w:p>
        </w:tc>
      </w:tr>
      <w:tr>
        <w:trPr>
          <w:trHeight w:val="270"/>
        </w:trPr>
        <w:tc>
          <w:tcPr>
            <w:tcW w:w="4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3"/>
                <w:szCs w:val="23"/>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Revenue recognized at a point in time</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7"/>
        </w:trPr>
        <w:tc>
          <w:tcPr>
            <w:tcW w:w="4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3">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2"/>
          </w:tcPr>
          <w:p>
            <w:pPr>
              <w:ind w:left="4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0"/>
                <w:szCs w:val="20"/>
                <w:color w:val="auto"/>
              </w:rPr>
            </w:pPr>
          </w:p>
        </w:tc>
        <w:tc>
          <w:tcPr>
            <w:tcW w:w="1680" w:type="dxa"/>
            <w:vAlign w:val="bottom"/>
          </w:tcPr>
          <w:p>
            <w:pPr>
              <w:ind w:left="40"/>
              <w:spacing w:after="0"/>
              <w:rPr>
                <w:sz w:val="20"/>
                <w:szCs w:val="20"/>
                <w:color w:val="auto"/>
              </w:rPr>
            </w:pPr>
            <w:r>
              <w:rPr>
                <w:rFonts w:ascii="Arial" w:cs="Arial" w:eastAsia="Arial" w:hAnsi="Arial"/>
                <w:sz w:val="18"/>
                <w:szCs w:val="18"/>
                <w:color w:val="auto"/>
              </w:rPr>
              <w:t>December 31, 2019</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42</w:t>
            </w: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30</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60" w:type="dxa"/>
            <w:vAlign w:val="bottom"/>
          </w:tcPr>
          <w:p>
            <w:pPr>
              <w:spacing w:after="0"/>
              <w:rPr>
                <w:sz w:val="21"/>
                <w:szCs w:val="21"/>
                <w:color w:val="auto"/>
              </w:rPr>
            </w:pPr>
          </w:p>
        </w:tc>
        <w:tc>
          <w:tcPr>
            <w:tcW w:w="1680" w:type="dxa"/>
            <w:vAlign w:val="bottom"/>
          </w:tcPr>
          <w:p>
            <w:pPr>
              <w:ind w:left="1440"/>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ind w:left="1440"/>
              <w:spacing w:after="0"/>
              <w:rPr>
                <w:sz w:val="20"/>
                <w:szCs w:val="20"/>
                <w:color w:val="auto"/>
              </w:rPr>
            </w:pPr>
            <w:r>
              <w:rPr>
                <w:rFonts w:ascii="Arial" w:cs="Arial" w:eastAsia="Arial" w:hAnsi="Arial"/>
                <w:sz w:val="18"/>
                <w:szCs w:val="18"/>
                <w:color w:val="auto"/>
                <w:w w:val="99"/>
              </w:rPr>
              <w:t>(5)</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41</w:t>
            </w: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25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Contract assets at September 30, 2020 primarily relates to revenue recognized for customized work-in-process inventory in the Company's equipment business and European three-piece food can product businesses.</w:t>
      </w:r>
    </w:p>
    <w:p>
      <w:pPr>
        <w:spacing w:after="0" w:line="19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During the nine months ended September 30, 2020, the Company recognized revenue of $4 related to contract liabilities at December 31, 2019 for performance obligations satisfied during the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color w:val="auto"/>
                <w:w w:val="89"/>
              </w:rPr>
              <w:t>2019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43"/>
        </w:trPr>
        <w:tc>
          <w:tcPr>
            <w:tcW w:w="4580" w:type="dxa"/>
            <w:vAlign w:val="bottom"/>
          </w:tcPr>
          <w:p>
            <w:pPr>
              <w:ind w:left="320"/>
              <w:spacing w:after="0"/>
              <w:rPr>
                <w:sz w:val="20"/>
                <w:szCs w:val="20"/>
                <w:color w:val="auto"/>
              </w:rPr>
            </w:pPr>
            <w:r>
              <w:rPr>
                <w:rFonts w:ascii="Arial" w:cs="Arial" w:eastAsia="Arial" w:hAnsi="Arial"/>
                <w:sz w:val="18"/>
                <w:szCs w:val="18"/>
                <w:color w:val="auto"/>
              </w:rPr>
              <w:t>Dilutive restricted stock</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4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4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nine months ended September 30, 2020, 0.7 million contingently issuable common shares were excluded from the computation of diluted earnings per share because the effect would be anti-dilutive.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nine months ended September 30, 2019, 0.2 million and 0.6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3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00" w:lineRule="exact"/>
        <w:rPr>
          <w:sz w:val="20"/>
          <w:szCs w:val="20"/>
          <w:color w:val="auto"/>
        </w:rPr>
      </w:pP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center"/>
              <w:ind w:right="68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89"/>
              </w:rPr>
              <w:t>External Sales</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center"/>
              <w:ind w:right="6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4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60" w:type="dxa"/>
            <w:vAlign w:val="bottom"/>
            <w:gridSpan w:val="5"/>
          </w:tcPr>
          <w:p>
            <w:pPr>
              <w:jc w:val="center"/>
              <w:ind w:right="6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7,573</w:t>
            </w: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7,849</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3,167</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4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8,613</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8,874</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240"/>
          </w:cols>
          <w:pgMar w:left="320" w:top="121" w:right="339" w:bottom="8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04" w:gutter="0" w:footer="0" w:header="0"/>
          <w:type w:val="continuous"/>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2060" w:type="dxa"/>
            <w:vAlign w:val="bottom"/>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454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6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4540" w:type="dxa"/>
            <w:vAlign w:val="bottom"/>
          </w:tcPr>
          <w:p>
            <w:pPr>
              <w:spacing w:after="0"/>
              <w:rPr>
                <w:sz w:val="23"/>
                <w:szCs w:val="23"/>
                <w:color w:val="auto"/>
              </w:rPr>
            </w:pPr>
          </w:p>
        </w:tc>
        <w:tc>
          <w:tcPr>
            <w:tcW w:w="2060" w:type="dxa"/>
            <w:vAlign w:val="bottom"/>
            <w:gridSpan w:val="4"/>
          </w:tcPr>
          <w:p>
            <w:pPr>
              <w:jc w:val="center"/>
              <w:ind w:left="21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7"/>
        </w:trPr>
        <w:tc>
          <w:tcPr>
            <w:tcW w:w="45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7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7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4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53</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59</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7"/>
          </w:tcPr>
          <w:p>
            <w:pPr>
              <w:jc w:val="center"/>
              <w:ind w:right="660"/>
              <w:spacing w:after="0"/>
              <w:rPr>
                <w:sz w:val="20"/>
                <w:szCs w:val="20"/>
                <w:color w:val="auto"/>
              </w:rPr>
            </w:pPr>
            <w:r>
              <w:rPr>
                <w:rFonts w:ascii="Arial" w:cs="Arial" w:eastAsia="Arial" w:hAnsi="Arial"/>
                <w:sz w:val="18"/>
                <w:szCs w:val="18"/>
                <w:color w:val="auto"/>
                <w:w w:val="89"/>
              </w:rPr>
              <w:t>Segment Income</w:t>
            </w:r>
          </w:p>
        </w:tc>
        <w:tc>
          <w:tcPr>
            <w:tcW w:w="260" w:type="dxa"/>
            <w:vAlign w:val="bottom"/>
          </w:tcPr>
          <w:p>
            <w:pPr>
              <w:spacing w:after="0"/>
              <w:rPr>
                <w:sz w:val="20"/>
                <w:szCs w:val="20"/>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Segment Income</w:t>
            </w:r>
          </w:p>
        </w:tc>
      </w:tr>
      <w:tr>
        <w:trPr>
          <w:trHeight w:val="27"/>
        </w:trPr>
        <w:tc>
          <w:tcPr>
            <w:tcW w:w="4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7"/>
          </w:tcPr>
          <w:p>
            <w:pPr>
              <w:jc w:val="center"/>
              <w:ind w:right="68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0"/>
                <w:szCs w:val="20"/>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4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7"/>
          </w:tcPr>
          <w:p>
            <w:pPr>
              <w:jc w:val="center"/>
              <w:ind w:right="68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3"/>
                <w:szCs w:val="23"/>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r>
      <w:tr>
        <w:trPr>
          <w:trHeight w:val="27"/>
        </w:trPr>
        <w:tc>
          <w:tcPr>
            <w:tcW w:w="4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4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33"/>
        </w:trPr>
        <w:tc>
          <w:tcPr>
            <w:tcW w:w="7600" w:type="dxa"/>
            <w:vAlign w:val="bottom"/>
            <w:gridSpan w:val="11"/>
          </w:tcPr>
          <w:p>
            <w:pPr>
              <w:spacing w:after="0"/>
              <w:rPr>
                <w:sz w:val="20"/>
                <w:szCs w:val="20"/>
                <w:color w:val="auto"/>
              </w:rPr>
            </w:pPr>
            <w:r>
              <w:rPr>
                <w:rFonts w:ascii="Arial" w:cs="Arial" w:eastAsia="Arial" w:hAnsi="Arial"/>
                <w:sz w:val="18"/>
                <w:szCs w:val="18"/>
                <w:color w:val="auto"/>
                <w:w w:val="91"/>
              </w:rPr>
              <w:t>A reconciliation of segment income of reportable segments to income before income taxes is as follows: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4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7"/>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3"/>
                <w:szCs w:val="23"/>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4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7"/>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3"/>
                <w:szCs w:val="23"/>
                <w:color w:val="auto"/>
              </w:rPr>
            </w:pPr>
          </w:p>
        </w:tc>
        <w:tc>
          <w:tcPr>
            <w:tcW w:w="210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2020, intercompany profits of less than $1 and $5 were eliminated within segment income of non-reportable segments.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2019, intercompany profits of $1 and $5 were eliminated within segment income of non-reportable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ectPr>
          <w:pgSz w:w="11900" w:h="16838" w:orient="portrait"/>
          <w:cols w:equalWidth="0" w:num="1">
            <w:col w:w="10580"/>
          </w:cols>
          <w:pgMar w:left="980" w:top="121" w:right="339" w:bottom="642"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642"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nine months ended September 30, 2020 compared to 2019 and changes in financial condition and liquidity from December 31, 2019. This discussion should be read in conjunction with the consolidated financial statements and notes thereto included in the Company's Annual Report on Form 10-K for the year ended December 31, 2019,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For several years, global industry demand for beverage cans has been growing. In North America, beverage can growth has accelerated mainly due to the outsized portion of new beverage products being introduced in cans versus other packaging formats. In addition, markets such as Brazil, Europe, Mexico and Southeast Asia have also experienced higher volumes and market expansion. While the Company expects beverage can demand to continue to grow in the coming years, the impact of the coronavirus pandemic could weaken demand in the near term in certain areas.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to its beverage can operations, the Company has generated strong returns on invested capital and significant cash flow from its non-beverage can operations including its global food can and transit packaging businesses. Due to the impact of the coronavirus pandemic, the Company expects lower demand in several of the industries served by its transit packaging businesses.</w:t>
      </w:r>
    </w:p>
    <w:p>
      <w:pPr>
        <w:spacing w:after="0" w:line="211" w:lineRule="exact"/>
        <w:rPr>
          <w:sz w:val="20"/>
          <w:szCs w:val="20"/>
          <w:color w:val="auto"/>
        </w:rPr>
      </w:pPr>
    </w:p>
    <w:p>
      <w:pPr>
        <w:jc w:val="both"/>
        <w:ind w:left="660" w:right="20"/>
        <w:spacing w:after="0" w:line="301" w:lineRule="auto"/>
        <w:rPr>
          <w:sz w:val="20"/>
          <w:szCs w:val="20"/>
          <w:color w:val="auto"/>
        </w:rPr>
      </w:pPr>
      <w:r>
        <w:rPr>
          <w:rFonts w:ascii="Arial" w:cs="Arial" w:eastAsia="Arial" w:hAnsi="Arial"/>
          <w:sz w:val="16"/>
          <w:szCs w:val="16"/>
          <w:color w:val="auto"/>
        </w:rPr>
        <w:t>The Company's primary capital allocation focus has been to reduce leverage, as was successfully accomplished following previous acquisitions, and to begin to return capital to its shareholders. In November 2019, the Company announced a Board-led review of the Company's portfolio and capital allocation strategy, which is ongoing. In October 2020, the Company announced that it intends to initiate regular quarterly dividends and a share repurchase program in 2021. The actual amount and timing of these programs will be determined by the Board of Directors.</w:t>
      </w:r>
    </w:p>
    <w:p>
      <w:pPr>
        <w:spacing w:after="0" w:line="18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direct response to the coronavirus pandemic, the Company has taken specific actions to ensure the safety of its employees. Following the implementation of travel and visitor restrictions in February, the Company continues to update its policies as new information becomes available. The Company has increased safety measures in its manufacturing facilities to protect the safety of its employees and the products they produce. In addition, as many employees as possible are working remotely.</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Company is also working to actively elevate its industry-leading commitment to sustainability. In July 2020, the Company debuted Twentyby30, a robust program that outlines twenty measurable environmental, social and governance goals to be completed by 2030 or sooner.</w:t>
      </w:r>
    </w:p>
    <w:p>
      <w:pPr>
        <w:spacing w:after="0" w:line="14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and Transit Packaging segments and the Canadian dollar and Mexican peso in the Company's Americas Beverage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0"/>
        </w:trPr>
        <w:tc>
          <w:tcPr>
            <w:tcW w:w="23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center"/>
              <w:ind w:right="68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23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60" w:type="dxa"/>
            <w:vAlign w:val="bottom"/>
            <w:gridSpan w:val="5"/>
          </w:tcPr>
          <w:p>
            <w:pPr>
              <w:jc w:val="center"/>
              <w:ind w:right="68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7"/>
        </w:trPr>
        <w:tc>
          <w:tcPr>
            <w:tcW w:w="2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2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r>
      <w:tr>
        <w:trPr>
          <w:trHeight w:val="27"/>
        </w:trPr>
        <w:tc>
          <w:tcPr>
            <w:tcW w:w="23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8% higher beverage can shipments and 9% higher food can shipments partially offset by the pass-through of lower raw material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decreased primarily due to the pass through of lower raw material costs and $105 from the impact of foreign currency translation, partially offset by 4% higher beverage can shipments and 8% higher food can shipments.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market growth due to the introduction of new beverage products in cans versus other packaging formats. To meet volume requirements in the U.S. and Canadian beverage can markets, the Company began commercial production on a new beverage can line at its Toronto, Ontario plant in January 2020 and on the third line at its Nichols, NY facility in June 2020. The Company also announced a new beverage can facility in Bowling Green, Kentucky, which is expected to begin production in the second quarter of 2021. The Company will add a second line to that facility with a late third quarter 2021 planned start-up. Additionally, the Company announced it will construct a third line at its Olympia, Washington plant which is scheduled to begin production during the third quarter of 2021.</w:t>
      </w:r>
    </w:p>
    <w:p>
      <w:pPr>
        <w:spacing w:after="0" w:line="19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Brazil and Mexico, the Company's beverage can shipments have increased in recent years primarily due to market growth driven by increased per capita incomes and consumption, combined with an increased preference for cans over other packaging formats. In November 2019, the Company commenced operations at a new one-line beverage can facility in Rio Verde, Brazil. The Company will construct a second line at this facility which is expected to commence operations during the third quarter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increased primarily due to 17% higher beverage can shipments partially offset by $27 from the impact of foreign currency translation.</w:t>
      </w:r>
    </w:p>
    <w:p>
      <w:pPr>
        <w:spacing w:after="0" w:line="27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Segment income increased due to higher beverage can shipments and improved pricing, partially offset by $7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Net sales increased primarily due 9% higher beverage can shipments, partially offset by $70 from the impact of foreign currency translation and the pass-through of lower aluminum costs.</w:t>
      </w:r>
    </w:p>
    <w:p>
      <w:pPr>
        <w:spacing w:after="0" w:line="197"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Segment income increased primarily due to higher beverage can shipments, improved pricing and lower freight costs in the U.S. and Canada, partially offset by $15 from the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2019, the second line at the beverage can plant in Valencia, Spain began operations. In the second quarter of 2020, both beverage can lines in the Seville, Spain plant began commercial production of aluminum cans.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Net sales were comparable as $13 from the impact of foreign currency translation and 3% higher beverage can shipments were partially offset by the pass-through of lower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cost reduction initiatives and higher beverage can shipments.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Net sales decreased primarily due to lower beverage can shipments due to the coronavirus pandemic and the pass-through of lower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lower beverage can shipments partially offset by cost reduction initiatives.</w:t>
      </w:r>
    </w:p>
    <w:p>
      <w:pPr>
        <w:sectPr>
          <w:pgSz w:w="11900" w:h="16838" w:orient="portrait"/>
          <w:cols w:equalWidth="0" w:num="1">
            <w:col w:w="11240"/>
          </w:cols>
          <w:pgMar w:left="320" w:top="121" w:right="339" w:bottom="723"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23"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10% higher food can shipments and $20 from the impact of foreign currency translation, partially offset by the pass-through of lower raw material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due to higher food can shipments and $3 from the impact of foreign currency translation.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Net sales increased primarily due to 8% higher food can shipments, partially offset by the pass-through of lower raw material costs and $5 from the impact of foreign currency translation.</w:t>
      </w:r>
    </w:p>
    <w:p>
      <w:pPr>
        <w:spacing w:after="0" w:line="103"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Segment income was comparable as higher food can shipments and improved cost performance were partially offset by $18 arising from the carryover of higher tinplate costs from prior year-end inventory.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6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The Company commenced operations at a new beverage can plant in Nong Khae, Thailand in July 2020. In response to market conditions in China, the Company closed its Huizhou facility in early 2019. Following this closure, the Company has three beverage can plants in China with approximately $75 in annual sales.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6"/>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nine months ended September 30, 2020 compared to 2019</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decreased primarily due to lower beverage can shipments due to the impact of the coronavirus pandemic and the pass-through of lower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lower beverage can shipments.</w:t>
      </w:r>
    </w:p>
    <w:p>
      <w:pPr>
        <w:sectPr>
          <w:pgSz w:w="11900" w:h="16838" w:orient="portrait"/>
          <w:cols w:equalWidth="0" w:num="1">
            <w:col w:w="11240"/>
          </w:cols>
          <w:pgMar w:left="320" w:top="121" w:right="339" w:bottom="7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7"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Transit Packaging segment includes the Company's global consumables and equipment and tools businesses. Consumables include steel strap, plastic strap and industrial film and other related products that are used in a wide range of industries, and transit protection products that help prevent movement during transport for a wide range of industrial and consumer products. Equipment and tools includes manual, semi-automatic and automatic equipment and tools used in end-of-line operations to apply industrial solutions consumables.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00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00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511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564</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and the pass-through of lower raw material prices.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was comparable as lower sales unit volumes were partially offset by improved product mix and cost performance.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Net sales decreased primarily due to lower sales unit volumes due to the impact of the coronavirus pandemic, the pass-through of lower raw material prices and $18 from the impact of foreign currency translation.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Segment income decreased primarily due to lower sales unit volumes, partially offset by improved product mix and cost performance.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non-reportable segments include its food can and closures businesses in North America, its aerosol can businesses in North America and Europe, and its tooling and equipment operations in the U.S. and U.K.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were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2020 compared to 2019</w:t>
      </w:r>
    </w:p>
    <w:p>
      <w:pPr>
        <w:spacing w:after="0" w:line="252"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Net sales and segment increased primarily due to higher sales in the Company's beverage can equipment operations and 9% higher shipments in the Company's North America food can business, partially offset by lower shipments in the Company's global aerosol can businesses. Net sales were also unfavorably impacted by the pass-through of lower tinplate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2020 compared to 2019</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Net sales increased as higher sales in the Company's beverage can equipment operations and 11% higher shipments in the Company's North America food can business were partially offset by lower shipments in the Company's global aerosol can businesses, the pass-through of lower tinplate costs and $8 from the impact of foreign currency translation.</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Segment income decreased primarily due to $16 arising from the carryover of higher tinplate costs from the prior year-end inventory and lower shipments in the Company's global aerosol can businesses, partially offset by higher sales in the Company's beverage can equipment operations and higher shipments in the Company's North America food can business.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Corporate and Unallocated Expense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34"/>
        </w:trPr>
        <w:tc>
          <w:tcPr>
            <w:tcW w:w="27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08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27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08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7"/>
        </w:trPr>
        <w:tc>
          <w:tcPr>
            <w:tcW w:w="2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r>
      <w:tr>
        <w:trPr>
          <w:trHeight w:val="27"/>
        </w:trPr>
        <w:tc>
          <w:tcPr>
            <w:tcW w:w="4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27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September 30, 2020 compared to 2019, corporate and unallocated expenses increased primarily due to higher personnel costs and incentive compensation.</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nine months ended September 30, 2020 compared to 2019, corporate and unallocated expenses increased primarily due higher incentive compensation costs, partially offset by lower personnel and general costs due to the coronavirus pandemic.</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nine months ended September 30, 2020 compared to 2019, interest expense decreased from $95 to $72 and from $290 to $228 due to lower average outstanding debt and lower interest rates.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income tax rate was as follows:</w:t>
      </w:r>
    </w:p>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5"/>
          </w:tcPr>
          <w:p>
            <w:pPr>
              <w:jc w:val="right"/>
              <w:ind w:right="21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5"/>
          </w:tcPr>
          <w:p>
            <w:pPr>
              <w:jc w:val="right"/>
              <w:ind w:right="250"/>
              <w:spacing w:after="0"/>
              <w:rPr>
                <w:sz w:val="20"/>
                <w:szCs w:val="20"/>
                <w:color w:val="auto"/>
              </w:rPr>
            </w:pPr>
            <w:r>
              <w:rPr>
                <w:rFonts w:ascii="Arial" w:cs="Arial" w:eastAsia="Arial" w:hAnsi="Arial"/>
                <w:sz w:val="18"/>
                <w:szCs w:val="18"/>
                <w:color w:val="auto"/>
              </w:rPr>
              <w:t>Nine Months Ended</w:t>
            </w:r>
          </w:p>
        </w:tc>
        <w:tc>
          <w:tcPr>
            <w:tcW w:w="200" w:type="dxa"/>
            <w:vAlign w:val="bottom"/>
          </w:tcPr>
          <w:p>
            <w:pPr>
              <w:spacing w:after="0"/>
              <w:rPr>
                <w:sz w:val="20"/>
                <w:szCs w:val="20"/>
                <w:color w:val="auto"/>
              </w:rPr>
            </w:pPr>
          </w:p>
        </w:tc>
      </w:tr>
      <w:tr>
        <w:trPr>
          <w:trHeight w:val="270"/>
        </w:trPr>
        <w:tc>
          <w:tcPr>
            <w:tcW w:w="4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5"/>
          </w:tcPr>
          <w:p>
            <w:pPr>
              <w:jc w:val="right"/>
              <w:ind w:right="45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5"/>
          </w:tcPr>
          <w:p>
            <w:pPr>
              <w:jc w:val="right"/>
              <w:ind w:right="45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23"/>
                <w:szCs w:val="23"/>
                <w:color w:val="auto"/>
              </w:rPr>
            </w:pPr>
          </w:p>
        </w:tc>
      </w:tr>
      <w:tr>
        <w:trPr>
          <w:trHeight w:val="27"/>
        </w:trPr>
        <w:tc>
          <w:tcPr>
            <w:tcW w:w="4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effective tax rate for the three and nine months ended September 30, 2020, included a charge of $8 related to a tax law change in the U.K. The nine months ended September 30, 2020, also included a benefit of $4 arising from a tax law change in India.</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effective tax rate for the nine months ended September 30, 2019 included a charge of $15 to settle a tax contingency arising from a transaction that occurred prior to the Company's acquisition of Signode.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September 30, 2020 compared to 2019, net income attributable to noncontrolling interests increased from $21 to $31 due to higher earnings in the Company's beverage can operations in Brazil.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For the nine months ended September 30, 2020 compared to 2019, net income attributable to noncontrolling interest decreased from $86 to $72 primarily due to higher income in Brazil in 2019 related to a favorable court ruling for one of the Company's Brazilian subsidiaries related to indirect taxes.</w:t>
      </w:r>
    </w:p>
    <w:p>
      <w:pPr>
        <w:spacing w:after="0" w:line="20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provided by operating activities increased from $201 for the nine months ended September 30, 2019 to $309 for the nine months ended September 30, 2020. The increase was primarily due to higher earnings and changes in working capital.</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39 days as of September 30, 2019 compared to 38 days as of September 30, 2020.</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Inventory turnover was 64 days at September 30, 2019 compared to 63 days at September 30, 2020. Inventory turnover at September 30, 2020 was comparable to 63 days at December 31, 2019.</w:t>
      </w:r>
    </w:p>
    <w:p>
      <w:pPr>
        <w:spacing w:after="0" w:line="197"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was 88 days at September 30, 2019 compared to 89 days at September 30,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used for investing activities increased from $216 for the nine months ended September 30, 2019 to $309 for the nine months ended September 30, 2020 primarily due to increased capital expenditures.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2020 to be approximately $600.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Financing activities used cash of $245 for the nine months ended September 30, 2019 and provided cash of $26 for the nine months ended September 30, 2020. The Company had higher net borrowings in 2019. Additionally, during the nine months ended September 30, 2020, the Company repurchased $58 of capital stock and had an inflow related to foreign exchange derivatives related to debt.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September 30, 2020, $538 of the Company's $613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$49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219"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As of September 30, 2020, the Company had $1,585 of borrowing capacity available under its revolving credit facility, equal to the total facility of $1,650 less outstanding standby letters of credit of $65. The Company did not have any outstanding borrowings under the facility at September 30, 2020. The Company could have borrowed this amount at September 30, 2020 and still been in compliance with its leverage ratio covenants. The Company's net total leverage ratio, as defined by the credit agreement, of 4.38 to 1.0 at September 30, 2020 was in compliance with the covenant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requiring a ratio of no greater than 5.75 to 1.0. The required net total leverage ratio under the agreement reduces to 5.0 to 1.0 at December 31, 2020 and 4.5 to 1.0 at December 31, 2022.</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2020, the Company had approximately $120 of capital commitments primarily related to its Americas Beverage segment.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fund these commitments primarily through cash flows from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nine months ended September 30, 2020 there were no material changes to the Company's contractual obligations provided within Part II, Item 7, “Management's Discussion and Analysis of Financial Condition and Results of Operations” of the Company's Annual Report on Form 10-K for the year ended December 31, 2019, which information is incorporated herein by reference.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As disclosed in </w:t>
      </w:r>
      <w:hyperlink w:anchor="page18">
        <w:r>
          <w:rPr>
            <w:rFonts w:ascii="Arial" w:cs="Arial" w:eastAsia="Arial" w:hAnsi="Arial"/>
            <w:sz w:val="18"/>
            <w:szCs w:val="18"/>
            <w:u w:val="single" w:color="auto"/>
            <w:color w:val="0000FF"/>
          </w:rPr>
          <w:t>Note K</w:t>
        </w:r>
      </w:hyperlink>
      <w:r>
        <w:rPr>
          <w:rFonts w:ascii="Arial" w:cs="Arial" w:eastAsia="Arial" w:hAnsi="Arial"/>
          <w:sz w:val="18"/>
          <w:szCs w:val="18"/>
          <w:color w:val="auto"/>
        </w:rPr>
        <w:t>, the Company has senior notes and debentures outstanding, which have various guarantees.</w:t>
      </w:r>
    </w:p>
    <w:p>
      <w:pPr>
        <w:spacing w:after="0" w:line="252"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outstanding $350 principal amount of 7.375% senior notes due 2026 and $40 principal amount 7.5% senior notes due 2096 were issued by Crown Cork &amp; Seal Company, Inc. (Crown Cork Issuer), a 100% owned subsidiary of the Company and are fully and unconditionally guaranteed by Crown Holdings, Inc. (Parent). No other subsidiary guarantees the debt and the guarantees are made on a joint and several basis.</w:t>
      </w:r>
    </w:p>
    <w:p>
      <w:pPr>
        <w:spacing w:after="0" w:line="17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Company’s $1,000 principal amount 4.5% senior notes due 2023, $400 principal amount of 4.25% senior notes due 2026, and $875 principal amount of 4.75% senior notes due 2026 were issued by Crown Americas LLC and Crown Americas Capital Corp. IV, Crown Americas Capital Corp. V and Crown Americas Capital Corp. VI, respectively (collectively, the Crown Americas Issuer), each a 100% owned subsidiary of the Company, and are fully and unconditionally guaranteed by the Parent and substantially all of its subsidiaries in the United States. Each of the guarantors to these senior notes (collectively, the Crown Americas Guarantors) is a 100% owned subsidiary of the Company and the guarantees are made on a joint and several basis. The other subsidiaries of the Company do not guarantee the debt.</w:t>
      </w:r>
    </w:p>
    <w:p>
      <w:pPr>
        <w:spacing w:after="0" w:line="2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senior notes described above and issued by the Crown Cork Issuer and the Crown Americas Issuer are collectively referred to as the senior notes, the Crown Cork Issuer and the Crown Americas Issuer are collectively referred to as the issuers, the Parent and the Crown Americas Guarantors are collectively referred to as the guarantors and the subsidiaries of the Company that do not guarantee the senior notes are collectively referred to as the non-guarantors.</w:t>
      </w:r>
    </w:p>
    <w:p>
      <w:pPr>
        <w:spacing w:after="0" w:line="21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Each of the Parent (in the case of the senior notes issued by the Crown Cork Issuer) and the Crown Americas Guarantors (in the case of the senior notes issued by the Crown Americas Issuer) guarantee the payment of the principal and premium, if any, and interest on the senior notes when due, whether at stated maturity of the senior notes, by acceleration, call for redemption or otherwise, together with interest on the overdue principal, if any, and interest on any overdue interest, to the extent lawful, and all other obligations of the Company to the holders of the senior notes and to the trustee under the applicable indenture governing the senior notes.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notes and guarantees are senior unsecured obligations of the issuers and the guarantors, and are</w:t>
      </w:r>
    </w:p>
    <w:p>
      <w:pPr>
        <w:spacing w:after="0" w:line="252" w:lineRule="exact"/>
        <w:rPr>
          <w:sz w:val="20"/>
          <w:szCs w:val="20"/>
          <w:color w:val="auto"/>
        </w:rPr>
      </w:pPr>
    </w:p>
    <w:p>
      <w:pPr>
        <w:ind w:left="1300" w:right="180" w:hanging="320"/>
        <w:spacing w:after="0" w:line="255"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2" w:lineRule="exact"/>
        <w:rPr>
          <w:rFonts w:ascii="Arial" w:cs="Arial" w:eastAsia="Arial" w:hAnsi="Arial"/>
          <w:sz w:val="18"/>
          <w:szCs w:val="18"/>
          <w:color w:val="auto"/>
        </w:rPr>
      </w:pPr>
    </w:p>
    <w:p>
      <w:pPr>
        <w:ind w:left="1300" w:right="260" w:hanging="320"/>
        <w:spacing w:after="0" w:line="281" w:lineRule="auto"/>
        <w:tabs>
          <w:tab w:leader="none" w:pos="1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ranked equal in right of payment to any existing or future senior indebtedness of the issuers and the guarantors;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ranked senior in right of payment to all existing and future subordinated indebtedness of the issuers and the guarantors.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1340" w:hanging="320"/>
        <w:spacing w:after="0" w:line="255" w:lineRule="auto"/>
        <w:tabs>
          <w:tab w:leader="none" w:pos="1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transfer (including, without limitation, by way of consolidation or merger) by the Parent or any subsidiary of the Parent to any person or entity that is not the Parent or a subsidiary of the Parent of all of the equity interests of, or all or substantially all of the properties and assets of, such guarantor;</w:t>
      </w:r>
    </w:p>
    <w:p>
      <w:pPr>
        <w:spacing w:after="0" w:line="2" w:lineRule="exact"/>
        <w:rPr>
          <w:rFonts w:ascii="Arial" w:cs="Arial" w:eastAsia="Arial" w:hAnsi="Arial"/>
          <w:sz w:val="18"/>
          <w:szCs w:val="18"/>
          <w:color w:val="auto"/>
        </w:rPr>
      </w:pPr>
    </w:p>
    <w:p>
      <w:pPr>
        <w:jc w:val="both"/>
        <w:ind w:left="1340" w:hanging="320"/>
        <w:spacing w:after="0" w:line="265" w:lineRule="auto"/>
        <w:tabs>
          <w:tab w:leader="none" w:pos="1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transfer (including, without limitation, by way of consolidation or merger) by the Parent or any subsidiary of the Parent to any person or entity that is not the Parent or a subsidiary of the Parent of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ind w:left="1340" w:hanging="320"/>
        <w:spacing w:after="0" w:line="250" w:lineRule="auto"/>
        <w:tabs>
          <w:tab w:leader="none" w:pos="1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1340" w:right="20" w:hanging="320"/>
        <w:spacing w:after="0" w:line="260" w:lineRule="auto"/>
        <w:tabs>
          <w:tab w:leader="none" w:pos="1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contemporaneous release or discharge of all guarantees by such guarantor which would have required such guarantor to provide a guarantee under the applicable indenture.</w:t>
      </w:r>
    </w:p>
    <w:p>
      <w:pPr>
        <w:spacing w:after="0" w:line="21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each of Crown Cork and Crown Americas on a combined basis for each issuer and its guarantors after elimination of (i) intercompany transactions and balances among the Parent and the guarantors and (ii) equity in earnings from and investments in any subsidiary that is a non-guarantor.</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Arial" w:cs="Arial" w:eastAsia="Arial" w:hAnsi="Arial"/>
                <w:sz w:val="18"/>
                <w:szCs w:val="18"/>
                <w:i w:val="1"/>
                <w:iCs w:val="1"/>
                <w:color w:val="auto"/>
              </w:rPr>
              <w:t>Crown Cork Issuer and Guarantor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91"/>
        </w:trPr>
        <w:tc>
          <w:tcPr>
            <w:tcW w:w="250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right"/>
              <w:ind w:right="420"/>
              <w:spacing w:after="0"/>
              <w:rPr>
                <w:sz w:val="20"/>
                <w:szCs w:val="20"/>
                <w:color w:val="auto"/>
              </w:rPr>
            </w:pPr>
            <w:r>
              <w:rPr>
                <w:rFonts w:ascii="Arial" w:cs="Arial" w:eastAsia="Arial" w:hAnsi="Arial"/>
                <w:sz w:val="18"/>
                <w:szCs w:val="18"/>
                <w:color w:val="auto"/>
              </w:rPr>
              <w:t>Nine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September 30, 2020</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442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4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0"/>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2"/>
        </w:trPr>
        <w:tc>
          <w:tcPr>
            <w:tcW w:w="6740" w:type="dxa"/>
            <w:vAlign w:val="bottom"/>
            <w:gridSpan w:val="6"/>
          </w:tcPr>
          <w:p>
            <w:pPr>
              <w:spacing w:after="0"/>
              <w:rPr>
                <w:sz w:val="20"/>
                <w:szCs w:val="20"/>
                <w:color w:val="auto"/>
              </w:rPr>
            </w:pPr>
            <w:r>
              <w:rPr>
                <w:rFonts w:ascii="Arial" w:cs="Arial" w:eastAsia="Arial" w:hAnsi="Arial"/>
                <w:sz w:val="14"/>
                <w:szCs w:val="14"/>
                <w:color w:val="auto"/>
              </w:rPr>
              <w:t>(1) Includes $25 of expense related to intercompany interest with non-guarantor subsidiaries</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512"/>
        </w:trPr>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September 30, 2020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2019</w:t>
            </w:r>
          </w:p>
        </w:tc>
      </w:tr>
      <w:tr>
        <w:trPr>
          <w:trHeight w:val="27"/>
        </w:trPr>
        <w:tc>
          <w:tcPr>
            <w:tcW w:w="44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325"/>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4,296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4,237</w:t>
            </w:r>
          </w:p>
        </w:tc>
      </w:tr>
    </w:tbl>
    <w:p>
      <w:pPr>
        <w:spacing w:after="0" w:line="3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Includes payables of $3,602 and $3,538 due to non-guarantor subsidiaries as of September 30, 2020 and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Crown Americas Issuer and Guarantors</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33"/>
        </w:trPr>
        <w:tc>
          <w:tcPr>
            <w:tcW w:w="66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9"/>
              </w:rPr>
              <w:t>Nine Months Ended</w:t>
            </w:r>
          </w:p>
        </w:tc>
      </w:tr>
      <w:tr>
        <w:trPr>
          <w:trHeight w:val="270"/>
        </w:trPr>
        <w:tc>
          <w:tcPr>
            <w:tcW w:w="6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6"/>
              </w:rPr>
              <w:t>September 30, 2020</w:t>
            </w:r>
          </w:p>
        </w:tc>
      </w:tr>
      <w:tr>
        <w:trPr>
          <w:trHeight w:val="27"/>
        </w:trPr>
        <w:tc>
          <w:tcPr>
            <w:tcW w:w="660" w:type="dxa"/>
            <w:vAlign w:val="bottom"/>
          </w:tcPr>
          <w:p>
            <w:pPr>
              <w:spacing w:after="0"/>
              <w:rPr>
                <w:sz w:val="2"/>
                <w:szCs w:val="2"/>
                <w:color w:val="auto"/>
              </w:rPr>
            </w:pPr>
          </w:p>
        </w:tc>
        <w:tc>
          <w:tcPr>
            <w:tcW w:w="44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3"/>
        </w:trPr>
        <w:tc>
          <w:tcPr>
            <w:tcW w:w="660" w:type="dxa"/>
            <w:vAlign w:val="bottom"/>
          </w:tcPr>
          <w:p>
            <w:pPr>
              <w:spacing w:after="0"/>
              <w:rPr>
                <w:sz w:val="22"/>
                <w:szCs w:val="22"/>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70"/>
        </w:trPr>
        <w:tc>
          <w:tcPr>
            <w:tcW w:w="660" w:type="dxa"/>
            <w:vAlign w:val="bottom"/>
          </w:tcPr>
          <w:p>
            <w:pPr>
              <w:spacing w:after="0"/>
              <w:rPr>
                <w:sz w:val="23"/>
                <w:szCs w:val="23"/>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0"/>
        </w:trPr>
        <w:tc>
          <w:tcPr>
            <w:tcW w:w="660" w:type="dxa"/>
            <w:vAlign w:val="bottom"/>
          </w:tcPr>
          <w:p>
            <w:pPr>
              <w:spacing w:after="0"/>
              <w:rPr>
                <w:sz w:val="23"/>
                <w:szCs w:val="23"/>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70"/>
        </w:trPr>
        <w:tc>
          <w:tcPr>
            <w:tcW w:w="660" w:type="dxa"/>
            <w:vAlign w:val="bottom"/>
          </w:tcPr>
          <w:p>
            <w:pPr>
              <w:spacing w:after="0"/>
              <w:rPr>
                <w:sz w:val="23"/>
                <w:szCs w:val="23"/>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660" w:type="dxa"/>
            <w:vAlign w:val="bottom"/>
          </w:tcPr>
          <w:p>
            <w:pPr>
              <w:spacing w:after="0"/>
              <w:rPr>
                <w:sz w:val="23"/>
                <w:szCs w:val="23"/>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bl>
    <w:p>
      <w:pPr>
        <w:spacing w:after="0" w:line="89" w:lineRule="exact"/>
        <w:rPr>
          <w:sz w:val="20"/>
          <w:szCs w:val="20"/>
          <w:color w:val="auto"/>
        </w:rPr>
      </w:pPr>
    </w:p>
    <w:p>
      <w:pPr>
        <w:ind w:left="860" w:hanging="204"/>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$314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$31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$47 of income related to intercompany interest and technology royalties with non-guarantor subsidiaries</w:t>
      </w:r>
    </w:p>
    <w:p>
      <w:pPr>
        <w:spacing w:after="0" w:line="2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2"/>
          </w:tcPr>
          <w:p>
            <w:pPr>
              <w:ind w:left="140"/>
              <w:spacing w:after="0"/>
              <w:rPr>
                <w:sz w:val="20"/>
                <w:szCs w:val="20"/>
                <w:color w:val="auto"/>
              </w:rPr>
            </w:pPr>
            <w:r>
              <w:rPr>
                <w:rFonts w:ascii="Arial" w:cs="Arial" w:eastAsia="Arial" w:hAnsi="Arial"/>
                <w:sz w:val="18"/>
                <w:szCs w:val="18"/>
                <w:color w:val="auto"/>
              </w:rPr>
              <w:t>September 30, 2020</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2019</w:t>
            </w: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3,270</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3,171</w:t>
            </w:r>
          </w:p>
        </w:tc>
      </w:tr>
      <w:tr>
        <w:trPr>
          <w:trHeight w:val="27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325"/>
        </w:trPr>
        <w:tc>
          <w:tcPr>
            <w:tcW w:w="442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4,712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4,709</w:t>
            </w:r>
          </w:p>
        </w:tc>
      </w:tr>
    </w:tbl>
    <w:p>
      <w:pPr>
        <w:spacing w:after="0" w:line="34" w:lineRule="exact"/>
        <w:rPr>
          <w:sz w:val="20"/>
          <w:szCs w:val="20"/>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receivables of $50 and $55 due from non-guarantor subsidiaries as of September 30, 2020 and December 31, 2019</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receivables of $227 and $128 due from non-guarantor subsidiaries as of September 30,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payables of $30 and $21 due to non-guarantor subsidiaries as of September 30, 2020 and December 31, 2019</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payables of $268 and $245 due to non-guarantor subsidiaries as of September 30, 2020 and December 31, 2019</w:t>
      </w:r>
    </w:p>
    <w:p>
      <w:pPr>
        <w:spacing w:after="0" w:line="23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2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215"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23"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Company’s or such guarantor’s remaining assets constituted unreasonably small capital; or</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38"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the basis of historical financial information, operating history and other factors, we believe that each of the guarantors, after giving effect to the issuance of its guarantee of the senior notes when such guarantee was issued, was not insolvent, did not have unreasonably small capital for the business in which it engaged and did not and has not incurred debts beyond its ability to pay such debts as they mature. The Company cannot assure, however, as to what standard a court would apply in making these determinations or that a court would agree with our conclusions in this regard.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2">
        <w:r>
          <w:rPr>
            <w:rFonts w:ascii="Arial" w:cs="Arial" w:eastAsia="Arial" w:hAnsi="Arial"/>
            <w:sz w:val="18"/>
            <w:szCs w:val="18"/>
            <w:u w:val="single" w:color="auto"/>
            <w:color w:val="0000FF"/>
          </w:rPr>
          <w:t>Note I</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2019 describe the significant accounting estimates and policies used in the preparation of the consolidated financial statements. Updates to the Company's accounting policies related to new accounting pronouncements are included in </w:t>
      </w:r>
      <w:hyperlink w:anchor="page8">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21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discussion below supplements the discussion from the Company's Annual Report on Form 10-K for the year ended December 31, 2019 with respect to goodwill.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Goodwill Impairment</w:t>
      </w:r>
    </w:p>
    <w:p>
      <w:pPr>
        <w:spacing w:after="0" w:line="252"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As of October 1, 2019, the estimated fair values of the Equipment &amp; Tools and Consumables reporting units, which are included in the Transit Packaging segment were 9% and 15% higher than their respective carrying values. The reporting units operate in low-growth environments that are expected to experience lower demand in the near term because of the impact of the coronavirus pandemic. If the reporting units' operating results are significantly impacted for an extended period of time, it is possible that the Company may record an impairment charge in the future. As of September 30, 2020, the Equipment and Tools reporting unit had $797 of goodwill and the Consumables reporting unit had $731 of goodwill. As previously disclosed in the Company's Annual Report on Form 10-K for the year-ended December 31, 2019, based upon an internal reorganization, the Protective Packaging reporting unit was merged into the Industrial Solutions reporting unit, effective January 1, 2020, to form the new Consumables reporting unit. The amounts and percentages presented represent the combined Consumables reporting unit.</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September 30, 2020, the Company considered recent events and circumstances and determined it was more likely than not that fair value was more than carrying amount for all of its reporting units. To the extent future operating results decline it is possible that material impairment charges may be recorded.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Statements included herein, including, but not limited to, those in “Management's Discussion and Analysis of Financial Condition and Results of Operations” (such as statements regarding the Company's expectation and ability to pay quarterly dividends in the future or statements regarding </w:t>
      </w:r>
      <w:hyperlink w:anchor="page12">
        <w:r>
          <w:rPr>
            <w:rFonts w:ascii="Arial" w:cs="Arial" w:eastAsia="Arial" w:hAnsi="Arial"/>
            <w:sz w:val="18"/>
            <w:szCs w:val="18"/>
            <w:color w:val="auto"/>
          </w:rPr>
          <w:t xml:space="preserve">the Company's initiation of a share repurchase program) and in the discussions of asbestos in </w:t>
        </w:r>
        <w:r>
          <w:rPr>
            <w:rFonts w:ascii="Arial" w:cs="Arial" w:eastAsia="Arial" w:hAnsi="Arial"/>
            <w:sz w:val="18"/>
            <w:szCs w:val="18"/>
            <w:u w:val="single" w:color="auto"/>
            <w:color w:val="0000FF"/>
          </w:rPr>
          <w:t>Note H</w:t>
        </w:r>
        <w:r>
          <w:rPr>
            <w:rFonts w:ascii="Arial" w:cs="Arial" w:eastAsia="Arial" w:hAnsi="Arial"/>
            <w:sz w:val="18"/>
            <w:szCs w:val="18"/>
            <w:color w:val="auto"/>
          </w:rPr>
          <w:t xml:space="preserve"> and commitments and contingencies in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2">
        <w:r>
          <w:rPr>
            <w:rFonts w:ascii="Arial" w:cs="Arial" w:eastAsia="Arial" w:hAnsi="Arial"/>
            <w:sz w:val="18"/>
            <w:szCs w:val="18"/>
            <w:u w:val="single" w:color="auto"/>
            <w:color w:val="0000FF"/>
          </w:rPr>
          <w:t>I</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this Quarterly Report on Form 10-Q, and also in Part I, Item 1, “Business” and Item 3,</w:t>
        </w:r>
      </w:hyperlink>
      <w:r>
        <w:rPr>
          <w:rFonts w:ascii="Arial" w:cs="Arial" w:eastAsia="Arial" w:hAnsi="Arial"/>
          <w:sz w:val="18"/>
          <w:szCs w:val="18"/>
          <w:color w:val="0000FF"/>
        </w:rPr>
        <w:t xml:space="preserve"> </w:t>
      </w:r>
      <w:r>
        <w:rPr>
          <w:rFonts w:ascii="Arial" w:cs="Arial" w:eastAsia="Arial" w:hAnsi="Arial"/>
          <w:sz w:val="18"/>
          <w:szCs w:val="18"/>
          <w:color w:val="000000"/>
        </w:rPr>
        <w:t>“Legal Proceedings” and in Part II, Item 7, “Management's Discussion and Analysis of Financial Condition and Results of Operations,” within the Company's Annual Report on Form 10-K for the year ended December 31, 2019, which are not historical facts (including any statements concerning the direct or indirect impact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COVID-19,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A discussion of important factors that could cause the actual results of operations or financial condition of the Company to differ from expectations has been set forth in the Company's Annual Report on Form 10-K for the year ended December 31, 2019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below) and in prior Company filings with the SEC. In addition, other factors have been or may be discussed from time to time in the Company's SEC filings.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2020, see </w:t>
      </w:r>
      <w:hyperlink w:anchor="page14">
        <w:r>
          <w:rPr>
            <w:rFonts w:ascii="Arial" w:cs="Arial" w:eastAsia="Arial" w:hAnsi="Arial"/>
            <w:sz w:val="17"/>
            <w:szCs w:val="17"/>
            <w:u w:val="single" w:color="auto"/>
            <w:color w:val="0000FF"/>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2020, the Company had $1.7 billion principal floating interest rate debt. A change of 0.25% in these floating interest rates would change annual interest expense by approximately $4 million before tax.</w:t>
      </w:r>
    </w:p>
    <w:p>
      <w:pPr>
        <w:spacing w:after="0" w:line="19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June 30, 2020, the Company does have contracts that are indexed to LIBOR, including cross-currency swap contracts and certain of its term loan facilities, and continues to monitor this activity and evaluate the related risks. The discontinuation of LIBOR will require these arrangements to be modified in order to replace LIBOR with an alternative reference interest rate, which could impact the Company's cost of funds. The Company’s credit agreement includes a provision for the determination of a successor LIBOR rate when appropriate by reference to the then-prevailing market convention for determining an interest rate for syndicated loans in the United States, subject to a right of the lenders thereunder to reject the application of the determined rate by written notice.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0">
        <w:r>
          <w:rPr>
            <w:rFonts w:ascii="Arial" w:cs="Arial" w:eastAsia="Arial" w:hAnsi="Arial"/>
            <w:sz w:val="18"/>
            <w:szCs w:val="18"/>
            <w:u w:val="single" w:color="auto"/>
            <w:color w:val="0000FF"/>
          </w:rPr>
          <w:t>Note H</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2">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2019 and in Item 1A of the Company's Quarterly Report on Form 10-Q for the period ended March 31, 2020.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right="2400"/>
        <w:spacing w:after="0" w:line="277" w:lineRule="auto"/>
        <w:rPr>
          <w:sz w:val="20"/>
          <w:szCs w:val="20"/>
          <w:color w:val="auto"/>
        </w:rPr>
      </w:pPr>
      <w:r>
        <w:rPr>
          <w:rFonts w:ascii="Arial" w:cs="Arial" w:eastAsia="Arial" w:hAnsi="Arial"/>
          <w:sz w:val="18"/>
          <w:szCs w:val="18"/>
          <w:color w:val="auto"/>
        </w:rPr>
        <w:t>There were 355 shares surrendered to cover taxes on the vesting of restricted stock during the three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September 30, 2020.</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On October 21, 2020, the Company entered into Amendment No. 1 to the Amended and Restated Senior Executive Retirement Agreement with Gerard Gifford, dated June 1, 2017 (the "SERP Amendment"). The SERP Amendment provides that Mr. Gifford's retirement benefit under the Company's Senior Executive Retirement Plan will take into account his years of service with the Company after Mr. Gifford reaches his normal retirement date. The SERP Amendment is attached as an exhibit to this Form 10-Q and is incorporated herein by reference.</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7" w:name="page38"/>
    <w:bookmarkEnd w:id="37"/>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10" w:lineRule="exact"/>
        <w:rPr>
          <w:sz w:val="20"/>
          <w:szCs w:val="20"/>
          <w:color w:val="auto"/>
        </w:rPr>
      </w:pPr>
    </w:p>
    <w:p>
      <w:pPr>
        <w:ind w:left="840" w:hanging="809"/>
        <w:spacing w:after="0" w:line="27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10.d(10)</w:t>
      </w:r>
      <w:r>
        <w:rPr>
          <w:sz w:val="20"/>
          <w:szCs w:val="20"/>
          <w:color w:val="auto"/>
        </w:rPr>
        <w:tab/>
      </w:r>
      <w:hyperlink w:anchor="page40">
        <w:r>
          <w:rPr>
            <w:rFonts w:ascii="Arial" w:cs="Arial" w:eastAsia="Arial" w:hAnsi="Arial"/>
            <w:sz w:val="18"/>
            <w:szCs w:val="18"/>
            <w:u w:val="single" w:color="auto"/>
            <w:color w:val="0000FF"/>
          </w:rPr>
          <w:t>Amendment No. 1 to Amend and Restate Senior Executive Retirement Agreement, effective October 21, 2020, between Crown</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Holdings, Inc. and Gerard Gifford.</w:t>
        </w:r>
      </w:hyperlink>
    </w:p>
    <w:p>
      <w:pPr>
        <w:spacing w:after="0" w:line="278" w:lineRule="exact"/>
        <w:rPr>
          <w:sz w:val="20"/>
          <w:szCs w:val="20"/>
          <w:color w:val="auto"/>
        </w:rPr>
      </w:pPr>
    </w:p>
    <w:p>
      <w:pPr>
        <w:ind w:left="840" w:hanging="814"/>
        <w:spacing w:after="0"/>
        <w:tabs>
          <w:tab w:leader="none" w:pos="840" w:val="left"/>
        </w:tabs>
        <w:numPr>
          <w:ilvl w:val="0"/>
          <w:numId w:val="23"/>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List of Guarantor Subsidiaries</w:t>
        </w:r>
      </w:hyperlink>
    </w:p>
    <w:p>
      <w:pPr>
        <w:spacing w:after="0" w:line="279" w:lineRule="exact"/>
        <w:rPr>
          <w:sz w:val="20"/>
          <w:szCs w:val="20"/>
          <w:color w:val="auto"/>
        </w:rPr>
      </w:pPr>
    </w:p>
    <w:p>
      <w:pPr>
        <w:ind w:left="840" w:right="20" w:hanging="809"/>
        <w:spacing w:after="0" w:line="27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3">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pursuant to Section 302 of the Sarbanes-Oxley Act of 2002.</w:t>
        </w:r>
      </w:hyperlink>
    </w:p>
    <w:p>
      <w:pPr>
        <w:spacing w:after="0" w:line="224" w:lineRule="exact"/>
        <w:rPr>
          <w:sz w:val="20"/>
          <w:szCs w:val="20"/>
          <w:color w:val="auto"/>
        </w:rPr>
      </w:pPr>
    </w:p>
    <w:p>
      <w:pPr>
        <w:ind w:left="840" w:hanging="809"/>
        <w:spacing w:after="0" w:line="277"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4">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pursuant to Section 302 of the Sarbanes-Oxley Act of 2002.</w:t>
        </w:r>
      </w:hyperlink>
    </w:p>
    <w:p>
      <w:pPr>
        <w:spacing w:after="0" w:line="224" w:lineRule="exact"/>
        <w:rPr>
          <w:sz w:val="20"/>
          <w:szCs w:val="20"/>
          <w:color w:val="auto"/>
        </w:rPr>
      </w:pPr>
    </w:p>
    <w:p>
      <w:pPr>
        <w:jc w:val="both"/>
        <w:ind w:left="840" w:right="20" w:hanging="814"/>
        <w:spacing w:after="0" w:line="263" w:lineRule="auto"/>
        <w:tabs>
          <w:tab w:leader="none" w:pos="840" w:val="left"/>
        </w:tabs>
        <w:numPr>
          <w:ilvl w:val="0"/>
          <w:numId w:val="24"/>
        </w:numPr>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Chief Financial Officer of Crown Holdings, Inc.</w:t>
        </w:r>
      </w:hyperlink>
    </w:p>
    <w:p>
      <w:pPr>
        <w:spacing w:after="0" w:line="238" w:lineRule="exact"/>
        <w:rPr>
          <w:rFonts w:ascii="Arial" w:cs="Arial" w:eastAsia="Arial" w:hAnsi="Arial"/>
          <w:sz w:val="18"/>
          <w:szCs w:val="18"/>
          <w:u w:val="single" w:color="auto"/>
          <w:color w:val="0000FF"/>
        </w:rPr>
      </w:pPr>
    </w:p>
    <w:p>
      <w:pPr>
        <w:jc w:val="both"/>
        <w:ind w:left="840" w:hanging="814"/>
        <w:spacing w:after="0" w:line="254"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2020 formatted in inline XBRL (eXtensible Business Reporting Language): (i) Consolidated Statements of Operations for the three and nine months ended September 30, 2020 and 2019, (ii) Consolidated Statements of Comprehensive Income for the three and nine months ended September 30, 2020 and 2019, (iii) Consolidated Balance Sheets as of September 30, 2020 and December 31, 2019, (iv) Consolidated Statements of Cash Flows for the nine months ended September 30, 2020 and 2019, (v) Consolidated Statements of Changes in Equity for the three and nine months ended September 30, 2020 and 2019 and (vi) Notes to Consolidated Financial Statements.</w:t>
      </w:r>
    </w:p>
    <w:p>
      <w:pPr>
        <w:spacing w:after="0" w:line="249" w:lineRule="exact"/>
        <w:rPr>
          <w:rFonts w:ascii="Arial" w:cs="Arial" w:eastAsia="Arial" w:hAnsi="Arial"/>
          <w:sz w:val="18"/>
          <w:szCs w:val="18"/>
          <w:u w:val="single" w:color="auto"/>
          <w:color w:val="0000FF"/>
        </w:rPr>
      </w:pPr>
    </w:p>
    <w:p>
      <w:pPr>
        <w:ind w:left="840" w:hanging="81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8" w:name="page39"/>
    <w:bookmarkEnd w:id="38"/>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Crown Holdings, Inc.</w:t>
      </w:r>
    </w:p>
    <w:p>
      <w:pPr>
        <w:ind w:left="658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58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31750</wp:posOffset>
            </wp:positionV>
            <wp:extent cx="26828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Accounting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98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EXECUTIVE RETIREMENT AGREEMENT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is Amendment No. 1 (this “Amendment”), effective as of October 21, 2020, to the Amended and Restated Senior Executive Retirement Agreement by and between Crown Holdings, Inc. (“Crown”) and Gerard Gifford (the “Participant”), dated June 1, 2017 (the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Agreement sets forth the terms and conditions under which the Participant participates in the Crown Senior Executive Retirement Plan, as amended and restated January 1, 2008;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and the Participant desire to amend the Agreement as hereinafter set forth.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NOW, THEREFORE, for good and valuable consideration the sufficiency of which is hereby acknowledged,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Participant, intending to be legally bound, hereby agree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2 of the Agreement is hereby amended and restated in its entirety as follows:</w:t>
      </w:r>
    </w:p>
    <w:p>
      <w:pPr>
        <w:spacing w:after="0" w:line="233"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Normal Retirement Benefit</w:t>
      </w:r>
      <w:r>
        <w:rPr>
          <w:rFonts w:ascii="Arial" w:cs="Arial" w:eastAsia="Arial" w:hAnsi="Arial"/>
          <w:sz w:val="22"/>
          <w:szCs w:val="22"/>
          <w:color w:val="auto"/>
        </w:rPr>
        <w:t>. The Participant has been designated as a Group C Participant and shall be entitled to a Retirement Benefit calculated in accordance with the applicable provision of Section 3.1 of the Plan. For purposes of calculating the Participant’s Retirement Benefit under Section 3.1.2 of the Plan, (i) item “A” Participant’s Years of Service shall be determined by taking into account the Participant’s service after the Participant reaches his Normal Retirement Date and (ii) item “F” shall include the “Supplemental Retirement Benefit” the Participant is entitled to under the Crown Restoration Plan (the “Restoration Plan”). The reduction in the Participant’s Retirement Benefit attributable to his Supplemental Retirement Benefit under the Restoration Plan shall be determined in a manner consistent with the reduction attributable to the Participant’s Crown Pension.”</w:t>
      </w:r>
    </w:p>
    <w:p>
      <w:pPr>
        <w:spacing w:after="0" w:line="214"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Except as expressly modified herein, the Agreement is hereby ratified and affirmed in its entirety.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458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882"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9"/>
          <w:szCs w:val="19"/>
          <w:color w:val="auto"/>
        </w:rPr>
        <w:t>IN WITNESS WHEREOF, the parties hereto have duly executed this Amendment as of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90"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/s/ Timothy J. Donahue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TIMOTHY J. DONAHUE</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Gerard Gifford</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GERARD GIFFORD</w:t>
      </w:r>
    </w:p>
    <w:p>
      <w:pPr>
        <w:sectPr>
          <w:pgSz w:w="11900" w:h="16838" w:orient="portrait"/>
          <w:cols w:equalWidth="0" w:num="1">
            <w:col w:w="10780"/>
          </w:cols>
          <w:pgMar w:left="320" w:top="888" w:right="79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September 30, 2020,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3640" w:type="dxa"/>
            <w:vAlign w:val="bottom"/>
            <w:tcBorders>
              <w:left w:val="single" w:sz="8" w:color="auto"/>
            </w:tcBorders>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20"/>
                <w:szCs w:val="20"/>
                <w:b w:val="1"/>
                <w:bCs w:val="1"/>
                <w:color w:val="auto"/>
                <w:w w:val="98"/>
              </w:rPr>
              <w:t>NAME</w:t>
            </w:r>
          </w:p>
        </w:tc>
        <w:tc>
          <w:tcPr>
            <w:tcW w:w="366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180"/>
        </w:trPr>
        <w:tc>
          <w:tcPr>
            <w:tcW w:w="364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gridSpan w:val="3"/>
          </w:tcPr>
          <w:p>
            <w:pPr>
              <w:jc w:val="center"/>
              <w:ind w:right="20"/>
              <w:spacing w:after="0" w:line="169" w:lineRule="exact"/>
              <w:rPr>
                <w:sz w:val="20"/>
                <w:szCs w:val="20"/>
                <w:color w:val="auto"/>
              </w:rPr>
            </w:pPr>
            <w:r>
              <w:rPr>
                <w:rFonts w:ascii="Arial" w:cs="Arial" w:eastAsia="Arial" w:hAnsi="Arial"/>
                <w:sz w:val="19"/>
                <w:szCs w:val="19"/>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subsidiaries of the Company were, as of September 30, 2020,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3640" w:type="dxa"/>
            <w:vAlign w:val="bottom"/>
            <w:tcBorders>
              <w:left w:val="single" w:sz="8" w:color="auto"/>
            </w:tcBorders>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20"/>
                <w:szCs w:val="20"/>
                <w:b w:val="1"/>
                <w:bCs w:val="1"/>
                <w:color w:val="auto"/>
                <w:w w:val="98"/>
              </w:rPr>
              <w:t>NAME</w:t>
            </w:r>
          </w:p>
        </w:tc>
        <w:tc>
          <w:tcPr>
            <w:tcW w:w="366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181"/>
        </w:trPr>
        <w:tc>
          <w:tcPr>
            <w:tcW w:w="3640" w:type="dxa"/>
            <w:vAlign w:val="bottom"/>
            <w:tcBorders>
              <w:left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gridSpan w:val="3"/>
          </w:tcPr>
          <w:p>
            <w:pPr>
              <w:jc w:val="center"/>
              <w:ind w:right="20"/>
              <w:spacing w:after="0" w:line="169" w:lineRule="exact"/>
              <w:rPr>
                <w:sz w:val="20"/>
                <w:szCs w:val="20"/>
                <w:color w:val="auto"/>
              </w:rPr>
            </w:pPr>
            <w:r>
              <w:rPr>
                <w:rFonts w:ascii="Arial" w:cs="Arial" w:eastAsia="Arial" w:hAnsi="Arial"/>
                <w:sz w:val="19"/>
                <w:szCs w:val="19"/>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6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Pr>
          <w:p>
            <w:pPr>
              <w:spacing w:after="0"/>
              <w:rPr>
                <w:sz w:val="21"/>
                <w:szCs w:val="21"/>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9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Pr>
          <w:p>
            <w:pPr>
              <w:spacing w:after="0"/>
              <w:rPr>
                <w:sz w:val="22"/>
                <w:szCs w:val="22"/>
                <w:color w:val="auto"/>
              </w:rPr>
            </w:pPr>
          </w:p>
        </w:tc>
        <w:tc>
          <w:tcPr>
            <w:tcW w:w="2380" w:type="dxa"/>
            <w:vAlign w:val="bottom"/>
            <w:tcBorders>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886" w:right="399" w:bottom="1440" w:gutter="0" w:footer="0" w:header="0"/>
        </w:sectPr>
      </w:pPr>
    </w:p>
    <w:bookmarkStart w:id="42" w:name="page43"/>
    <w:bookmarkEnd w:id="42"/>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 October 23, 2020</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5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 October 23, 2020</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2020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760" w:type="dxa"/>
            <w:vAlign w:val="bottom"/>
          </w:tcPr>
          <w:p>
            <w:pPr>
              <w:ind w:left="120"/>
              <w:spacing w:after="0"/>
              <w:rPr>
                <w:sz w:val="20"/>
                <w:szCs w:val="20"/>
                <w:color w:val="auto"/>
              </w:rPr>
            </w:pPr>
            <w:r>
              <w:rPr>
                <w:rFonts w:ascii="Arial" w:cs="Arial" w:eastAsia="Arial" w:hAnsi="Arial"/>
                <w:sz w:val="22"/>
                <w:szCs w:val="22"/>
                <w:color w:val="auto"/>
              </w:rPr>
              <w:t>October 23, 2020</w:t>
            </w:r>
          </w:p>
        </w:tc>
        <w:tc>
          <w:tcPr>
            <w:tcW w:w="4720" w:type="dxa"/>
            <w:vAlign w:val="bottom"/>
            <w:gridSpan w:val="3"/>
          </w:tcPr>
          <w:p>
            <w:pPr>
              <w:spacing w:after="0"/>
              <w:rPr>
                <w:sz w:val="20"/>
                <w:szCs w:val="20"/>
                <w:color w:val="auto"/>
              </w:rPr>
            </w:pPr>
            <w:r>
              <w:rPr>
                <w:rFonts w:ascii="Arial" w:cs="Arial" w:eastAsia="Arial" w:hAnsi="Arial"/>
                <w:sz w:val="22"/>
                <w:szCs w:val="22"/>
                <w:color w:val="auto"/>
              </w:rPr>
              <w:t>/s/ Timothy J. Donahue</w:t>
            </w:r>
          </w:p>
        </w:tc>
      </w:tr>
      <w:tr>
        <w:trPr>
          <w:trHeight w:val="20"/>
        </w:trPr>
        <w:tc>
          <w:tcPr>
            <w:tcW w:w="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84"/>
        </w:trPr>
        <w:tc>
          <w:tcPr>
            <w:tcW w:w="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20" w:type="dxa"/>
            <w:vAlign w:val="bottom"/>
            <w:gridSpan w:val="3"/>
          </w:tcPr>
          <w:p>
            <w:pPr>
              <w:ind w:left="114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720" w:type="dxa"/>
            <w:vAlign w:val="bottom"/>
            <w:gridSpan w:val="3"/>
          </w:tcPr>
          <w:p>
            <w:pPr>
              <w:ind w:left="114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760" w:type="dxa"/>
            <w:vAlign w:val="bottom"/>
          </w:tcPr>
          <w:p>
            <w:pPr>
              <w:ind w:left="120"/>
              <w:spacing w:after="0"/>
              <w:rPr>
                <w:sz w:val="20"/>
                <w:szCs w:val="20"/>
                <w:color w:val="auto"/>
              </w:rPr>
            </w:pPr>
            <w:r>
              <w:rPr>
                <w:rFonts w:ascii="Arial" w:cs="Arial" w:eastAsia="Arial" w:hAnsi="Arial"/>
                <w:sz w:val="22"/>
                <w:szCs w:val="22"/>
                <w:color w:val="auto"/>
              </w:rPr>
              <w:t>October 23, 2020</w:t>
            </w:r>
          </w:p>
        </w:tc>
        <w:tc>
          <w:tcPr>
            <w:tcW w:w="4720" w:type="dxa"/>
            <w:vAlign w:val="bottom"/>
            <w:gridSpan w:val="3"/>
          </w:tcPr>
          <w:p>
            <w:pPr>
              <w:spacing w:after="0"/>
              <w:rPr>
                <w:sz w:val="20"/>
                <w:szCs w:val="20"/>
                <w:color w:val="auto"/>
              </w:rPr>
            </w:pPr>
            <w:r>
              <w:rPr>
                <w:rFonts w:ascii="Arial" w:cs="Arial" w:eastAsia="Arial" w:hAnsi="Arial"/>
                <w:sz w:val="22"/>
                <w:szCs w:val="22"/>
                <w:color w:val="auto"/>
              </w:rPr>
              <w:t>/s/ Thomas A. Kelly</w:t>
            </w:r>
          </w:p>
        </w:tc>
      </w:tr>
      <w:tr>
        <w:trPr>
          <w:trHeight w:val="284"/>
        </w:trPr>
        <w:tc>
          <w:tcPr>
            <w:tcW w:w="640" w:type="dxa"/>
            <w:vAlign w:val="bottom"/>
          </w:tcPr>
          <w:p>
            <w:pPr>
              <w:spacing w:after="0"/>
              <w:rPr>
                <w:sz w:val="24"/>
                <w:szCs w:val="24"/>
                <w:color w:val="auto"/>
              </w:rPr>
            </w:pPr>
          </w:p>
        </w:tc>
        <w:tc>
          <w:tcPr>
            <w:tcW w:w="2760" w:type="dxa"/>
            <w:vAlign w:val="bottom"/>
          </w:tcPr>
          <w:p>
            <w:pPr>
              <w:ind w:left="1040"/>
              <w:spacing w:after="0"/>
              <w:rPr>
                <w:sz w:val="20"/>
                <w:szCs w:val="20"/>
                <w:color w:val="auto"/>
              </w:rPr>
            </w:pPr>
            <w:r>
              <w:rPr>
                <w:rFonts w:ascii="Arial" w:cs="Arial" w:eastAsia="Arial" w:hAnsi="Arial"/>
                <w:sz w:val="22"/>
                <w:szCs w:val="22"/>
                <w:color w:val="auto"/>
              </w:rPr>
              <w:t>Thomas A. Kelly</w:t>
            </w:r>
          </w:p>
        </w:tc>
        <w:tc>
          <w:tcPr>
            <w:tcW w:w="1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56"/>
        </w:trPr>
        <w:tc>
          <w:tcPr>
            <w:tcW w:w="640" w:type="dxa"/>
            <w:vAlign w:val="bottom"/>
          </w:tcPr>
          <w:p>
            <w:pPr>
              <w:spacing w:after="0"/>
              <w:rPr>
                <w:sz w:val="22"/>
                <w:szCs w:val="22"/>
                <w:color w:val="auto"/>
              </w:rPr>
            </w:pPr>
          </w:p>
        </w:tc>
        <w:tc>
          <w:tcPr>
            <w:tcW w:w="7480" w:type="dxa"/>
            <w:vAlign w:val="bottom"/>
            <w:gridSpan w:val="4"/>
          </w:tcPr>
          <w:p>
            <w:pPr>
              <w:ind w:left="1040"/>
              <w:spacing w:after="0"/>
              <w:rPr>
                <w:sz w:val="20"/>
                <w:szCs w:val="20"/>
                <w:color w:val="auto"/>
              </w:rPr>
            </w:pPr>
            <w:r>
              <w:rPr>
                <w:rFonts w:ascii="Arial" w:cs="Arial" w:eastAsia="Arial" w:hAnsi="Arial"/>
                <w:sz w:val="22"/>
                <w:szCs w:val="22"/>
                <w:color w:val="auto"/>
              </w:rPr>
              <w:t>Senior Vice President</w:t>
            </w:r>
          </w:p>
        </w:tc>
      </w:tr>
      <w:tr>
        <w:trPr>
          <w:trHeight w:val="259"/>
        </w:trPr>
        <w:tc>
          <w:tcPr>
            <w:tcW w:w="640" w:type="dxa"/>
            <w:vAlign w:val="bottom"/>
          </w:tcPr>
          <w:p>
            <w:pPr>
              <w:spacing w:after="0"/>
              <w:rPr>
                <w:sz w:val="22"/>
                <w:szCs w:val="22"/>
                <w:color w:val="auto"/>
              </w:rPr>
            </w:pPr>
          </w:p>
        </w:tc>
        <w:tc>
          <w:tcPr>
            <w:tcW w:w="7480" w:type="dxa"/>
            <w:vAlign w:val="bottom"/>
            <w:gridSpan w:val="4"/>
          </w:tcPr>
          <w:p>
            <w:pPr>
              <w:ind w:left="104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upperLetter"/>
      <w:start w:val="3"/>
    </w:lvl>
  </w:abstractNum>
  <w:abstractNum w:abstractNumId="4">
    <w:nsid w:val="519B500D"/>
    <w:multiLevelType w:val="hybridMultilevel"/>
    <w:lvl w:ilvl="0">
      <w:lvlJc w:val="left"/>
      <w:lvlText w:val="%1."/>
      <w:numFmt w:val="upperLetter"/>
      <w:start w:val="5"/>
    </w:lvl>
  </w:abstractNum>
  <w:abstractNum w:abstractNumId="5">
    <w:nsid w:val="431BD7B7"/>
    <w:multiLevelType w:val="hybridMultilevel"/>
    <w:lvl w:ilvl="0">
      <w:lvlJc w:val="left"/>
      <w:lvlText w:val="%1."/>
      <w:numFmt w:val="upperLetter"/>
      <w:start w:val="6"/>
    </w:lvl>
  </w:abstractNum>
  <w:abstractNum w:abstractNumId="6">
    <w:nsid w:val="3F2DBA31"/>
    <w:multiLevelType w:val="hybridMultilevel"/>
    <w:lvl w:ilvl="0">
      <w:lvlJc w:val="left"/>
      <w:lvlText w:val="%1."/>
      <w:numFmt w:val="upperLetter"/>
      <w:start w:val="7"/>
    </w:lvl>
  </w:abstractNum>
  <w:abstractNum w:abstractNumId="7">
    <w:nsid w:val="7C83E458"/>
    <w:multiLevelType w:val="hybridMultilevel"/>
    <w:lvl w:ilvl="0">
      <w:lvlJc w:val="left"/>
      <w:lvlText w:val="%1."/>
      <w:numFmt w:val="upperLetter"/>
      <w:start w:val="8"/>
    </w:lvl>
  </w:abstractNum>
  <w:abstractNum w:abstractNumId="8">
    <w:nsid w:val="257130A3"/>
    <w:multiLevelType w:val="hybridMultilevel"/>
    <w:lvl w:ilvl="0">
      <w:lvlJc w:val="left"/>
      <w:lvlText w:val="%1."/>
      <w:numFmt w:val="upperLetter"/>
      <w:start w:val="9"/>
    </w:lvl>
  </w:abstractNum>
  <w:abstractNum w:abstractNumId="9">
    <w:nsid w:val="62BBD95A"/>
    <w:multiLevelType w:val="hybridMultilevel"/>
    <w:lvl w:ilvl="0">
      <w:lvlJc w:val="left"/>
      <w:lvlText w:val="%1."/>
      <w:numFmt w:val="upperLetter"/>
      <w:start w:val="10"/>
    </w:lvl>
  </w:abstractNum>
  <w:abstractNum w:abstractNumId="10">
    <w:nsid w:val="436C6125"/>
    <w:multiLevelType w:val="hybridMultilevel"/>
    <w:lvl w:ilvl="0">
      <w:lvlJc w:val="left"/>
      <w:lvlText w:val="%1."/>
      <w:numFmt w:val="upperLetter"/>
      <w:start w:val="12"/>
    </w:lvl>
  </w:abstractNum>
  <w:abstractNum w:abstractNumId="11">
    <w:nsid w:val="628C895D"/>
    <w:multiLevelType w:val="hybridMultilevel"/>
    <w:lvl w:ilvl="0">
      <w:lvlJc w:val="left"/>
      <w:lvlText w:val="%1."/>
      <w:numFmt w:val="upperLetter"/>
      <w:start w:val="13"/>
    </w:lvl>
  </w:abstractNum>
  <w:abstractNum w:abstractNumId="12">
    <w:nsid w:val="333AB105"/>
    <w:multiLevelType w:val="hybridMultilevel"/>
    <w:lvl w:ilvl="0">
      <w:lvlJc w:val="left"/>
      <w:lvlText w:val="%1."/>
      <w:numFmt w:val="upperLetter"/>
      <w:start w:val="14"/>
    </w:lvl>
  </w:abstractNum>
  <w:abstractNum w:abstractNumId="13">
    <w:nsid w:val="721DA317"/>
    <w:multiLevelType w:val="hybridMultilevel"/>
    <w:lvl w:ilvl="0">
      <w:lvlJc w:val="left"/>
      <w:lvlText w:val="%1."/>
      <w:numFmt w:val="upperLetter"/>
      <w:start w:val="15"/>
    </w:lvl>
  </w:abstractNum>
  <w:abstractNum w:abstractNumId="14">
    <w:nsid w:val="2443A858"/>
    <w:multiLevelType w:val="hybridMultilevel"/>
    <w:lvl w:ilvl="0">
      <w:lvlJc w:val="left"/>
      <w:lvlText w:val="%1."/>
      <w:numFmt w:val="upperLetter"/>
      <w:start w:val="16"/>
    </w:lvl>
  </w:abstractNum>
  <w:abstractNum w:abstractNumId="15">
    <w:nsid w:val="2D1D5AE9"/>
    <w:multiLevelType w:val="hybridMultilevel"/>
    <w:lvl w:ilvl="0">
      <w:lvlJc w:val="left"/>
      <w:lvlText w:val="%1."/>
      <w:numFmt w:val="upperLetter"/>
      <w:start w:val="17"/>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22"/>
    </w:lvl>
  </w:abstractNum>
  <w:abstractNum w:abstractNumId="23">
    <w:nsid w:val="54E49EB4"/>
    <w:multiLevelType w:val="hybridMultilevel"/>
    <w:lvl w:ilvl="0">
      <w:lvlJc w:val="left"/>
      <w:lvlText w:val="%1"/>
      <w:numFmt w:val="decimal"/>
      <w:start w:val="32"/>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2020-10-23T12:38:40Z</dcterms:created>
  <dcterms:modified xsi:type="dcterms:W3CDTF">2020-10-23T12:38:40Z</dcterms:modified>
</cp:coreProperties>
</file>