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00"/>
        <w:spacing w:after="0"/>
        <w:rPr>
          <w:sz w:val="20"/>
          <w:szCs w:val="20"/>
          <w:color w:val="auto"/>
        </w:rPr>
      </w:pPr>
      <w:r>
        <w:rPr>
          <w:rFonts w:ascii="Arial" w:cs="Arial" w:eastAsia="Arial" w:hAnsi="Arial"/>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1100" w:space="720"/>
            <w:col w:w="7199"/>
          </w:cols>
          <w:pgMar w:left="1440" w:top="1440" w:right="1440" w:bottom="1440" w:gutter="0" w:footer="0" w:header="0"/>
          <w:type w:val="continuous"/>
        </w:sectPr>
      </w:pPr>
    </w:p>
    <w:p>
      <w:pPr>
        <w:spacing w:after="0" w:line="200" w:lineRule="exact"/>
        <w:rPr>
          <w:sz w:val="24"/>
          <w:szCs w:val="24"/>
          <w:color w:val="auto"/>
        </w:rPr>
      </w:pPr>
    </w:p>
    <w:p>
      <w:pPr>
        <w:spacing w:after="0" w:line="292" w:lineRule="exact"/>
        <w:rPr>
          <w:sz w:val="24"/>
          <w:szCs w:val="24"/>
          <w:color w:val="auto"/>
        </w:rPr>
      </w:pPr>
    </w:p>
    <w:p>
      <w:pPr>
        <w:ind w:left="1820"/>
        <w:spacing w:after="0"/>
        <w:rPr>
          <w:sz w:val="20"/>
          <w:szCs w:val="20"/>
          <w:color w:val="auto"/>
        </w:rPr>
      </w:pPr>
      <w:r>
        <w:rPr>
          <w:rFonts w:ascii="Arial" w:cs="Arial" w:eastAsia="Arial" w:hAnsi="Arial"/>
          <w:sz w:val="19"/>
          <w:szCs w:val="19"/>
          <w:b w:val="1"/>
          <w:bCs w:val="1"/>
          <w:color w:val="auto"/>
        </w:rPr>
        <w:t>For the fiscal year ended December 31, 2019</w:t>
      </w:r>
    </w:p>
    <w:p>
      <w:pPr>
        <w:spacing w:after="0" w:line="200" w:lineRule="exact"/>
        <w:rPr>
          <w:sz w:val="24"/>
          <w:szCs w:val="24"/>
          <w:color w:val="auto"/>
        </w:rPr>
      </w:pPr>
    </w:p>
    <w:p>
      <w:pPr>
        <w:spacing w:after="0" w:line="203"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Commission File Number 000-50189</w:t>
      </w:r>
    </w:p>
    <w:p>
      <w:pPr>
        <w:sectPr>
          <w:pgSz w:w="11900" w:h="16838" w:orient="portrait"/>
          <w:cols w:equalWidth="0" w:num="1">
            <w:col w:w="9019"/>
          </w:cols>
          <w:pgMar w:left="1440" w:top="1440" w:right="1440" w:bottom="1440" w:gutter="0" w:footer="0" w:header="0"/>
          <w:type w:val="continuous"/>
        </w:sectPr>
      </w:pPr>
    </w:p>
    <w:p>
      <w:pPr>
        <w:spacing w:after="0" w:line="395" w:lineRule="exact"/>
        <w:rPr>
          <w:sz w:val="24"/>
          <w:szCs w:val="24"/>
          <w:color w:val="auto"/>
        </w:rPr>
      </w:pPr>
    </w:p>
    <w:p>
      <w:pPr>
        <w:ind w:left="2220" w:hanging="471"/>
        <w:spacing w:after="0"/>
        <w:tabs>
          <w:tab w:leader="none" w:pos="22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368" w:lineRule="exact"/>
        <w:rPr>
          <w:rFonts w:ascii="Arial" w:cs="Arial" w:eastAsia="Arial" w:hAnsi="Arial"/>
          <w:sz w:val="22"/>
          <w:szCs w:val="22"/>
          <w:b w:val="1"/>
          <w:bCs w:val="1"/>
          <w:color w:val="auto"/>
        </w:rPr>
      </w:pPr>
    </w:p>
    <w:p>
      <w:pPr>
        <w:ind w:left="2220" w:right="3539"/>
        <w:spacing w:after="0" w:line="307" w:lineRule="auto"/>
        <w:rPr>
          <w:rFonts w:ascii="Arial" w:cs="Arial" w:eastAsia="Arial" w:hAnsi="Arial"/>
          <w:sz w:val="22"/>
          <w:szCs w:val="22"/>
          <w:b w:val="1"/>
          <w:bCs w:val="1"/>
          <w:color w:val="auto"/>
        </w:rPr>
      </w:pPr>
      <w:r>
        <w:rPr>
          <w:rFonts w:ascii="Arial" w:cs="Arial" w:eastAsia="Arial" w:hAnsi="Arial"/>
          <w:sz w:val="22"/>
          <w:szCs w:val="22"/>
          <w:b w:val="1"/>
          <w:bCs w:val="1"/>
          <w:color w:val="auto"/>
        </w:rPr>
        <w:t>Crown Cork &amp; Seal Company, Inc. Retirement Thrift Plan</w:t>
      </w:r>
    </w:p>
    <w:p>
      <w:pPr>
        <w:spacing w:after="0" w:line="270" w:lineRule="exact"/>
        <w:rPr>
          <w:rFonts w:ascii="Arial" w:cs="Arial" w:eastAsia="Arial" w:hAnsi="Arial"/>
          <w:sz w:val="22"/>
          <w:szCs w:val="22"/>
          <w:b w:val="1"/>
          <w:bCs w:val="1"/>
          <w:color w:val="auto"/>
        </w:rPr>
      </w:pPr>
    </w:p>
    <w:p>
      <w:pPr>
        <w:ind w:left="2220" w:right="1519" w:hanging="459"/>
        <w:spacing w:after="0" w:line="394" w:lineRule="auto"/>
        <w:tabs>
          <w:tab w:leader="none" w:pos="222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CROWN HOLDINGS,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770 TOWNSHIP LINE ROAD</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YARDLEY, PA 19067-4232</w:t>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Thrift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7960" w:type="dxa"/>
            <w:vAlign w:val="bottom"/>
          </w:tcPr>
          <w:p>
            <w:pPr>
              <w:spacing w:after="0"/>
              <w:rPr>
                <w:sz w:val="21"/>
                <w:szCs w:val="21"/>
                <w:color w:val="auto"/>
              </w:rPr>
            </w:pPr>
          </w:p>
        </w:tc>
        <w:tc>
          <w:tcPr>
            <w:tcW w:w="880" w:type="dxa"/>
            <w:vAlign w:val="bottom"/>
          </w:tcPr>
          <w:p>
            <w:pPr>
              <w:ind w:left="220"/>
              <w:spacing w:after="0"/>
              <w:rPr>
                <w:sz w:val="20"/>
                <w:szCs w:val="20"/>
                <w:color w:val="auto"/>
              </w:rPr>
            </w:pPr>
            <w:r>
              <w:rPr>
                <w:rFonts w:ascii="Arial" w:cs="Arial" w:eastAsia="Arial" w:hAnsi="Arial"/>
                <w:sz w:val="20"/>
                <w:szCs w:val="20"/>
                <w:color w:val="auto"/>
                <w:w w:val="79"/>
              </w:rPr>
              <w:t>Pages(s)</w:t>
            </w:r>
          </w:p>
        </w:tc>
      </w:tr>
      <w:tr>
        <w:trPr>
          <w:trHeight w:val="608"/>
        </w:trPr>
        <w:tc>
          <w:tcPr>
            <w:tcW w:w="796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880" w:type="dxa"/>
            <w:vAlign w:val="bottom"/>
          </w:tcPr>
          <w:p>
            <w:pPr>
              <w:jc w:val="center"/>
              <w:ind w:left="121"/>
              <w:spacing w:after="0"/>
              <w:rPr>
                <w:rFonts w:ascii="Arial" w:cs="Arial" w:eastAsia="Arial" w:hAnsi="Arial"/>
                <w:sz w:val="20"/>
                <w:szCs w:val="20"/>
                <w:u w:val="single" w:color="auto"/>
                <w:color w:val="0000EE"/>
                <w:w w:val="89"/>
              </w:rPr>
            </w:pPr>
            <w:hyperlink w:anchor="page3">
              <w:r>
                <w:rPr>
                  <w:rFonts w:ascii="Arial" w:cs="Arial" w:eastAsia="Arial" w:hAnsi="Arial"/>
                  <w:sz w:val="20"/>
                  <w:szCs w:val="20"/>
                  <w:u w:val="single" w:color="auto"/>
                  <w:color w:val="0000EE"/>
                  <w:w w:val="89"/>
                </w:rPr>
                <w:t>1</w:t>
              </w:r>
            </w:hyperlink>
          </w:p>
        </w:tc>
      </w:tr>
      <w:tr>
        <w:trPr>
          <w:trHeight w:val="608"/>
        </w:trPr>
        <w:tc>
          <w:tcPr>
            <w:tcW w:w="7960" w:type="dxa"/>
            <w:vAlign w:val="bottom"/>
          </w:tcPr>
          <w:p>
            <w:pPr>
              <w:spacing w:after="0"/>
              <w:rPr>
                <w:sz w:val="20"/>
                <w:szCs w:val="20"/>
                <w:color w:val="auto"/>
              </w:rPr>
            </w:pPr>
            <w:r>
              <w:rPr>
                <w:rFonts w:ascii="Arial" w:cs="Arial" w:eastAsia="Arial" w:hAnsi="Arial"/>
                <w:sz w:val="20"/>
                <w:szCs w:val="20"/>
                <w:color w:val="auto"/>
              </w:rPr>
              <w:t>Financial Statements</w:t>
            </w:r>
          </w:p>
        </w:tc>
        <w:tc>
          <w:tcPr>
            <w:tcW w:w="880" w:type="dxa"/>
            <w:vAlign w:val="bottom"/>
          </w:tcPr>
          <w:p>
            <w:pPr>
              <w:spacing w:after="0"/>
              <w:rPr>
                <w:sz w:val="24"/>
                <w:szCs w:val="24"/>
                <w:color w:val="auto"/>
              </w:rPr>
            </w:pPr>
          </w:p>
        </w:tc>
      </w:tr>
      <w:tr>
        <w:trPr>
          <w:trHeight w:val="608"/>
        </w:trPr>
        <w:tc>
          <w:tcPr>
            <w:tcW w:w="7960" w:type="dxa"/>
            <w:vAlign w:val="bottom"/>
          </w:tcPr>
          <w:p>
            <w:pPr>
              <w:ind w:left="400"/>
              <w:spacing w:after="0"/>
              <w:rPr>
                <w:sz w:val="20"/>
                <w:szCs w:val="20"/>
                <w:color w:val="auto"/>
              </w:rPr>
            </w:pPr>
            <w:r>
              <w:rPr>
                <w:rFonts w:ascii="Arial" w:cs="Arial" w:eastAsia="Arial" w:hAnsi="Arial"/>
                <w:sz w:val="20"/>
                <w:szCs w:val="20"/>
                <w:color w:val="auto"/>
              </w:rPr>
              <w:t>Statement of Net Assets Available for Benefits as of December 31, 2019 and 2018</w:t>
            </w:r>
          </w:p>
        </w:tc>
        <w:tc>
          <w:tcPr>
            <w:tcW w:w="880" w:type="dxa"/>
            <w:vAlign w:val="bottom"/>
          </w:tcPr>
          <w:p>
            <w:pPr>
              <w:jc w:val="center"/>
              <w:ind w:left="121"/>
              <w:spacing w:after="0"/>
              <w:rPr>
                <w:rFonts w:ascii="Arial" w:cs="Arial" w:eastAsia="Arial" w:hAnsi="Arial"/>
                <w:sz w:val="20"/>
                <w:szCs w:val="20"/>
                <w:u w:val="single" w:color="auto"/>
                <w:color w:val="0000EE"/>
                <w:w w:val="89"/>
              </w:rPr>
            </w:pPr>
            <w:hyperlink w:anchor="page4">
              <w:r>
                <w:rPr>
                  <w:rFonts w:ascii="Arial" w:cs="Arial" w:eastAsia="Arial" w:hAnsi="Arial"/>
                  <w:sz w:val="20"/>
                  <w:szCs w:val="20"/>
                  <w:u w:val="single" w:color="auto"/>
                  <w:color w:val="0000EE"/>
                  <w:w w:val="89"/>
                </w:rPr>
                <w:t>2</w:t>
              </w:r>
            </w:hyperlink>
          </w:p>
        </w:tc>
      </w:tr>
      <w:tr>
        <w:trPr>
          <w:trHeight w:val="587"/>
        </w:trPr>
        <w:tc>
          <w:tcPr>
            <w:tcW w:w="7960" w:type="dxa"/>
            <w:vAlign w:val="bottom"/>
          </w:tcPr>
          <w:p>
            <w:pPr>
              <w:ind w:left="400"/>
              <w:spacing w:after="0"/>
              <w:rPr>
                <w:sz w:val="20"/>
                <w:szCs w:val="20"/>
                <w:color w:val="auto"/>
              </w:rPr>
            </w:pPr>
            <w:r>
              <w:rPr>
                <w:rFonts w:ascii="Arial" w:cs="Arial" w:eastAsia="Arial" w:hAnsi="Arial"/>
                <w:sz w:val="20"/>
                <w:szCs w:val="20"/>
                <w:color w:val="auto"/>
                <w:w w:val="91"/>
              </w:rPr>
              <w:t>Statement of Changes in Net Assets Available for Benefits for the years ended December 31,</w:t>
            </w:r>
          </w:p>
        </w:tc>
        <w:tc>
          <w:tcPr>
            <w:tcW w:w="880" w:type="dxa"/>
            <w:vAlign w:val="bottom"/>
          </w:tcPr>
          <w:p>
            <w:pPr>
              <w:spacing w:after="0"/>
              <w:rPr>
                <w:sz w:val="24"/>
                <w:szCs w:val="24"/>
                <w:color w:val="auto"/>
              </w:rPr>
            </w:pPr>
          </w:p>
        </w:tc>
      </w:tr>
      <w:tr>
        <w:trPr>
          <w:trHeight w:val="250"/>
        </w:trPr>
        <w:tc>
          <w:tcPr>
            <w:tcW w:w="7960" w:type="dxa"/>
            <w:vAlign w:val="bottom"/>
          </w:tcPr>
          <w:p>
            <w:pPr>
              <w:ind w:left="400"/>
              <w:spacing w:after="0"/>
              <w:rPr>
                <w:sz w:val="20"/>
                <w:szCs w:val="20"/>
                <w:color w:val="auto"/>
              </w:rPr>
            </w:pPr>
            <w:r>
              <w:rPr>
                <w:rFonts w:ascii="Arial" w:cs="Arial" w:eastAsia="Arial" w:hAnsi="Arial"/>
                <w:sz w:val="20"/>
                <w:szCs w:val="20"/>
                <w:color w:val="auto"/>
              </w:rPr>
              <w:t>2019 and 2018</w:t>
            </w:r>
          </w:p>
        </w:tc>
        <w:tc>
          <w:tcPr>
            <w:tcW w:w="880" w:type="dxa"/>
            <w:vAlign w:val="bottom"/>
          </w:tcPr>
          <w:p>
            <w:pPr>
              <w:jc w:val="center"/>
              <w:ind w:left="121"/>
              <w:spacing w:after="0"/>
              <w:rPr>
                <w:rFonts w:ascii="Arial" w:cs="Arial" w:eastAsia="Arial" w:hAnsi="Arial"/>
                <w:sz w:val="20"/>
                <w:szCs w:val="20"/>
                <w:u w:val="single" w:color="auto"/>
                <w:color w:val="0000EE"/>
                <w:w w:val="89"/>
              </w:rPr>
            </w:pPr>
            <w:hyperlink w:anchor="page5">
              <w:r>
                <w:rPr>
                  <w:rFonts w:ascii="Arial" w:cs="Arial" w:eastAsia="Arial" w:hAnsi="Arial"/>
                  <w:sz w:val="20"/>
                  <w:szCs w:val="20"/>
                  <w:u w:val="single" w:color="auto"/>
                  <w:color w:val="0000EE"/>
                  <w:w w:val="89"/>
                </w:rPr>
                <w:t>3</w:t>
              </w:r>
            </w:hyperlink>
          </w:p>
        </w:tc>
      </w:tr>
      <w:tr>
        <w:trPr>
          <w:trHeight w:val="608"/>
        </w:trPr>
        <w:tc>
          <w:tcPr>
            <w:tcW w:w="7960" w:type="dxa"/>
            <w:vAlign w:val="bottom"/>
          </w:tcPr>
          <w:p>
            <w:pPr>
              <w:ind w:left="400"/>
              <w:spacing w:after="0"/>
              <w:rPr>
                <w:sz w:val="20"/>
                <w:szCs w:val="20"/>
                <w:color w:val="auto"/>
              </w:rPr>
            </w:pPr>
            <w:r>
              <w:rPr>
                <w:rFonts w:ascii="Arial" w:cs="Arial" w:eastAsia="Arial" w:hAnsi="Arial"/>
                <w:sz w:val="20"/>
                <w:szCs w:val="20"/>
                <w:color w:val="auto"/>
              </w:rPr>
              <w:t>Notes to Financial Statements</w:t>
            </w:r>
          </w:p>
        </w:tc>
        <w:tc>
          <w:tcPr>
            <w:tcW w:w="880" w:type="dxa"/>
            <w:vAlign w:val="bottom"/>
          </w:tcPr>
          <w:p>
            <w:pPr>
              <w:jc w:val="center"/>
              <w:ind w:left="101"/>
              <w:spacing w:after="0"/>
              <w:rPr>
                <w:rFonts w:ascii="Arial" w:cs="Arial" w:eastAsia="Arial" w:hAnsi="Arial"/>
                <w:sz w:val="20"/>
                <w:szCs w:val="20"/>
                <w:u w:val="single" w:color="auto"/>
                <w:color w:val="0000EE"/>
                <w:w w:val="89"/>
              </w:rPr>
            </w:pPr>
            <w:hyperlink w:anchor="page6">
              <w:r>
                <w:rPr>
                  <w:rFonts w:ascii="Arial" w:cs="Arial" w:eastAsia="Arial" w:hAnsi="Arial"/>
                  <w:sz w:val="20"/>
                  <w:szCs w:val="20"/>
                  <w:u w:val="single" w:color="auto"/>
                  <w:color w:val="0000EE"/>
                  <w:w w:val="89"/>
                </w:rPr>
                <w:t>4 - 9</w:t>
              </w:r>
            </w:hyperlink>
          </w:p>
        </w:tc>
      </w:tr>
      <w:tr>
        <w:trPr>
          <w:trHeight w:val="608"/>
        </w:trPr>
        <w:tc>
          <w:tcPr>
            <w:tcW w:w="796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880" w:type="dxa"/>
            <w:vAlign w:val="bottom"/>
          </w:tcPr>
          <w:p>
            <w:pPr>
              <w:spacing w:after="0"/>
              <w:rPr>
                <w:sz w:val="24"/>
                <w:szCs w:val="24"/>
                <w:color w:val="auto"/>
              </w:rPr>
            </w:pPr>
          </w:p>
        </w:tc>
      </w:tr>
      <w:tr>
        <w:trPr>
          <w:trHeight w:val="607"/>
        </w:trPr>
        <w:tc>
          <w:tcPr>
            <w:tcW w:w="7960" w:type="dxa"/>
            <w:vAlign w:val="bottom"/>
          </w:tcPr>
          <w:p>
            <w:pPr>
              <w:ind w:left="400"/>
              <w:spacing w:after="0"/>
              <w:rPr>
                <w:sz w:val="20"/>
                <w:szCs w:val="20"/>
                <w:color w:val="auto"/>
              </w:rPr>
            </w:pPr>
            <w:r>
              <w:rPr>
                <w:rFonts w:ascii="Arial" w:cs="Arial" w:eastAsia="Arial" w:hAnsi="Arial"/>
                <w:sz w:val="20"/>
                <w:szCs w:val="20"/>
                <w:color w:val="auto"/>
              </w:rPr>
              <w:t>Schedule H, Line 4i - Schedule of Assets (Held at End of Year)</w:t>
            </w:r>
          </w:p>
        </w:tc>
        <w:tc>
          <w:tcPr>
            <w:tcW w:w="880" w:type="dxa"/>
            <w:vAlign w:val="bottom"/>
          </w:tcPr>
          <w:p>
            <w:pPr>
              <w:jc w:val="center"/>
              <w:ind w:left="101"/>
              <w:spacing w:after="0"/>
              <w:rPr>
                <w:rFonts w:ascii="Arial" w:cs="Arial" w:eastAsia="Arial" w:hAnsi="Arial"/>
                <w:sz w:val="20"/>
                <w:szCs w:val="20"/>
                <w:u w:val="single" w:color="auto"/>
                <w:color w:val="0000EE"/>
                <w:w w:val="89"/>
              </w:rPr>
            </w:pPr>
            <w:hyperlink w:anchor="page13">
              <w:r>
                <w:rPr>
                  <w:rFonts w:ascii="Arial" w:cs="Arial" w:eastAsia="Arial" w:hAnsi="Arial"/>
                  <w:sz w:val="20"/>
                  <w:szCs w:val="20"/>
                  <w:u w:val="single" w:color="auto"/>
                  <w:color w:val="0000EE"/>
                  <w:w w:val="89"/>
                </w:rPr>
                <w:t>10</w:t>
              </w:r>
            </w:hyperlink>
          </w:p>
        </w:tc>
      </w:tr>
      <w:tr>
        <w:trPr>
          <w:trHeight w:val="608"/>
        </w:trPr>
        <w:tc>
          <w:tcPr>
            <w:tcW w:w="7960" w:type="dxa"/>
            <w:vAlign w:val="bottom"/>
          </w:tcPr>
          <w:p>
            <w:pPr>
              <w:ind w:left="400"/>
              <w:spacing w:after="0"/>
              <w:rPr>
                <w:sz w:val="20"/>
                <w:szCs w:val="20"/>
                <w:color w:val="auto"/>
              </w:rPr>
            </w:pPr>
            <w:r>
              <w:rPr>
                <w:rFonts w:ascii="Arial" w:cs="Arial" w:eastAsia="Arial" w:hAnsi="Arial"/>
                <w:sz w:val="20"/>
                <w:szCs w:val="20"/>
                <w:color w:val="auto"/>
              </w:rPr>
              <w:t>Exhibit Index</w:t>
            </w:r>
          </w:p>
        </w:tc>
        <w:tc>
          <w:tcPr>
            <w:tcW w:w="880" w:type="dxa"/>
            <w:vAlign w:val="bottom"/>
          </w:tcPr>
          <w:p>
            <w:pPr>
              <w:jc w:val="center"/>
              <w:ind w:left="121"/>
              <w:spacing w:after="0"/>
              <w:rPr>
                <w:rFonts w:ascii="Arial" w:cs="Arial" w:eastAsia="Arial" w:hAnsi="Arial"/>
                <w:sz w:val="20"/>
                <w:szCs w:val="20"/>
                <w:u w:val="single" w:color="auto"/>
                <w:color w:val="0000EE"/>
                <w:w w:val="80"/>
              </w:rPr>
            </w:pPr>
            <w:hyperlink w:anchor="page14">
              <w:r>
                <w:rPr>
                  <w:rFonts w:ascii="Arial" w:cs="Arial" w:eastAsia="Arial" w:hAnsi="Arial"/>
                  <w:sz w:val="20"/>
                  <w:szCs w:val="20"/>
                  <w:u w:val="single" w:color="auto"/>
                  <w:color w:val="0000EE"/>
                  <w:w w:val="80"/>
                </w:rPr>
                <w:t>11</w:t>
              </w:r>
            </w:hyperlink>
          </w:p>
        </w:tc>
      </w:tr>
      <w:tr>
        <w:trPr>
          <w:trHeight w:val="608"/>
        </w:trPr>
        <w:tc>
          <w:tcPr>
            <w:tcW w:w="7960" w:type="dxa"/>
            <w:vAlign w:val="bottom"/>
          </w:tcPr>
          <w:p>
            <w:pPr>
              <w:ind w:left="400"/>
              <w:spacing w:after="0"/>
              <w:rPr>
                <w:sz w:val="20"/>
                <w:szCs w:val="20"/>
                <w:color w:val="auto"/>
              </w:rPr>
            </w:pPr>
            <w:r>
              <w:rPr>
                <w:rFonts w:ascii="Arial" w:cs="Arial" w:eastAsia="Arial" w:hAnsi="Arial"/>
                <w:sz w:val="20"/>
                <w:szCs w:val="20"/>
                <w:color w:val="auto"/>
              </w:rPr>
              <w:t>Signature</w:t>
            </w:r>
          </w:p>
        </w:tc>
        <w:tc>
          <w:tcPr>
            <w:tcW w:w="880" w:type="dxa"/>
            <w:vAlign w:val="bottom"/>
          </w:tcPr>
          <w:p>
            <w:pPr>
              <w:jc w:val="center"/>
              <w:ind w:left="121"/>
              <w:spacing w:after="0"/>
              <w:rPr>
                <w:rFonts w:ascii="Arial" w:cs="Arial" w:eastAsia="Arial" w:hAnsi="Arial"/>
                <w:sz w:val="20"/>
                <w:szCs w:val="20"/>
                <w:u w:val="single" w:color="auto"/>
                <w:color w:val="0000EE"/>
                <w:w w:val="80"/>
              </w:rPr>
            </w:pPr>
            <w:hyperlink w:anchor="page14">
              <w:r>
                <w:rPr>
                  <w:rFonts w:ascii="Arial" w:cs="Arial" w:eastAsia="Arial" w:hAnsi="Arial"/>
                  <w:sz w:val="20"/>
                  <w:szCs w:val="20"/>
                  <w:u w:val="single" w:color="auto"/>
                  <w:color w:val="0000EE"/>
                  <w:w w:val="80"/>
                </w:rPr>
                <w:t>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hanging="172"/>
        <w:spacing w:after="0" w:line="277" w:lineRule="auto"/>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Crown Cork &amp; Seal Company, Inc. Retirement Thrift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have audited the accompanying statement of net assets available for benefits of the Crown Cork &amp; Seal Company, Inc. Retirement Thrift Plan (the "Plan") as of December 31, 2019 and 2018,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supplemental Schedule H, Line 4i - Schedule of Assets (Held at End of Year) as of December 31, 2019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/s/ Baker Tilly Virchow Krause,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2005.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June 18, 2020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49"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RETIREMENT THRIFT PLAN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68662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60" w:type="dxa"/>
            <w:vAlign w:val="bottom"/>
            <w:gridSpan w:val="3"/>
          </w:tcPr>
          <w:p>
            <w:pPr>
              <w:jc w:val="right"/>
              <w:ind w:right="2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0"/>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61"/>
        </w:trPr>
        <w:tc>
          <w:tcPr>
            <w:tcW w:w="6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481"/>
              <w:spacing w:after="0"/>
              <w:rPr>
                <w:sz w:val="20"/>
                <w:szCs w:val="20"/>
                <w:color w:val="auto"/>
              </w:rPr>
            </w:pPr>
            <w:r>
              <w:rPr>
                <w:rFonts w:ascii="Arial" w:cs="Arial" w:eastAsia="Arial" w:hAnsi="Arial"/>
                <w:sz w:val="20"/>
                <w:szCs w:val="20"/>
                <w:b w:val="1"/>
                <w:bCs w:val="1"/>
                <w:color w:val="auto"/>
              </w:rPr>
              <w:t>2019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481"/>
              <w:spacing w:after="0"/>
              <w:rPr>
                <w:sz w:val="20"/>
                <w:szCs w:val="20"/>
                <w:color w:val="auto"/>
              </w:rPr>
            </w:pPr>
            <w:r>
              <w:rPr>
                <w:rFonts w:ascii="Arial" w:cs="Arial" w:eastAsia="Arial" w:hAnsi="Arial"/>
                <w:sz w:val="20"/>
                <w:szCs w:val="20"/>
                <w:b w:val="1"/>
                <w:bCs w:val="1"/>
                <w:color w:val="auto"/>
              </w:rPr>
              <w:t>2018</w:t>
            </w:r>
          </w:p>
        </w:tc>
        <w:tc>
          <w:tcPr>
            <w:tcW w:w="320" w:type="dxa"/>
            <w:vAlign w:val="bottom"/>
          </w:tcPr>
          <w:p>
            <w:pPr>
              <w:spacing w:after="0"/>
              <w:rPr>
                <w:sz w:val="22"/>
                <w:szCs w:val="22"/>
                <w:color w:val="auto"/>
              </w:rPr>
            </w:pPr>
          </w:p>
        </w:tc>
      </w:tr>
      <w:tr>
        <w:trPr>
          <w:trHeight w:val="30"/>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61"/>
        </w:trPr>
        <w:tc>
          <w:tcPr>
            <w:tcW w:w="612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Baird Core Plus Bond Fund</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7,278,659</w:t>
            </w:r>
          </w:p>
        </w:tc>
        <w:tc>
          <w:tcPr>
            <w:tcW w:w="13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6,042,958</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DFA Emerging Markets Core Equity Portfolio</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159,295</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66,594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DFA US Targeted Value Portfolio</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81,986</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75,937</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HSBC Opportunity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11,987,464</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9,533,689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JPMorgan Intrepid Value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2,591,530</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2,228,019</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T. Rowe Price International Discovery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194,705</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128,335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Vanguard Developed Markets Index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1,218,323</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592,726</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International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9,147,687</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7,582,758</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Vanguard Morgan Growth Fund</w:t>
            </w:r>
          </w:p>
        </w:tc>
        <w:tc>
          <w:tcPr>
            <w:tcW w:w="280" w:type="dxa"/>
            <w:vAlign w:val="bottom"/>
          </w:tcPr>
          <w:p>
            <w:pPr>
              <w:spacing w:after="0"/>
              <w:rPr>
                <w:sz w:val="22"/>
                <w:szCs w:val="22"/>
                <w:color w:val="auto"/>
              </w:rPr>
            </w:pPr>
          </w:p>
        </w:tc>
        <w:tc>
          <w:tcPr>
            <w:tcW w:w="2560" w:type="dxa"/>
            <w:vAlign w:val="bottom"/>
            <w:gridSpan w:val="2"/>
          </w:tcPr>
          <w:p>
            <w:pPr>
              <w:jc w:val="right"/>
              <w:ind w:right="14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1,009,544</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Prime Money Market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128,788</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105,110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2015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2,603,950</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2,129,077</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2020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2,046,817</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1,959,580</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2025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5,961,604</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5,072,512</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2030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5,709,359</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4,226,988</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2035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3,697,244</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2,859,288</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2040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2,904,499</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2,093,533</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2045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1,584,310</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1,107,667</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2050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2,345,427</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1,599,931</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2055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1,062,299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663,462</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2060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547,481</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274,966</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Target Retirement 2065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103,675</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24,333</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3"/>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Income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1,857,725</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1,144,157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Total Stock Market Index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41,014,919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33,667,837</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U.S.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1,429,585</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w:t>
            </w:r>
          </w:p>
        </w:tc>
      </w:tr>
      <w:tr>
        <w:trPr>
          <w:trHeight w:val="260"/>
        </w:trPr>
        <w:tc>
          <w:tcPr>
            <w:tcW w:w="6120" w:type="dxa"/>
            <w:vAlign w:val="bottom"/>
          </w:tcPr>
          <w:p>
            <w:pPr>
              <w:ind w:left="160"/>
              <w:spacing w:after="0"/>
              <w:rPr>
                <w:sz w:val="20"/>
                <w:szCs w:val="20"/>
                <w:color w:val="auto"/>
              </w:rPr>
            </w:pPr>
            <w:r>
              <w:rPr>
                <w:rFonts w:ascii="Arial" w:cs="Arial" w:eastAsia="Arial" w:hAnsi="Arial"/>
                <w:sz w:val="20"/>
                <w:szCs w:val="20"/>
                <w:color w:val="auto"/>
              </w:rPr>
              <w:t>Vanguard Wellington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10,853,889</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9,097,380</w:t>
            </w:r>
          </w:p>
        </w:tc>
        <w:tc>
          <w:tcPr>
            <w:tcW w:w="320" w:type="dxa"/>
            <w:vAlign w:val="bottom"/>
          </w:tcPr>
          <w:p>
            <w:pPr>
              <w:spacing w:after="0"/>
              <w:rPr>
                <w:sz w:val="22"/>
                <w:szCs w:val="22"/>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116,511,220</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93,286,381</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30"/>
        </w:trPr>
        <w:tc>
          <w:tcPr>
            <w:tcW w:w="6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6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24,539,426</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24,709,995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20"/>
              <w:spacing w:after="0"/>
              <w:rPr>
                <w:sz w:val="20"/>
                <w:szCs w:val="20"/>
                <w:color w:val="auto"/>
              </w:rPr>
            </w:pPr>
            <w:r>
              <w:rPr>
                <w:rFonts w:ascii="Arial" w:cs="Arial" w:eastAsia="Arial" w:hAnsi="Arial"/>
                <w:sz w:val="20"/>
                <w:szCs w:val="20"/>
                <w:color w:val="auto"/>
              </w:rPr>
              <w:t>Crown Holdings, Inc. Stock Fund</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5,417,112</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3,199,110</w:t>
            </w:r>
          </w:p>
        </w:tc>
        <w:tc>
          <w:tcPr>
            <w:tcW w:w="320" w:type="dxa"/>
            <w:vAlign w:val="bottom"/>
          </w:tcPr>
          <w:p>
            <w:pPr>
              <w:spacing w:after="0"/>
              <w:rPr>
                <w:sz w:val="22"/>
                <w:szCs w:val="22"/>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77"/>
        </w:trPr>
        <w:tc>
          <w:tcPr>
            <w:tcW w:w="6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20"/>
                <w:szCs w:val="20"/>
                <w:b w:val="1"/>
                <w:bCs w:val="1"/>
                <w:color w:val="auto"/>
              </w:rPr>
              <w:t>Total investments, at fair value</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146,467,758</w:t>
            </w:r>
          </w:p>
        </w:tc>
        <w:tc>
          <w:tcPr>
            <w:tcW w:w="1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121,195,486</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23"/>
        </w:trPr>
        <w:tc>
          <w:tcPr>
            <w:tcW w:w="6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6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Receivables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0"/>
        </w:trPr>
        <w:tc>
          <w:tcPr>
            <w:tcW w:w="612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3,629,493</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3,425,752</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8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Employer's contributions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653,569</w:t>
            </w:r>
          </w:p>
        </w:tc>
        <w:tc>
          <w:tcPr>
            <w:tcW w:w="1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551,025</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54"/>
        </w:trPr>
        <w:tc>
          <w:tcPr>
            <w:tcW w:w="6120" w:type="dxa"/>
            <w:vAlign w:val="bottom"/>
          </w:tcPr>
          <w:p>
            <w:pPr>
              <w:ind w:left="920"/>
              <w:spacing w:after="0"/>
              <w:rPr>
                <w:sz w:val="20"/>
                <w:szCs w:val="20"/>
                <w:color w:val="auto"/>
              </w:rPr>
            </w:pPr>
            <w:r>
              <w:rPr>
                <w:rFonts w:ascii="Arial" w:cs="Arial" w:eastAsia="Arial" w:hAnsi="Arial"/>
                <w:sz w:val="20"/>
                <w:szCs w:val="20"/>
                <w:b w:val="1"/>
                <w:bCs w:val="1"/>
                <w:color w:val="auto"/>
              </w:rPr>
              <w:t>Total receivables</w:t>
            </w: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4,283,062</w:t>
            </w:r>
          </w:p>
        </w:tc>
        <w:tc>
          <w:tcPr>
            <w:tcW w:w="13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3,976,777</w:t>
            </w:r>
          </w:p>
        </w:tc>
        <w:tc>
          <w:tcPr>
            <w:tcW w:w="320" w:type="dxa"/>
            <w:vAlign w:val="bottom"/>
          </w:tcPr>
          <w:p>
            <w:pPr>
              <w:spacing w:after="0"/>
              <w:rPr>
                <w:sz w:val="22"/>
                <w:szCs w:val="22"/>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23"/>
        </w:trPr>
        <w:tc>
          <w:tcPr>
            <w:tcW w:w="6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60"/>
        </w:trPr>
        <w:tc>
          <w:tcPr>
            <w:tcW w:w="6120" w:type="dxa"/>
            <w:vAlign w:val="bottom"/>
          </w:tcPr>
          <w:p>
            <w:pPr>
              <w:ind w:left="840"/>
              <w:spacing w:after="0"/>
              <w:rPr>
                <w:sz w:val="20"/>
                <w:szCs w:val="20"/>
                <w:color w:val="auto"/>
              </w:rPr>
            </w:pPr>
            <w:r>
              <w:rPr>
                <w:rFonts w:ascii="Arial" w:cs="Arial" w:eastAsia="Arial" w:hAnsi="Arial"/>
                <w:sz w:val="20"/>
                <w:szCs w:val="20"/>
                <w:b w:val="1"/>
                <w:bCs w:val="1"/>
                <w:color w:val="auto"/>
              </w:rPr>
              <w:t>Total assets</w:t>
            </w:r>
          </w:p>
        </w:tc>
        <w:tc>
          <w:tcPr>
            <w:tcW w:w="28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150,750,820</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w w:val="98"/>
              </w:rPr>
              <w:t>125,172,263</w:t>
            </w:r>
          </w:p>
        </w:tc>
        <w:tc>
          <w:tcPr>
            <w:tcW w:w="320" w:type="dxa"/>
            <w:vAlign w:val="bottom"/>
          </w:tcPr>
          <w:p>
            <w:pPr>
              <w:spacing w:after="0"/>
              <w:rPr>
                <w:sz w:val="22"/>
                <w:szCs w:val="22"/>
                <w:color w:val="auto"/>
              </w:rPr>
            </w:pP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0"/>
        </w:trPr>
        <w:tc>
          <w:tcPr>
            <w:tcW w:w="6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60"/>
        </w:trPr>
        <w:tc>
          <w:tcPr>
            <w:tcW w:w="6120" w:type="dxa"/>
            <w:vAlign w:val="bottom"/>
          </w:tcPr>
          <w:p>
            <w:pPr>
              <w:ind w:left="20"/>
              <w:spacing w:after="0"/>
              <w:rPr>
                <w:sz w:val="20"/>
                <w:szCs w:val="20"/>
                <w:color w:val="auto"/>
              </w:rPr>
            </w:pPr>
            <w:r>
              <w:rPr>
                <w:rFonts w:ascii="Arial" w:cs="Arial" w:eastAsia="Arial" w:hAnsi="Arial"/>
                <w:sz w:val="20"/>
                <w:szCs w:val="20"/>
                <w:b w:val="1"/>
                <w:bCs w:val="1"/>
                <w:color w:val="auto"/>
              </w:rPr>
              <w:t>LIABILITIES</w:t>
            </w:r>
          </w:p>
        </w:tc>
        <w:tc>
          <w:tcPr>
            <w:tcW w:w="280" w:type="dxa"/>
            <w:vAlign w:val="bottom"/>
          </w:tcPr>
          <w:p>
            <w:pPr>
              <w:spacing w:after="0"/>
              <w:rPr>
                <w:sz w:val="22"/>
                <w:szCs w:val="22"/>
                <w:color w:val="auto"/>
              </w:rPr>
            </w:pPr>
          </w:p>
        </w:tc>
        <w:tc>
          <w:tcPr>
            <w:tcW w:w="2560" w:type="dxa"/>
            <w:vAlign w:val="bottom"/>
            <w:gridSpan w:val="2"/>
          </w:tcPr>
          <w:p>
            <w:pPr>
              <w:jc w:val="center"/>
              <w:ind w:right="1600"/>
              <w:spacing w:after="0"/>
              <w:rPr>
                <w:sz w:val="20"/>
                <w:szCs w:val="20"/>
                <w:color w:val="auto"/>
              </w:rPr>
            </w:pPr>
            <w:r>
              <w:rPr>
                <w:rFonts w:ascii="Arial" w:cs="Arial" w:eastAsia="Arial" w:hAnsi="Arial"/>
                <w:sz w:val="20"/>
                <w:szCs w:val="20"/>
                <w:color w:val="auto"/>
                <w:w w:val="99"/>
              </w:rPr>
              <w:t>—</w:t>
            </w:r>
          </w:p>
        </w:tc>
        <w:tc>
          <w:tcPr>
            <w:tcW w:w="300" w:type="dxa"/>
            <w:vAlign w:val="bottom"/>
          </w:tcPr>
          <w:p>
            <w:pPr>
              <w:spacing w:after="0"/>
              <w:rPr>
                <w:sz w:val="22"/>
                <w:szCs w:val="22"/>
                <w:color w:val="auto"/>
              </w:rPr>
            </w:pPr>
          </w:p>
        </w:tc>
        <w:tc>
          <w:tcPr>
            <w:tcW w:w="1560" w:type="dxa"/>
            <w:vAlign w:val="bottom"/>
            <w:gridSpan w:val="2"/>
          </w:tcPr>
          <w:p>
            <w:pPr>
              <w:jc w:val="center"/>
              <w:ind w:right="640"/>
              <w:spacing w:after="0"/>
              <w:rPr>
                <w:sz w:val="20"/>
                <w:szCs w:val="20"/>
                <w:color w:val="auto"/>
              </w:rPr>
            </w:pPr>
            <w:r>
              <w:rPr>
                <w:rFonts w:ascii="Arial" w:cs="Arial" w:eastAsia="Arial" w:hAnsi="Arial"/>
                <w:sz w:val="20"/>
                <w:szCs w:val="20"/>
                <w:color w:val="auto"/>
                <w:w w:val="99"/>
              </w:rPr>
              <w:t>—</w:t>
            </w:r>
          </w:p>
        </w:tc>
      </w:tr>
      <w:tr>
        <w:trPr>
          <w:trHeight w:val="2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0"/>
        </w:trPr>
        <w:tc>
          <w:tcPr>
            <w:tcW w:w="6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68"/>
        </w:trPr>
        <w:tc>
          <w:tcPr>
            <w:tcW w:w="61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150,750,820</w:t>
            </w:r>
          </w:p>
        </w:tc>
        <w:tc>
          <w:tcPr>
            <w:tcW w:w="1300" w:type="dxa"/>
            <w:vAlign w:val="bottom"/>
          </w:tcPr>
          <w:p>
            <w:pPr>
              <w:spacing w:after="0"/>
              <w:rPr>
                <w:sz w:val="23"/>
                <w:szCs w:val="23"/>
                <w:color w:val="auto"/>
              </w:rPr>
            </w:pP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w w:val="98"/>
              </w:rPr>
              <w:t>125,172,263</w:t>
            </w:r>
          </w:p>
        </w:tc>
        <w:tc>
          <w:tcPr>
            <w:tcW w:w="3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5715</wp:posOffset>
            </wp:positionV>
            <wp:extent cx="977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22860</wp:posOffset>
            </wp:positionV>
            <wp:extent cx="977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5715</wp:posOffset>
            </wp:positionV>
            <wp:extent cx="977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22860</wp:posOffset>
            </wp:positionV>
            <wp:extent cx="977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0820"/>
          </w:cols>
          <w:pgMar w:left="540" w:top="706" w:right="539" w:bottom="1440" w:gutter="0" w:footer="0" w:header="0"/>
        </w:sectPr>
      </w:pP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820"/>
          </w:cols>
          <w:pgMar w:left="540" w:top="706" w:right="5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25"/>
          <w:szCs w:val="25"/>
          <w:b w:val="1"/>
          <w:bCs w:val="1"/>
          <w:color w:val="auto"/>
        </w:rPr>
        <w:t>CROWN CORK &amp; SEAL COMPANY, INC.</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RETIREMENT THRIFT PLAN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6866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80" w:type="dxa"/>
            <w:vAlign w:val="bottom"/>
            <w:gridSpan w:val="4"/>
          </w:tcPr>
          <w:p>
            <w:pPr>
              <w:jc w:val="right"/>
              <w:ind w:right="541"/>
              <w:spacing w:after="0"/>
              <w:rPr>
                <w:sz w:val="20"/>
                <w:szCs w:val="20"/>
                <w:color w:val="auto"/>
              </w:rPr>
            </w:pPr>
            <w:r>
              <w:rPr>
                <w:rFonts w:ascii="Arial" w:cs="Arial" w:eastAsia="Arial" w:hAnsi="Arial"/>
                <w:sz w:val="20"/>
                <w:szCs w:val="20"/>
                <w:b w:val="1"/>
                <w:bCs w:val="1"/>
                <w:color w:val="auto"/>
              </w:rPr>
              <w:t>For the Year Ended December 31,</w:t>
            </w:r>
          </w:p>
        </w:tc>
      </w:tr>
      <w:tr>
        <w:trPr>
          <w:trHeight w:val="30"/>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1"/>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481"/>
              <w:spacing w:after="0"/>
              <w:rPr>
                <w:sz w:val="20"/>
                <w:szCs w:val="20"/>
                <w:color w:val="auto"/>
              </w:rPr>
            </w:pPr>
            <w:r>
              <w:rPr>
                <w:rFonts w:ascii="Arial" w:cs="Arial" w:eastAsia="Arial" w:hAnsi="Arial"/>
                <w:sz w:val="20"/>
                <w:szCs w:val="20"/>
                <w:b w:val="1"/>
                <w:bCs w:val="1"/>
                <w:color w:val="auto"/>
              </w:rPr>
              <w:t>2019</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481"/>
              <w:spacing w:after="0"/>
              <w:rPr>
                <w:sz w:val="20"/>
                <w:szCs w:val="20"/>
                <w:color w:val="auto"/>
              </w:rPr>
            </w:pPr>
            <w:r>
              <w:rPr>
                <w:rFonts w:ascii="Arial" w:cs="Arial" w:eastAsia="Arial" w:hAnsi="Arial"/>
                <w:sz w:val="20"/>
                <w:szCs w:val="20"/>
                <w:b w:val="1"/>
                <w:bCs w:val="1"/>
                <w:color w:val="auto"/>
              </w:rPr>
              <w:t>2018</w:t>
            </w:r>
          </w:p>
        </w:tc>
      </w:tr>
      <w:tr>
        <w:trPr>
          <w:trHeight w:val="30"/>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color w:val="auto"/>
              </w:rPr>
              <w:t>Investment income (loss):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and dividend income</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4,110,120</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5,346,777</w:t>
            </w:r>
          </w:p>
        </w:tc>
      </w:tr>
      <w:tr>
        <w:trPr>
          <w:trHeight w:val="261"/>
        </w:trPr>
        <w:tc>
          <w:tcPr>
            <w:tcW w:w="6220" w:type="dxa"/>
            <w:vAlign w:val="bottom"/>
          </w:tcPr>
          <w:p>
            <w:pPr>
              <w:ind w:left="180"/>
              <w:spacing w:after="0"/>
              <w:rPr>
                <w:sz w:val="20"/>
                <w:szCs w:val="20"/>
                <w:color w:val="auto"/>
              </w:rPr>
            </w:pPr>
            <w:r>
              <w:rPr>
                <w:rFonts w:ascii="Arial" w:cs="Arial" w:eastAsia="Arial" w:hAnsi="Arial"/>
                <w:sz w:val="20"/>
                <w:szCs w:val="20"/>
                <w:color w:val="auto"/>
              </w:rPr>
              <w:t>Net appreciation (depreciation) in fair value of investments</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23,053,922</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(11,525,893)</w:t>
            </w: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6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20"/>
                <w:szCs w:val="20"/>
                <w:b w:val="1"/>
                <w:bCs w:val="1"/>
                <w:color w:val="auto"/>
              </w:rPr>
              <w:t>Total investment income (loss)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27,164,042</w:t>
            </w:r>
          </w:p>
        </w:tc>
        <w:tc>
          <w:tcPr>
            <w:tcW w:w="10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(6,179,116)</w:t>
            </w:r>
          </w:p>
        </w:tc>
      </w:tr>
      <w:tr>
        <w:trPr>
          <w:trHeight w:val="318"/>
        </w:trPr>
        <w:tc>
          <w:tcPr>
            <w:tcW w:w="6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8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190,759</w:t>
            </w:r>
          </w:p>
        </w:tc>
        <w:tc>
          <w:tcPr>
            <w:tcW w:w="10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172,558</w:t>
            </w:r>
          </w:p>
        </w:tc>
      </w:tr>
      <w:tr>
        <w:trPr>
          <w:trHeight w:val="254"/>
        </w:trPr>
        <w:tc>
          <w:tcPr>
            <w:tcW w:w="6220" w:type="dxa"/>
            <w:vAlign w:val="bottom"/>
          </w:tcPr>
          <w:p>
            <w:pPr>
              <w:ind w:left="620"/>
              <w:spacing w:after="0"/>
              <w:rPr>
                <w:sz w:val="20"/>
                <w:szCs w:val="20"/>
                <w:color w:val="auto"/>
              </w:rPr>
            </w:pPr>
            <w:r>
              <w:rPr>
                <w:rFonts w:ascii="Arial" w:cs="Arial" w:eastAsia="Arial" w:hAnsi="Arial"/>
                <w:sz w:val="20"/>
                <w:szCs w:val="20"/>
                <w:b w:val="1"/>
                <w:bCs w:val="1"/>
                <w:color w:val="auto"/>
              </w:rPr>
              <w:t>Total interest income, notes receivable</w:t>
            </w: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190,759</w:t>
            </w:r>
          </w:p>
        </w:tc>
        <w:tc>
          <w:tcPr>
            <w:tcW w:w="10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172,558</w:t>
            </w: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color w:val="auto"/>
              </w:rPr>
              <w:t>Contributions: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Employer</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1,968,745</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2,202,022</w:t>
            </w:r>
          </w:p>
        </w:tc>
      </w:tr>
      <w:tr>
        <w:trPr>
          <w:trHeight w:val="261"/>
        </w:trPr>
        <w:tc>
          <w:tcPr>
            <w:tcW w:w="6220" w:type="dxa"/>
            <w:vAlign w:val="bottom"/>
          </w:tcPr>
          <w:p>
            <w:pPr>
              <w:ind w:left="180"/>
              <w:spacing w:after="0"/>
              <w:rPr>
                <w:sz w:val="20"/>
                <w:szCs w:val="20"/>
                <w:color w:val="auto"/>
              </w:rPr>
            </w:pPr>
            <w:r>
              <w:rPr>
                <w:rFonts w:ascii="Arial" w:cs="Arial" w:eastAsia="Arial" w:hAnsi="Arial"/>
                <w:sz w:val="20"/>
                <w:szCs w:val="20"/>
                <w:color w:val="auto"/>
              </w:rPr>
              <w:t>Participant</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5,460,866</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5,026,630</w:t>
            </w: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6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20"/>
                <w:szCs w:val="20"/>
                <w:b w:val="1"/>
                <w:bCs w:val="1"/>
                <w:color w:val="auto"/>
              </w:rPr>
              <w:t>Total contributions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7,429,611</w:t>
            </w:r>
          </w:p>
        </w:tc>
        <w:tc>
          <w:tcPr>
            <w:tcW w:w="10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7,228,652</w:t>
            </w:r>
          </w:p>
        </w:tc>
      </w:tr>
      <w:tr>
        <w:trPr>
          <w:trHeight w:val="318"/>
        </w:trPr>
        <w:tc>
          <w:tcPr>
            <w:tcW w:w="6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8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additions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19,129</w:t>
            </w:r>
          </w:p>
        </w:tc>
        <w:tc>
          <w:tcPr>
            <w:tcW w:w="10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12,233</w:t>
            </w:r>
          </w:p>
        </w:tc>
      </w:tr>
      <w:tr>
        <w:trPr>
          <w:trHeight w:val="254"/>
        </w:trPr>
        <w:tc>
          <w:tcPr>
            <w:tcW w:w="6220" w:type="dxa"/>
            <w:vAlign w:val="bottom"/>
          </w:tcPr>
          <w:p>
            <w:pPr>
              <w:ind w:left="620"/>
              <w:spacing w:after="0"/>
              <w:rPr>
                <w:sz w:val="20"/>
                <w:szCs w:val="20"/>
                <w:color w:val="auto"/>
              </w:rPr>
            </w:pPr>
            <w:r>
              <w:rPr>
                <w:rFonts w:ascii="Arial" w:cs="Arial" w:eastAsia="Arial" w:hAnsi="Arial"/>
                <w:sz w:val="20"/>
                <w:szCs w:val="20"/>
                <w:b w:val="1"/>
                <w:bCs w:val="1"/>
                <w:color w:val="auto"/>
              </w:rPr>
              <w:t>Total additions</w:t>
            </w: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34,803,541</w:t>
            </w:r>
          </w:p>
        </w:tc>
        <w:tc>
          <w:tcPr>
            <w:tcW w:w="10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1,234,327</w:t>
            </w: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7"/>
        </w:trPr>
        <w:tc>
          <w:tcPr>
            <w:tcW w:w="6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0"/>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Benefits paid to participants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9,063,304</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10,663,589</w:t>
            </w:r>
          </w:p>
        </w:tc>
      </w:tr>
      <w:tr>
        <w:trPr>
          <w:trHeight w:val="260"/>
        </w:trPr>
        <w:tc>
          <w:tcPr>
            <w:tcW w:w="6220" w:type="dxa"/>
            <w:vAlign w:val="bottom"/>
          </w:tcPr>
          <w:p>
            <w:pPr>
              <w:ind w:left="20"/>
              <w:spacing w:after="0"/>
              <w:rPr>
                <w:sz w:val="20"/>
                <w:szCs w:val="20"/>
                <w:color w:val="auto"/>
              </w:rPr>
            </w:pPr>
            <w:r>
              <w:rPr>
                <w:rFonts w:ascii="Arial" w:cs="Arial" w:eastAsia="Arial" w:hAnsi="Arial"/>
                <w:sz w:val="20"/>
                <w:szCs w:val="20"/>
                <w:color w:val="auto"/>
              </w:rPr>
              <w:t>Administrative expenses</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161,680</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146,392</w:t>
            </w: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6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20"/>
                <w:szCs w:val="20"/>
                <w:b w:val="1"/>
                <w:bCs w:val="1"/>
                <w:color w:val="auto"/>
              </w:rPr>
              <w:t>Total deductions</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9,224,984</w:t>
            </w:r>
          </w:p>
        </w:tc>
        <w:tc>
          <w:tcPr>
            <w:tcW w:w="10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10,809,981</w:t>
            </w:r>
          </w:p>
        </w:tc>
      </w:tr>
      <w:tr>
        <w:trPr>
          <w:trHeight w:val="318"/>
        </w:trPr>
        <w:tc>
          <w:tcPr>
            <w:tcW w:w="6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(decrease)</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25,578,557</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(9,575,654)</w:t>
            </w:r>
          </w:p>
        </w:tc>
      </w:tr>
      <w:tr>
        <w:trPr>
          <w:trHeight w:val="324"/>
        </w:trPr>
        <w:tc>
          <w:tcPr>
            <w:tcW w:w="6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0"/>
        </w:trPr>
        <w:tc>
          <w:tcPr>
            <w:tcW w:w="6220" w:type="dxa"/>
            <w:vAlign w:val="bottom"/>
          </w:tcPr>
          <w:p>
            <w:pPr>
              <w:ind w:left="180"/>
              <w:spacing w:after="0"/>
              <w:rPr>
                <w:sz w:val="20"/>
                <w:szCs w:val="20"/>
                <w:color w:val="auto"/>
              </w:rPr>
            </w:pPr>
            <w:r>
              <w:rPr>
                <w:rFonts w:ascii="Arial" w:cs="Arial" w:eastAsia="Arial" w:hAnsi="Arial"/>
                <w:sz w:val="20"/>
                <w:szCs w:val="20"/>
                <w:color w:val="auto"/>
              </w:rPr>
              <w:t>Beginning of year</w:t>
            </w: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125,172,263</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134,747,917</w:t>
            </w: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End of year</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150,750,820</w:t>
            </w:r>
          </w:p>
        </w:tc>
        <w:tc>
          <w:tcPr>
            <w:tcW w:w="10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125,172,263</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380"/>
          </w:cols>
          <w:pgMar w:left="540" w:top="711"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380"/>
          </w:cols>
          <w:pgMar w:left="540" w:top="711" w:right="9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 of the Crown Cork &amp; Seal Company, Inc. Retirement Thrift Plan (the "Plan") provides only general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Participants should refer to the Plan document for a more complete description of the Plan's provisions.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The Plan is subject to the provisions of the Employee Retirement Income Security Act of 1974 (“ERISA”).</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Participants may elect to make basic and supplemental contributions (where permitted) each pay period as defined in the Plan document. Participants direct the investment of their contributions into various investment options offered by the Plan. Company contributions are invested in accordance with participant investment directions. Basic contributions may be matched by the Company at various rates as determined by the employer company, as defined in the Plan document. Supplemental contributions (where permitted) are not matched by the Company. In addition, certain participants receive profit sharing contributions, some of which are discretionary, from the Company at varying rates as determined by the employer company, as defined in the Plan document. Discretionary contributions in 2019 and 2018 totaled $653,569 and $986,477, respectively. Discretionary contributions in 2019 include those earned in 2019 while 2018 include those earned in 2018 and 2017. Due to materiality, recording contributions earned in 2018 and 2017 in one year was deemed appropriate. Contribution amounts are subject to certain Internal Revenue Service (“IRS”) limitations.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Each participant’s account is credited with the participant’s contributions and allocation of (a) the Company’s contribution and (b) Plan earnings, and charged with an allocation of any administrative fees. Allocations are based on participant earnings or account balances, as defined. The benefit to which a participant is entitled is the benefit that can be provided from the participant’s vested account.</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on a graded scale, depending on the employer company and as defined in the Plan document.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does not generally permit participants to borrow from their accounts. However, in some circumstances participants who are employees of certain divisions of the Company and participants who are former participants of certain plans, which have merged into the Plan, are permitted to borrow from their accounts. Generally, these participants may borrow from their account a minimum of $1,000 up to a maximum of the lesser of $50,000 or 50% of their vested account balance.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2019 and 2018 range from 4.25% to 6.50%. Principal and interest are paid ratably through monthly payroll deductions.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When certain terminations of participation in the Plan occur, the non-vested portion of the participant’s account, as defined, represents a forfeiture. Total unallocated forfeitures, which will be used to reduce future Company contributions, were $5,086 and $3,048 at December 31, 2019 and 2018, respectively. Forfeitures used to offset Company contributions in 2019 and 2018 totaled $35,964 and $23,634,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6"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The Plan’s investments are reported at fair value</w:t>
      </w:r>
      <w:r>
        <w:rPr>
          <w:rFonts w:ascii="Arial" w:cs="Arial" w:eastAsia="Arial" w:hAnsi="Arial"/>
          <w:sz w:val="19"/>
          <w:szCs w:val="19"/>
          <w:color w:val="auto"/>
        </w:rPr>
        <w:t>.</w:t>
      </w:r>
      <w:r>
        <w:rPr>
          <w:rFonts w:ascii="Arial" w:cs="Arial" w:eastAsia="Arial" w:hAnsi="Arial"/>
          <w:sz w:val="18"/>
          <w:szCs w:val="18"/>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Purchases and sales of securities are recorded on the trade-date basis. Interest income is recorded on the accrual basis. Dividends are recorded on the ex-dividend date. Net appreciation (depreciation) includes the Plan’s gains and losses on investments bought and sold as well as held during the year.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2019 and 2018.</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Recordkeeping expenses and fees related to the administration of notes receivable from participants are charged directly to the participant’s account and are included in administrative expenses. Investment related expenses are included in net appreciation (depreciation) in fair value of investments. Expenses paid by the Company are excluded from these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Standards</w:t>
      </w:r>
    </w:p>
    <w:p>
      <w:pPr>
        <w:spacing w:after="0" w:line="2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ASU No. 2018-13 modifies the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fair value measurements in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 amendments are based on the concepts in the FASB Concepts Statement, </w:t>
      </w:r>
      <w:r>
        <w:rPr>
          <w:rFonts w:ascii="Arial" w:cs="Arial" w:eastAsia="Arial" w:hAnsi="Arial"/>
          <w:sz w:val="18"/>
          <w:szCs w:val="18"/>
          <w:i w:val="1"/>
          <w:iCs w:val="1"/>
          <w:color w:val="auto"/>
        </w:rPr>
        <w:t>Conceptual Framework for Financial Reporting-Chapter 8: Notes to Financial Statements</w:t>
      </w:r>
      <w:r>
        <w:rPr>
          <w:rFonts w:ascii="Arial" w:cs="Arial" w:eastAsia="Arial" w:hAnsi="Arial"/>
          <w:sz w:val="18"/>
          <w:szCs w:val="18"/>
          <w:color w:val="auto"/>
        </w:rPr>
        <w:t>, which the FASB finalized on August 28, 2018. ASU No. 2018-13 is effective for fiscal years beginning after December 15, 2019. Early adoption is permitted. Management is currently assessing the impact that ASU No. 2018-13 will have on the Plan’s financial statements.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91"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90"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1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18"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20" w:type="dxa"/>
            <w:vAlign w:val="bottom"/>
            <w:gridSpan w:val="4"/>
          </w:tcPr>
          <w:p>
            <w:pPr>
              <w:ind w:left="260"/>
              <w:spacing w:after="0"/>
              <w:rPr>
                <w:sz w:val="20"/>
                <w:szCs w:val="20"/>
                <w:color w:val="auto"/>
              </w:rPr>
            </w:pPr>
            <w:r>
              <w:rPr>
                <w:rFonts w:ascii="Arial" w:cs="Arial" w:eastAsia="Arial" w:hAnsi="Arial"/>
                <w:sz w:val="20"/>
                <w:szCs w:val="20"/>
                <w:b w:val="1"/>
                <w:bCs w:val="1"/>
                <w:color w:val="auto"/>
              </w:rPr>
              <w:t>Assets at Fair Value as of December 31, 2019</w:t>
            </w:r>
          </w:p>
        </w:tc>
      </w:tr>
      <w:tr>
        <w:trPr>
          <w:trHeight w:val="23"/>
        </w:trPr>
        <w:tc>
          <w:tcPr>
            <w:tcW w:w="4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2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116,511,220</w:t>
            </w:r>
          </w:p>
        </w:tc>
        <w:tc>
          <w:tcPr>
            <w:tcW w:w="13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116,511,220</w:t>
            </w:r>
          </w:p>
        </w:tc>
      </w:tr>
      <w:tr>
        <w:trPr>
          <w:trHeight w:val="260"/>
        </w:trPr>
        <w:tc>
          <w:tcPr>
            <w:tcW w:w="4900" w:type="dxa"/>
            <w:vAlign w:val="bottom"/>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5,417,112</w:t>
            </w: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5,417,112</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319"/>
        </w:trPr>
        <w:tc>
          <w:tcPr>
            <w:tcW w:w="490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121,928,332</w:t>
            </w:r>
          </w:p>
        </w:tc>
        <w:tc>
          <w:tcPr>
            <w:tcW w:w="1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
              <w:spacing w:after="0"/>
              <w:rPr>
                <w:sz w:val="20"/>
                <w:szCs w:val="20"/>
                <w:color w:val="auto"/>
              </w:rPr>
            </w:pPr>
            <w:r>
              <w:rPr>
                <w:rFonts w:ascii="Arial" w:cs="Arial" w:eastAsia="Arial" w:hAnsi="Arial"/>
                <w:sz w:val="20"/>
                <w:szCs w:val="20"/>
                <w:color w:val="auto"/>
              </w:rPr>
              <w:t>121,928,332</w:t>
            </w:r>
          </w:p>
        </w:tc>
      </w:tr>
      <w:tr>
        <w:trPr>
          <w:trHeight w:val="282"/>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0"/>
        </w:trPr>
        <w:tc>
          <w:tcPr>
            <w:tcW w:w="4900" w:type="dxa"/>
            <w:vAlign w:val="bottom"/>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24,539,426</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0"/>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79"/>
        </w:trPr>
        <w:tc>
          <w:tcPr>
            <w:tcW w:w="49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146,467,758</w:t>
            </w: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20" w:type="dxa"/>
            <w:vAlign w:val="bottom"/>
            <w:gridSpan w:val="4"/>
          </w:tcPr>
          <w:p>
            <w:pPr>
              <w:ind w:left="260"/>
              <w:spacing w:after="0"/>
              <w:rPr>
                <w:sz w:val="20"/>
                <w:szCs w:val="20"/>
                <w:color w:val="auto"/>
              </w:rPr>
            </w:pPr>
            <w:r>
              <w:rPr>
                <w:rFonts w:ascii="Arial" w:cs="Arial" w:eastAsia="Arial" w:hAnsi="Arial"/>
                <w:sz w:val="20"/>
                <w:szCs w:val="20"/>
                <w:b w:val="1"/>
                <w:bCs w:val="1"/>
                <w:color w:val="auto"/>
              </w:rPr>
              <w:t>Assets at Fair Value as of December 31, 2018</w:t>
            </w:r>
          </w:p>
        </w:tc>
      </w:tr>
      <w:tr>
        <w:trPr>
          <w:trHeight w:val="23"/>
        </w:trPr>
        <w:tc>
          <w:tcPr>
            <w:tcW w:w="4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4"/>
        </w:trPr>
        <w:tc>
          <w:tcPr>
            <w:tcW w:w="4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2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93,286,381</w:t>
            </w:r>
          </w:p>
        </w:tc>
        <w:tc>
          <w:tcPr>
            <w:tcW w:w="13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93,286,381</w:t>
            </w:r>
          </w:p>
        </w:tc>
      </w:tr>
      <w:tr>
        <w:trPr>
          <w:trHeight w:val="260"/>
        </w:trPr>
        <w:tc>
          <w:tcPr>
            <w:tcW w:w="4900" w:type="dxa"/>
            <w:vAlign w:val="bottom"/>
          </w:tcPr>
          <w:p>
            <w:pPr>
              <w:ind w:left="20"/>
              <w:spacing w:after="0"/>
              <w:rPr>
                <w:sz w:val="20"/>
                <w:szCs w:val="20"/>
                <w:color w:val="auto"/>
              </w:rPr>
            </w:pPr>
            <w:r>
              <w:rPr>
                <w:rFonts w:ascii="Arial" w:cs="Arial" w:eastAsia="Arial" w:hAnsi="Arial"/>
                <w:sz w:val="20"/>
                <w:szCs w:val="20"/>
                <w:color w:val="auto"/>
              </w:rPr>
              <w:t>Company common stock fund</w:t>
            </w:r>
          </w:p>
        </w:tc>
        <w:tc>
          <w:tcPr>
            <w:tcW w:w="34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3,199,110</w:t>
            </w: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3,199,110</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0"/>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319"/>
        </w:trPr>
        <w:tc>
          <w:tcPr>
            <w:tcW w:w="490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Total assets in fair value hierarchy</w:t>
            </w: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96,485,491</w:t>
            </w:r>
          </w:p>
        </w:tc>
        <w:tc>
          <w:tcPr>
            <w:tcW w:w="1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
              <w:spacing w:after="0"/>
              <w:rPr>
                <w:sz w:val="20"/>
                <w:szCs w:val="20"/>
                <w:color w:val="auto"/>
              </w:rPr>
            </w:pPr>
            <w:r>
              <w:rPr>
                <w:rFonts w:ascii="Arial" w:cs="Arial" w:eastAsia="Arial" w:hAnsi="Arial"/>
                <w:sz w:val="20"/>
                <w:szCs w:val="20"/>
                <w:color w:val="auto"/>
              </w:rPr>
              <w:t>96,485,491</w:t>
            </w:r>
          </w:p>
        </w:tc>
      </w:tr>
      <w:tr>
        <w:trPr>
          <w:trHeight w:val="282"/>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0"/>
        </w:trPr>
        <w:tc>
          <w:tcPr>
            <w:tcW w:w="4900" w:type="dxa"/>
            <w:vAlign w:val="bottom"/>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24,709,995</w:t>
            </w:r>
          </w:p>
        </w:tc>
      </w:tr>
      <w:tr>
        <w:trPr>
          <w:trHeight w:val="23"/>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0"/>
        </w:trPr>
        <w:tc>
          <w:tcPr>
            <w:tcW w:w="4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79"/>
        </w:trPr>
        <w:tc>
          <w:tcPr>
            <w:tcW w:w="49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121,195,486</w:t>
            </w:r>
          </w:p>
        </w:tc>
      </w:tr>
      <w:tr>
        <w:trPr>
          <w:trHeight w:val="20"/>
        </w:trPr>
        <w:tc>
          <w:tcPr>
            <w:tcW w:w="4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both"/>
        <w:ind w:left="980" w:hanging="324"/>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9"/>
          <w:szCs w:val="19"/>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2019 and 2018.</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2019 and 2018, respectively. There are no participant redemption restrictions for these investments; the redemption notice period is applicable only to the Plan.</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560" w:type="dxa"/>
            <w:vAlign w:val="bottom"/>
            <w:gridSpan w:val="4"/>
          </w:tcPr>
          <w:p>
            <w:pPr>
              <w:ind w:left="820"/>
              <w:spacing w:after="0"/>
              <w:rPr>
                <w:sz w:val="20"/>
                <w:szCs w:val="20"/>
                <w:color w:val="auto"/>
              </w:rPr>
            </w:pPr>
            <w:r>
              <w:rPr>
                <w:rFonts w:ascii="Arial" w:cs="Arial" w:eastAsia="Arial" w:hAnsi="Arial"/>
                <w:sz w:val="20"/>
                <w:szCs w:val="20"/>
                <w:b w:val="1"/>
                <w:bCs w:val="1"/>
                <w:color w:val="auto"/>
              </w:rPr>
              <w:t>December 31, 2019</w:t>
            </w:r>
          </w:p>
        </w:tc>
        <w:tc>
          <w:tcPr>
            <w:tcW w:w="1440" w:type="dxa"/>
            <w:vAlign w:val="bottom"/>
          </w:tcPr>
          <w:p>
            <w:pPr>
              <w:spacing w:after="0"/>
              <w:rPr>
                <w:sz w:val="22"/>
                <w:szCs w:val="22"/>
                <w:color w:val="auto"/>
              </w:rPr>
            </w:pPr>
          </w:p>
        </w:tc>
      </w:tr>
      <w:tr>
        <w:trPr>
          <w:trHeight w:val="23"/>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92"/>
              </w:rPr>
              <w:t>Unfunded</w:t>
            </w:r>
          </w:p>
        </w:tc>
        <w:tc>
          <w:tcPr>
            <w:tcW w:w="172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88"/>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Commitments</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24,539,426</w:t>
            </w: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20"/>
                <w:szCs w:val="20"/>
                <w:color w:val="auto"/>
              </w:rPr>
              <w:t>N/A</w:t>
            </w:r>
          </w:p>
        </w:tc>
        <w:tc>
          <w:tcPr>
            <w:tcW w:w="17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rPr>
              <w:t>N/A</w:t>
            </w:r>
          </w:p>
        </w:tc>
      </w:tr>
      <w:tr>
        <w:trPr>
          <w:trHeight w:val="585"/>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4"/>
          </w:tcPr>
          <w:p>
            <w:pPr>
              <w:ind w:left="820"/>
              <w:spacing w:after="0"/>
              <w:rPr>
                <w:sz w:val="20"/>
                <w:szCs w:val="20"/>
                <w:color w:val="auto"/>
              </w:rPr>
            </w:pPr>
            <w:r>
              <w:rPr>
                <w:rFonts w:ascii="Arial" w:cs="Arial" w:eastAsia="Arial" w:hAnsi="Arial"/>
                <w:sz w:val="20"/>
                <w:szCs w:val="20"/>
                <w:b w:val="1"/>
                <w:bCs w:val="1"/>
                <w:color w:val="auto"/>
              </w:rPr>
              <w:t>December 31, 2018</w:t>
            </w:r>
          </w:p>
        </w:tc>
        <w:tc>
          <w:tcPr>
            <w:tcW w:w="1440" w:type="dxa"/>
            <w:vAlign w:val="bottom"/>
          </w:tcPr>
          <w:p>
            <w:pPr>
              <w:spacing w:after="0"/>
              <w:rPr>
                <w:sz w:val="24"/>
                <w:szCs w:val="24"/>
                <w:color w:val="auto"/>
              </w:rPr>
            </w:pPr>
          </w:p>
        </w:tc>
      </w:tr>
      <w:tr>
        <w:trPr>
          <w:trHeight w:val="23"/>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92"/>
              </w:rPr>
              <w:t>Unfunded</w:t>
            </w:r>
          </w:p>
        </w:tc>
        <w:tc>
          <w:tcPr>
            <w:tcW w:w="1720" w:type="dxa"/>
            <w:vAlign w:val="bottom"/>
            <w:gridSpan w:val="2"/>
          </w:tcPr>
          <w:p>
            <w:pPr>
              <w:jc w:val="center"/>
              <w:ind w:right="220"/>
              <w:spacing w:after="0" w:line="228" w:lineRule="exact"/>
              <w:rPr>
                <w:sz w:val="20"/>
                <w:szCs w:val="20"/>
                <w:color w:val="auto"/>
              </w:rPr>
            </w:pPr>
            <w:r>
              <w:rPr>
                <w:rFonts w:ascii="Arial" w:cs="Arial" w:eastAsia="Arial" w:hAnsi="Arial"/>
                <w:sz w:val="20"/>
                <w:szCs w:val="20"/>
                <w:b w:val="1"/>
                <w:bCs w:val="1"/>
                <w:color w:val="auto"/>
                <w:w w:val="88"/>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40" w:type="dxa"/>
            <w:vAlign w:val="bottom"/>
            <w:gridSpan w:val="2"/>
          </w:tcPr>
          <w:p>
            <w:pPr>
              <w:jc w:val="center"/>
              <w:ind w:right="200"/>
              <w:spacing w:after="0"/>
              <w:rPr>
                <w:sz w:val="20"/>
                <w:szCs w:val="20"/>
                <w:color w:val="auto"/>
              </w:rPr>
            </w:pPr>
            <w:r>
              <w:rPr>
                <w:rFonts w:ascii="Arial" w:cs="Arial" w:eastAsia="Arial" w:hAnsi="Arial"/>
                <w:sz w:val="20"/>
                <w:szCs w:val="20"/>
                <w:b w:val="1"/>
                <w:bCs w:val="1"/>
                <w:color w:val="auto"/>
                <w:w w:val="89"/>
              </w:rPr>
              <w:t>Commitments</w:t>
            </w:r>
          </w:p>
        </w:tc>
        <w:tc>
          <w:tcPr>
            <w:tcW w:w="1720" w:type="dxa"/>
            <w:vAlign w:val="bottom"/>
            <w:gridSpan w:val="2"/>
          </w:tcPr>
          <w:p>
            <w:pPr>
              <w:jc w:val="center"/>
              <w:ind w:right="22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24,709,995</w:t>
            </w:r>
          </w:p>
        </w:tc>
        <w:tc>
          <w:tcPr>
            <w:tcW w:w="2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center"/>
              <w:ind w:right="220"/>
              <w:spacing w:after="0"/>
              <w:rPr>
                <w:sz w:val="20"/>
                <w:szCs w:val="20"/>
                <w:color w:val="auto"/>
              </w:rPr>
            </w:pPr>
            <w:r>
              <w:rPr>
                <w:rFonts w:ascii="Arial" w:cs="Arial" w:eastAsia="Arial" w:hAnsi="Arial"/>
                <w:sz w:val="20"/>
                <w:szCs w:val="20"/>
                <w:color w:val="auto"/>
              </w:rPr>
              <w:t>N/A</w:t>
            </w:r>
          </w:p>
        </w:tc>
        <w:tc>
          <w:tcPr>
            <w:tcW w:w="1720" w:type="dxa"/>
            <w:vAlign w:val="bottom"/>
            <w:gridSpan w:val="2"/>
            <w:shd w:val="clear" w:color="auto" w:fill="CCEEFF"/>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r>
      <w:tr>
        <w:trPr>
          <w:trHeight w:val="23"/>
        </w:trPr>
        <w:tc>
          <w:tcPr>
            <w:tcW w:w="3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35"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74,700 and 77,000 shares of Crown Holdings, Inc. common stock representing 3.6% and 2.6% of Plan assets as of December 31, 2019 and 2018, respectively. For the years 2019 and 2018, the Company common stock fund had purchases of $322,834 and $217,001, respectively, and sales of $452,315 and $583,291, respectively. There were no dividends on the Company's common stock in 2019 or 2018.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 believes it is no longer subject to income tax examination for years prior to 2016.</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0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As of December 31, 2019 and 2018, the Plan had investments of $65,554,345 and $58,377,832,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49"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Supplemental Information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CROWN CORK &amp; SEAL COMPANY, INC. RETIREMENT THRIFT PLAN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6179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Crown Cork &amp; Seal Company, Inc. Retirement Thrift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EIN 23-1526444 Plan No. 105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9"/>
              <w:spacing w:after="0"/>
              <w:rPr>
                <w:sz w:val="20"/>
                <w:szCs w:val="20"/>
                <w:color w:val="auto"/>
              </w:rPr>
            </w:pPr>
            <w:r>
              <w:rPr>
                <w:rFonts w:ascii="Arial" w:cs="Arial" w:eastAsia="Arial" w:hAnsi="Arial"/>
                <w:sz w:val="20"/>
                <w:szCs w:val="20"/>
                <w:b w:val="1"/>
                <w:bCs w:val="1"/>
                <w:color w:val="auto"/>
              </w:rPr>
              <w:t>Current</w:t>
            </w:r>
          </w:p>
        </w:tc>
      </w:tr>
      <w:tr>
        <w:trPr>
          <w:trHeight w:val="256"/>
        </w:trPr>
        <w:tc>
          <w:tcPr>
            <w:tcW w:w="14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Arial" w:cs="Arial" w:eastAsia="Arial" w:hAnsi="Arial"/>
                <w:sz w:val="20"/>
                <w:szCs w:val="20"/>
                <w:b w:val="1"/>
                <w:bCs w:val="1"/>
                <w:color w:val="auto"/>
              </w:rPr>
              <w:t>Identity of Participant-Directed Issues</w:t>
            </w:r>
          </w:p>
        </w:tc>
        <w:tc>
          <w:tcPr>
            <w:tcW w:w="4740" w:type="dxa"/>
            <w:vAlign w:val="bottom"/>
          </w:tcPr>
          <w:p>
            <w:pPr>
              <w:ind w:left="1660"/>
              <w:spacing w:after="0"/>
              <w:rPr>
                <w:sz w:val="20"/>
                <w:szCs w:val="20"/>
                <w:color w:val="auto"/>
              </w:rPr>
            </w:pPr>
            <w:r>
              <w:rPr>
                <w:rFonts w:ascii="Arial" w:cs="Arial" w:eastAsia="Arial" w:hAnsi="Arial"/>
                <w:sz w:val="20"/>
                <w:szCs w:val="20"/>
                <w:b w:val="1"/>
                <w:bCs w:val="1"/>
                <w:color w:val="auto"/>
              </w:rPr>
              <w:t>Investment Type</w:t>
            </w:r>
          </w:p>
        </w:tc>
        <w:tc>
          <w:tcPr>
            <w:tcW w:w="180" w:type="dxa"/>
            <w:vAlign w:val="bottom"/>
          </w:tcPr>
          <w:p>
            <w:pPr>
              <w:spacing w:after="0"/>
              <w:rPr>
                <w:sz w:val="22"/>
                <w:szCs w:val="22"/>
                <w:color w:val="auto"/>
              </w:rPr>
            </w:pPr>
          </w:p>
        </w:tc>
        <w:tc>
          <w:tcPr>
            <w:tcW w:w="1080" w:type="dxa"/>
            <w:vAlign w:val="bottom"/>
          </w:tcPr>
          <w:p>
            <w:pPr>
              <w:jc w:val="right"/>
              <w:ind w:right="9"/>
              <w:spacing w:after="0"/>
              <w:rPr>
                <w:sz w:val="20"/>
                <w:szCs w:val="20"/>
                <w:color w:val="auto"/>
              </w:rPr>
            </w:pPr>
            <w:r>
              <w:rPr>
                <w:rFonts w:ascii="Arial" w:cs="Arial" w:eastAsia="Arial" w:hAnsi="Arial"/>
                <w:sz w:val="20"/>
                <w:szCs w:val="20"/>
                <w:b w:val="1"/>
                <w:bCs w:val="1"/>
                <w:color w:val="auto"/>
              </w:rPr>
              <w:t>Value</w:t>
            </w:r>
          </w:p>
        </w:tc>
      </w:tr>
      <w:tr>
        <w:trPr>
          <w:trHeight w:val="30"/>
        </w:trPr>
        <w:tc>
          <w:tcPr>
            <w:tcW w:w="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Baird Core Plus Bond Fund</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7,278,659</w:t>
            </w:r>
          </w:p>
        </w:tc>
      </w:tr>
      <w:tr>
        <w:trPr>
          <w:trHeight w:val="243"/>
        </w:trPr>
        <w:tc>
          <w:tcPr>
            <w:tcW w:w="14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DFA Emerging Markets Core Equity Portfolio</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159,295</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DFA US Targeted Value Portfolio</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81,986</w:t>
            </w:r>
          </w:p>
        </w:tc>
      </w:tr>
      <w:tr>
        <w:trPr>
          <w:trHeight w:val="243"/>
        </w:trPr>
        <w:tc>
          <w:tcPr>
            <w:tcW w:w="14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HSBC Opportunity Fund</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11,987,464</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JPMorgan Intrepid Value Fund</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2,591,530</w:t>
            </w:r>
          </w:p>
        </w:tc>
      </w:tr>
      <w:tr>
        <w:trPr>
          <w:trHeight w:val="243"/>
        </w:trPr>
        <w:tc>
          <w:tcPr>
            <w:tcW w:w="14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T. Rowe Price International Discovery Fund</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194,705</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Developed Markets Index Fund</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1,218,323</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International Growth Fund</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9,147,687</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Prime Money Market fund</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128,788</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2015 Trust</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2,603,950</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2020 Trust</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2,046,817</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2025 Trust</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5,961,604</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2030 Trust</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5,709,359</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2035 Trust</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3,697,244</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2040 Trust</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2,904,499</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2045 Trust</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1,584,310</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2050 Trust</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2,345,427</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2055 Trust</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1,062,299</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2060 Trust</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547,481</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Target Retirement 2065 Trust</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103,675</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Target Retirement Income Fund</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1,857,725</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Total Stock Market Index Fund</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41,014,919</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U.S. Growth Fund</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1,429,585</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Vanguard Wellington Fund</w:t>
            </w:r>
          </w:p>
        </w:tc>
        <w:tc>
          <w:tcPr>
            <w:tcW w:w="4740" w:type="dxa"/>
            <w:vAlign w:val="bottom"/>
          </w:tcPr>
          <w:p>
            <w:pPr>
              <w:ind w:left="94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10,853,889</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Vanguard Retirement Savings Trust</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Collective Trust Fund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24,539,426</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8"/>
                <w:szCs w:val="18"/>
                <w:color w:val="auto"/>
              </w:rPr>
              <w:t>* Crown Holdings, Inc. Stock Fund</w:t>
            </w:r>
          </w:p>
        </w:tc>
        <w:tc>
          <w:tcPr>
            <w:tcW w:w="4740" w:type="dxa"/>
            <w:vAlign w:val="bottom"/>
          </w:tcPr>
          <w:p>
            <w:pPr>
              <w:ind w:left="940"/>
              <w:spacing w:after="0"/>
              <w:rPr>
                <w:sz w:val="20"/>
                <w:szCs w:val="20"/>
                <w:color w:val="auto"/>
              </w:rPr>
            </w:pPr>
            <w:r>
              <w:rPr>
                <w:rFonts w:ascii="Arial" w:cs="Arial" w:eastAsia="Arial" w:hAnsi="Arial"/>
                <w:sz w:val="18"/>
                <w:szCs w:val="18"/>
                <w:color w:val="auto"/>
              </w:rPr>
              <w:t>Common Stock Fund</w:t>
            </w:r>
          </w:p>
        </w:tc>
        <w:tc>
          <w:tcPr>
            <w:tcW w:w="180" w:type="dxa"/>
            <w:vAlign w:val="bottom"/>
          </w:tcPr>
          <w:p>
            <w:pPr>
              <w:spacing w:after="0"/>
              <w:rPr>
                <w:sz w:val="21"/>
                <w:szCs w:val="21"/>
                <w:color w:val="auto"/>
              </w:rPr>
            </w:pPr>
          </w:p>
        </w:tc>
        <w:tc>
          <w:tcPr>
            <w:tcW w:w="1080" w:type="dxa"/>
            <w:vAlign w:val="bottom"/>
          </w:tcPr>
          <w:p>
            <w:pPr>
              <w:jc w:val="right"/>
              <w:ind w:right="9"/>
              <w:spacing w:after="0"/>
              <w:rPr>
                <w:sz w:val="20"/>
                <w:szCs w:val="20"/>
                <w:color w:val="auto"/>
              </w:rPr>
            </w:pPr>
            <w:r>
              <w:rPr>
                <w:rFonts w:ascii="Arial" w:cs="Arial" w:eastAsia="Arial" w:hAnsi="Arial"/>
                <w:sz w:val="18"/>
                <w:szCs w:val="18"/>
                <w:color w:val="auto"/>
              </w:rPr>
              <w:t>5,417,112</w:t>
            </w:r>
          </w:p>
        </w:tc>
      </w:tr>
      <w:tr>
        <w:trPr>
          <w:trHeight w:val="27"/>
        </w:trPr>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Notes receivable from participants</w:t>
            </w:r>
          </w:p>
        </w:tc>
        <w:tc>
          <w:tcPr>
            <w:tcW w:w="47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Interest rates: 4.25% - 6.50%</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3,629,493</w:t>
            </w:r>
          </w:p>
        </w:tc>
      </w:tr>
      <w:tr>
        <w:trPr>
          <w:trHeight w:val="259"/>
        </w:trPr>
        <w:tc>
          <w:tcPr>
            <w:tcW w:w="14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Arial" w:cs="Arial" w:eastAsia="Arial" w:hAnsi="Arial"/>
                <w:sz w:val="20"/>
                <w:szCs w:val="20"/>
                <w:b w:val="1"/>
                <w:bCs w:val="1"/>
                <w:color w:val="auto"/>
              </w:rPr>
              <w:t>Total Assets (Held at End of Year)</w:t>
            </w:r>
          </w:p>
        </w:tc>
        <w:tc>
          <w:tcPr>
            <w:tcW w:w="47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8"/>
                <w:szCs w:val="18"/>
                <w:color w:val="auto"/>
                <w:w w:val="95"/>
              </w:rPr>
              <w:t>150,097,251</w:t>
            </w:r>
          </w:p>
        </w:tc>
      </w:tr>
      <w:tr>
        <w:trPr>
          <w:trHeight w:val="20"/>
        </w:trPr>
        <w:tc>
          <w:tcPr>
            <w:tcW w:w="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Party-in-Interest as defined by ERISA</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20"/>
          </w:cols>
          <w:pgMar w:left="740" w:top="922" w:right="7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186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611"/>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22"/>
                <w:szCs w:val="22"/>
                <w:color w:val="auto"/>
                <w:w w:val="91"/>
              </w:rPr>
              <w:t>Exhibit Number</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28"/>
        </w:trPr>
        <w:tc>
          <w:tcPr>
            <w:tcW w:w="1440" w:type="dxa"/>
            <w:vAlign w:val="bottom"/>
            <w:gridSpan w:val="2"/>
          </w:tcPr>
          <w:p>
            <w:pPr>
              <w:ind w:left="40"/>
              <w:spacing w:after="0"/>
              <w:rPr>
                <w:sz w:val="20"/>
                <w:szCs w:val="20"/>
                <w:color w:val="auto"/>
              </w:rPr>
            </w:pPr>
            <w:r>
              <w:rPr>
                <w:rFonts w:ascii="Arial" w:cs="Arial" w:eastAsia="Arial" w:hAnsi="Arial"/>
                <w:sz w:val="22"/>
                <w:szCs w:val="22"/>
                <w:color w:val="auto"/>
              </w:rPr>
              <w:t>23</w:t>
            </w:r>
          </w:p>
        </w:tc>
        <w:tc>
          <w:tcPr>
            <w:tcW w:w="420" w:type="dxa"/>
            <w:vAlign w:val="bottom"/>
          </w:tcPr>
          <w:p>
            <w:pPr>
              <w:spacing w:after="0"/>
              <w:rPr>
                <w:sz w:val="24"/>
                <w:szCs w:val="24"/>
                <w:color w:val="auto"/>
              </w:rPr>
            </w:pPr>
          </w:p>
        </w:tc>
        <w:tc>
          <w:tcPr>
            <w:tcW w:w="5620" w:type="dxa"/>
            <w:vAlign w:val="bottom"/>
            <w:gridSpan w:val="3"/>
          </w:tcPr>
          <w:p>
            <w:pPr>
              <w:ind w:left="420"/>
              <w:spacing w:after="0"/>
              <w:rPr>
                <w:rFonts w:ascii="Arial" w:cs="Arial" w:eastAsia="Arial" w:hAnsi="Arial"/>
                <w:sz w:val="22"/>
                <w:szCs w:val="22"/>
                <w:u w:val="single" w:color="auto"/>
                <w:color w:val="0000EE"/>
                <w:w w:val="89"/>
              </w:rPr>
            </w:pPr>
            <w:hyperlink w:anchor="page15">
              <w:r>
                <w:rPr>
                  <w:rFonts w:ascii="Arial" w:cs="Arial" w:eastAsia="Arial" w:hAnsi="Arial"/>
                  <w:sz w:val="22"/>
                  <w:szCs w:val="22"/>
                  <w:u w:val="single" w:color="auto"/>
                  <w:color w:val="0000EE"/>
                  <w:w w:val="89"/>
                </w:rPr>
                <w:t>Consent of Independent Registered Public Accounting Firm</w:t>
              </w:r>
            </w:hyperlink>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8"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Crown Cork &amp; Seal Company, Inc.</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Retirement Thrift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tabs>
          <w:tab w:leader="none" w:pos="6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Beaver</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18, 2020</w:t>
      </w:r>
    </w:p>
    <w:p>
      <w:pPr>
        <w:sectPr>
          <w:pgSz w:w="11900" w:h="16838" w:orient="portrait"/>
          <w:cols w:equalWidth="0" w:num="1">
            <w:col w:w="10960"/>
          </w:cols>
          <w:pgMar w:left="320" w:top="814"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320" w:top="814" w:right="6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incorporation by reference in the Registration Statements (No. 333-140992 and No. 333-230008) on Form S-8 of our report dated June 18, 2020, which appears in this annual report on Form 11-K of the Crown Cork &amp; Seal Company, Inc. Retirement Thrift Plan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/s/ Baker Tilly Virchow Krause,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June 18, 2020</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2020-06-18T14:13:46Z</dcterms:created>
  <dcterms:modified xsi:type="dcterms:W3CDTF">2020-06-18T14:13:46Z</dcterms:modified>
</cp:coreProperties>
</file>