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NOVAES DJALMA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President - Americas Division</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01/05/2022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10,277</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87,750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10,277 shares of Restricted Common Stock under the 2013 Stock-Based Compensation Plan. 3,507 time-vested restricted shares vest over a three year period as follows: 1,169 time-vested restricted shares on January 5, 2023 and 2024, respectively, and 1,169 time-vested restricted shares on January 6, 2025. 3,263 performance-based restricted shares are targeted to vest on January 6, 2025 based on the Company's Total Shareholder Return versus a defined peer group of companies, with the final number of performance-based vested shares varying from 0 to 200% of 3,263. 3,507 performance-based restricted shares are targeted to vest on January 6, 2025 based on the Return on Invested Capital achieved by the Company compared to the ROIC target, with the final number of performance-based vested shares varying from 0 to 3,507.</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2022-01-07T11:39:55Z</dcterms:created>
  <dcterms:modified xsi:type="dcterms:W3CDTF">2022-01-07T11:39:55Z</dcterms:modified>
</cp:coreProperties>
</file>