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____________</w:t>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6" w:lineRule="exact"/>
        <w:rPr>
          <w:sz w:val="24"/>
          <w:szCs w:val="24"/>
          <w:color w:val="auto"/>
        </w:rPr>
      </w:pPr>
    </w:p>
    <w:p>
      <w:pPr>
        <w:ind w:left="4740"/>
        <w:spacing w:after="0"/>
        <w:rPr>
          <w:sz w:val="20"/>
          <w:szCs w:val="20"/>
          <w:color w:val="auto"/>
        </w:rPr>
      </w:pPr>
      <w:r>
        <w:rPr>
          <w:rFonts w:ascii="Arial" w:cs="Arial" w:eastAsia="Arial" w:hAnsi="Arial"/>
          <w:sz w:val="32"/>
          <w:szCs w:val="32"/>
          <w:b w:val="1"/>
          <w:bCs w:val="1"/>
          <w:color w:val="auto"/>
        </w:rPr>
        <w:t>____________</w:t>
      </w: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17, 2019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CROWN HOLDINGS,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200" w:type="dxa"/>
            <w:vAlign w:val="bottom"/>
          </w:tcPr>
          <w:p>
            <w:pPr>
              <w:jc w:val="center"/>
              <w:ind w:right="890"/>
              <w:spacing w:after="0"/>
              <w:rPr>
                <w:sz w:val="20"/>
                <w:szCs w:val="20"/>
                <w:color w:val="auto"/>
              </w:rPr>
            </w:pPr>
            <w:r>
              <w:rPr>
                <w:rFonts w:ascii="Arial" w:cs="Arial" w:eastAsia="Arial" w:hAnsi="Arial"/>
                <w:sz w:val="18"/>
                <w:szCs w:val="18"/>
                <w:b w:val="1"/>
                <w:bCs w:val="1"/>
                <w:color w:val="auto"/>
                <w:w w:val="88"/>
              </w:rPr>
              <w:t>Pennsylvania</w:t>
            </w:r>
          </w:p>
        </w:tc>
        <w:tc>
          <w:tcPr>
            <w:tcW w:w="3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000-50189</w:t>
            </w:r>
          </w:p>
        </w:tc>
        <w:tc>
          <w:tcPr>
            <w:tcW w:w="252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75-3099507</w:t>
            </w:r>
          </w:p>
        </w:tc>
      </w:tr>
      <w:tr>
        <w:trPr>
          <w:trHeight w:val="256"/>
        </w:trPr>
        <w:tc>
          <w:tcPr>
            <w:tcW w:w="3200" w:type="dxa"/>
            <w:vAlign w:val="bottom"/>
          </w:tcPr>
          <w:p>
            <w:pPr>
              <w:jc w:val="center"/>
              <w:ind w:right="870"/>
              <w:spacing w:after="0"/>
              <w:rPr>
                <w:sz w:val="20"/>
                <w:szCs w:val="20"/>
                <w:color w:val="auto"/>
              </w:rPr>
            </w:pPr>
            <w:r>
              <w:rPr>
                <w:rFonts w:ascii="Arial" w:cs="Arial" w:eastAsia="Arial" w:hAnsi="Arial"/>
                <w:sz w:val="18"/>
                <w:szCs w:val="18"/>
                <w:color w:val="auto"/>
                <w:w w:val="92"/>
              </w:rPr>
              <w:t>(State or Other Jurisdiction of</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1"/>
              </w:rPr>
              <w:t>(Commission</w:t>
            </w:r>
          </w:p>
        </w:tc>
        <w:tc>
          <w:tcPr>
            <w:tcW w:w="2520" w:type="dxa"/>
            <w:vAlign w:val="bottom"/>
          </w:tcPr>
          <w:p>
            <w:pPr>
              <w:jc w:val="center"/>
              <w:ind w:left="1110"/>
              <w:spacing w:after="0"/>
              <w:rPr>
                <w:sz w:val="20"/>
                <w:szCs w:val="20"/>
                <w:color w:val="auto"/>
              </w:rPr>
            </w:pPr>
            <w:r>
              <w:rPr>
                <w:rFonts w:ascii="Arial" w:cs="Arial" w:eastAsia="Arial" w:hAnsi="Arial"/>
                <w:sz w:val="18"/>
                <w:szCs w:val="18"/>
                <w:color w:val="auto"/>
                <w:w w:val="93"/>
              </w:rPr>
              <w:t>(I.R.S. Employer</w:t>
            </w:r>
          </w:p>
        </w:tc>
      </w:tr>
      <w:tr>
        <w:trPr>
          <w:trHeight w:val="230"/>
        </w:trPr>
        <w:tc>
          <w:tcPr>
            <w:tcW w:w="3200" w:type="dxa"/>
            <w:vAlign w:val="bottom"/>
          </w:tcPr>
          <w:p>
            <w:pPr>
              <w:jc w:val="center"/>
              <w:ind w:right="890"/>
              <w:spacing w:after="0"/>
              <w:rPr>
                <w:sz w:val="20"/>
                <w:szCs w:val="20"/>
                <w:color w:val="auto"/>
              </w:rPr>
            </w:pPr>
            <w:r>
              <w:rPr>
                <w:rFonts w:ascii="Arial" w:cs="Arial" w:eastAsia="Arial" w:hAnsi="Arial"/>
                <w:sz w:val="18"/>
                <w:szCs w:val="18"/>
                <w:color w:val="auto"/>
                <w:w w:val="92"/>
              </w:rPr>
              <w:t>Incorporation or Organization)</w:t>
            </w:r>
          </w:p>
        </w:tc>
        <w:tc>
          <w:tcPr>
            <w:tcW w:w="3140" w:type="dxa"/>
            <w:vAlign w:val="bottom"/>
          </w:tcPr>
          <w:p>
            <w:pPr>
              <w:jc w:val="center"/>
              <w:ind w:right="130"/>
              <w:spacing w:after="0"/>
              <w:rPr>
                <w:sz w:val="20"/>
                <w:szCs w:val="20"/>
                <w:color w:val="auto"/>
              </w:rPr>
            </w:pPr>
            <w:r>
              <w:rPr>
                <w:rFonts w:ascii="Arial" w:cs="Arial" w:eastAsia="Arial" w:hAnsi="Arial"/>
                <w:sz w:val="18"/>
                <w:szCs w:val="18"/>
                <w:color w:val="auto"/>
                <w:w w:val="92"/>
              </w:rPr>
              <w:t>File Number)</w:t>
            </w:r>
          </w:p>
        </w:tc>
        <w:tc>
          <w:tcPr>
            <w:tcW w:w="2520" w:type="dxa"/>
            <w:vAlign w:val="bottom"/>
          </w:tcPr>
          <w:p>
            <w:pPr>
              <w:jc w:val="center"/>
              <w:ind w:left="109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770 Township Line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Yardley, Pennsylvania 19067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(215) 698-5100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0" w:lineRule="exact"/>
        <w:rPr>
          <w:sz w:val="24"/>
          <w:szCs w:val="24"/>
          <w:color w:val="auto"/>
        </w:rPr>
      </w:pPr>
    </w:p>
    <w:p>
      <w:pPr>
        <w:spacing w:after="0" w:line="2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Soliciting material pursuant to Rule 14a-12 under the Exchange Act (17CFR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spacing w:after="0" w:line="272" w:lineRule="auto"/>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Arial" w:cs="Arial" w:eastAsia="Arial" w:hAnsi="Arial"/>
          <w:sz w:val="18"/>
          <w:szCs w:val="18"/>
          <w:b w:val="1"/>
          <w:bCs w:val="1"/>
          <w:color w:val="auto"/>
        </w:rPr>
        <w:t>o</w:t>
      </w:r>
    </w:p>
    <w:p>
      <w:pPr>
        <w:spacing w:after="0" w:line="36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215900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368" w:right="259" w:bottom="1440" w:gutter="0" w:footer="0" w:header="0"/>
        </w:sectPr>
      </w:pPr>
    </w:p>
    <w:bookmarkStart w:id="1" w:name="page2"/>
    <w:bookmarkEnd w:id="1"/>
    <w:p>
      <w:pPr>
        <w:jc w:val="right"/>
        <w:ind w:right="3419"/>
        <w:spacing w:after="0"/>
        <w:rPr>
          <w:sz w:val="20"/>
          <w:szCs w:val="20"/>
          <w:color w:val="auto"/>
        </w:rPr>
      </w:pPr>
      <w:r>
        <w:rPr>
          <w:rFonts w:ascii="Arial" w:cs="Arial" w:eastAsia="Arial" w:hAnsi="Arial"/>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1"/>
          <w:szCs w:val="21"/>
          <w:color w:val="auto"/>
        </w:rPr>
        <w:t>Item 2.02. RESULTS OF OPERATIONS AND FINANCIAL CONDITION</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22"/>
          <w:szCs w:val="22"/>
          <w:color w:val="auto"/>
        </w:rPr>
        <w:t>Item 9.01. FINANCIAL STATEMENTS AND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EX-99 PRESS RELEASE</w:t>
      </w:r>
    </w:p>
    <w:p>
      <w:pPr>
        <w:sectPr>
          <w:pgSz w:w="11900" w:h="16838" w:orient="portrait"/>
          <w:cols w:equalWidth="0" w:num="1">
            <w:col w:w="10219"/>
          </w:cols>
          <w:pgMar w:left="240" w:top="1104" w:right="1440" w:bottom="4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219"/>
          </w:cols>
          <w:pgMar w:left="240" w:top="1104" w:right="1440" w:bottom="415"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On April 17, 2019 Crown Holdings, Inc. issued a press release announcing its earnings for the first quarter ended March 31, 2019.</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 copy of the press release is attached hereto as Exhibit 99 and incorporated herein by reference.</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(c) Exhibits.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22"/>
          <w:szCs w:val="22"/>
          <w:color w:val="auto"/>
        </w:rPr>
        <w:t>The following is furnished as an exhibit to this report.</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99. Crown Holdings, Inc. press release dated April 17, 2019.</w:t>
      </w:r>
    </w:p>
    <w:p>
      <w:pPr>
        <w:sectPr>
          <w:pgSz w:w="11900" w:h="16838" w:orient="portrait"/>
          <w:cols w:equalWidth="0" w:num="1">
            <w:col w:w="11420"/>
          </w:cols>
          <w:pgMar w:left="240" w:top="104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44" w:right="239" w:bottom="1440" w:gutter="0" w:footer="0" w:header="0"/>
          <w:type w:val="continuous"/>
        </w:sectPr>
      </w:pPr>
    </w:p>
    <w:bookmarkStart w:id="3" w:name="page4"/>
    <w:bookmarkEnd w:id="3"/>
    <w:p>
      <w:pPr>
        <w:jc w:val="center"/>
        <w:ind w:right="-199"/>
        <w:spacing w:after="0"/>
        <w:rPr>
          <w:sz w:val="20"/>
          <w:szCs w:val="20"/>
          <w:color w:val="auto"/>
        </w:rPr>
      </w:pPr>
      <w:r>
        <w:rPr>
          <w:rFonts w:ascii="Arial" w:cs="Arial" w:eastAsia="Arial" w:hAnsi="Arial"/>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380"/>
        <w:spacing w:after="0"/>
        <w:rPr>
          <w:sz w:val="20"/>
          <w:szCs w:val="20"/>
          <w:color w:val="auto"/>
        </w:rPr>
      </w:pPr>
      <w:r>
        <w:rPr>
          <w:rFonts w:ascii="Arial" w:cs="Arial" w:eastAsia="Arial" w:hAnsi="Arial"/>
          <w:sz w:val="22"/>
          <w:szCs w:val="22"/>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24765</wp:posOffset>
            </wp:positionV>
            <wp:extent cx="3310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3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David A. Beaver</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Dated: April 17, 2019</w:t>
      </w:r>
    </w:p>
    <w:p>
      <w:pPr>
        <w:sectPr>
          <w:pgSz w:w="11900" w:h="16838" w:orient="portrait"/>
          <w:cols w:equalWidth="0" w:num="1">
            <w:col w:w="11240"/>
          </w:cols>
          <w:pgMar w:left="240" w:top="1090" w:right="419" w:bottom="10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240" w:top="1090" w:right="419" w:bottom="1037" w:gutter="0" w:footer="0" w:header="0"/>
          <w:type w:val="continuous"/>
        </w:sectPr>
      </w:pPr>
    </w:p>
    <w:bookmarkStart w:id="4" w:name="page5"/>
    <w:bookmarkEnd w:id="4"/>
    <w:p>
      <w:pPr>
        <w:ind w:left="4160"/>
        <w:spacing w:after="0"/>
        <w:rPr>
          <w:sz w:val="20"/>
          <w:szCs w:val="20"/>
          <w:color w:val="auto"/>
        </w:rPr>
      </w:pPr>
      <w:r>
        <w:rPr>
          <w:rFonts w:ascii="Arial" w:cs="Arial" w:eastAsia="Arial" w:hAnsi="Arial"/>
          <w:sz w:val="22"/>
          <w:szCs w:val="22"/>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00" w:type="dxa"/>
            <w:vAlign w:val="bottom"/>
          </w:tcPr>
          <w:p>
            <w:pPr>
              <w:spacing w:after="0"/>
              <w:rPr>
                <w:sz w:val="20"/>
                <w:szCs w:val="20"/>
                <w:color w:val="auto"/>
              </w:rPr>
            </w:pPr>
            <w:r>
              <w:rPr>
                <w:rFonts w:ascii="Arial" w:cs="Arial" w:eastAsia="Arial" w:hAnsi="Arial"/>
                <w:sz w:val="22"/>
                <w:szCs w:val="22"/>
                <w:color w:val="auto"/>
              </w:rPr>
              <w:t>Exhibit Number</w:t>
            </w:r>
          </w:p>
        </w:tc>
        <w:tc>
          <w:tcPr>
            <w:tcW w:w="5860" w:type="dxa"/>
            <w:vAlign w:val="bottom"/>
          </w:tcPr>
          <w:p>
            <w:pPr>
              <w:spacing w:after="0"/>
              <w:rPr>
                <w:sz w:val="20"/>
                <w:szCs w:val="20"/>
                <w:color w:val="auto"/>
              </w:rPr>
            </w:pPr>
            <w:r>
              <w:rPr>
                <w:rFonts w:ascii="Arial" w:cs="Arial" w:eastAsia="Arial" w:hAnsi="Arial"/>
                <w:sz w:val="22"/>
                <w:szCs w:val="22"/>
                <w:color w:val="auto"/>
              </w:rPr>
              <w:t>Description</w:t>
            </w:r>
          </w:p>
        </w:tc>
      </w:tr>
      <w:tr>
        <w:trPr>
          <w:trHeight w:val="544"/>
        </w:trPr>
        <w:tc>
          <w:tcPr>
            <w:tcW w:w="2100" w:type="dxa"/>
            <w:vAlign w:val="bottom"/>
          </w:tcPr>
          <w:p>
            <w:pPr>
              <w:spacing w:after="0"/>
              <w:rPr>
                <w:sz w:val="20"/>
                <w:szCs w:val="20"/>
                <w:color w:val="auto"/>
              </w:rPr>
            </w:pPr>
            <w:r>
              <w:rPr>
                <w:rFonts w:ascii="Arial" w:cs="Arial" w:eastAsia="Arial" w:hAnsi="Arial"/>
                <w:sz w:val="22"/>
                <w:szCs w:val="22"/>
                <w:color w:val="auto"/>
              </w:rPr>
              <w:t>99</w:t>
            </w:r>
          </w:p>
        </w:tc>
        <w:tc>
          <w:tcPr>
            <w:tcW w:w="5860" w:type="dxa"/>
            <w:vAlign w:val="bottom"/>
            <w:tcBorders>
              <w:bottom w:val="single" w:sz="8" w:color="0000FF"/>
            </w:tcBorders>
          </w:tcPr>
          <w:p>
            <w:pPr>
              <w:spacing w:after="0"/>
              <w:rPr>
                <w:rFonts w:ascii="Arial" w:cs="Arial" w:eastAsia="Arial" w:hAnsi="Arial"/>
                <w:sz w:val="22"/>
                <w:szCs w:val="22"/>
                <w:color w:val="0000FF"/>
                <w:w w:val="88"/>
              </w:rPr>
            </w:pPr>
            <w:hyperlink w:anchor="page6">
              <w:r>
                <w:rPr>
                  <w:rFonts w:ascii="Arial" w:cs="Arial" w:eastAsia="Arial" w:hAnsi="Arial"/>
                  <w:sz w:val="22"/>
                  <w:szCs w:val="22"/>
                  <w:color w:val="0000FF"/>
                  <w:w w:val="88"/>
                </w:rPr>
                <w:t>Press release, dated April 17, 2019, issued by Crown Holdings, Inc.</w:t>
              </w:r>
            </w:hyperlink>
          </w:p>
        </w:tc>
      </w:tr>
    </w:tbl>
    <w:p>
      <w:pPr>
        <w:spacing w:after="0" w:line="200" w:lineRule="exact"/>
        <w:rPr>
          <w:sz w:val="20"/>
          <w:szCs w:val="20"/>
          <w:color w:val="auto"/>
        </w:rPr>
      </w:pPr>
    </w:p>
    <w:p>
      <w:pPr>
        <w:sectPr>
          <w:pgSz w:w="11900" w:h="16838" w:orient="portrait"/>
          <w:cols w:equalWidth="0" w:num="1">
            <w:col w:w="9699"/>
          </w:cols>
          <w:pgMar w:left="760" w:top="1050" w:right="1440" w:bottom="7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699"/>
          </w:cols>
          <w:pgMar w:left="760" w:top="1050" w:right="1440" w:bottom="726" w:gutter="0" w:footer="0" w:header="0"/>
          <w:type w:val="continuous"/>
        </w:sectPr>
      </w:pPr>
    </w:p>
    <w:bookmarkStart w:id="5" w:name="page6"/>
    <w:bookmarkEnd w:id="5"/>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323850</wp:posOffset>
            </wp:positionV>
            <wp:extent cx="585724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572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CROWN HOLDINGS, INC. REPORTS FIRST QUARTER 2019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165735</wp:posOffset>
            </wp:positionV>
            <wp:extent cx="585724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5724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Yardley, PA - April 17, 2019. </w:t>
      </w:r>
      <w:r>
        <w:rPr>
          <w:rFonts w:ascii="Arial" w:cs="Arial" w:eastAsia="Arial" w:hAnsi="Arial"/>
          <w:sz w:val="17"/>
          <w:szCs w:val="17"/>
          <w:color w:val="auto"/>
        </w:rPr>
        <w:t>Crown Holdings, Inc. (NYSE: CCK) today announced its financial results for the first quarter ended March 31,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225" w:lineRule="exact"/>
        <w:rPr>
          <w:sz w:val="20"/>
          <w:szCs w:val="20"/>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Earnings per share $0.77 versus $0.67 in 2018</w:t>
      </w:r>
    </w:p>
    <w:p>
      <w:pPr>
        <w:spacing w:after="0" w:line="27" w:lineRule="exact"/>
        <w:rPr>
          <w:rFonts w:ascii="Arial" w:cs="Arial" w:eastAsia="Arial" w:hAnsi="Arial"/>
          <w:sz w:val="18"/>
          <w:szCs w:val="18"/>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Adjusted earnings per share increased to $1.05 over the $0.94 in 2018</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Global beverage can volumes grew 3%</w:t>
      </w:r>
    </w:p>
    <w:p>
      <w:pPr>
        <w:spacing w:after="0" w:line="9" w:lineRule="exact"/>
        <w:rPr>
          <w:rFonts w:ascii="Arial" w:cs="Arial" w:eastAsia="Arial" w:hAnsi="Arial"/>
          <w:sz w:val="18"/>
          <w:szCs w:val="18"/>
          <w:color w:val="auto"/>
        </w:rPr>
      </w:pPr>
    </w:p>
    <w:p>
      <w:pPr>
        <w:ind w:left="560" w:hanging="255"/>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Reaffirmed full year adjusted earnings and cash flow guidance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sales in the first quarter were $2,755 million compared to $2,197 million in the first quarter of 2018 reflecting the impact of the Signode acquisition in April 2018 and increased beverage and food can volumes, offset by $100 million of unfavorable currency translation impact.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from operations was $262 million in the quarter compared to $221 million in the first quarter of 2018. Segment income increased to $315 million in the first quarter compared to $245 million in the prior year first quarter and included the impact of the Signode acquisition offset by $10 million of unfavorable currency translation impact.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Commenting on the quarter, Timothy J. Donahue, President and Chief Executive Officer, stated, “We started off the year as expected, as the fundamentals underlying our global businesses remain strong. The Company is on track for a solid 2019, and we reaffirm our free cash flow guidance of $775 million for the year. Global beverage can volume during the quarter increased 3%, driven by robust shipments in Brazil, Europe and Southeast Asia. The Transit Packaging business continued to perform well and is an important strategic addition to Crown’s portfolio. As expected, we were adversely impacted by currency translation and start-up costs related to the two new beverage can facilities in Europe.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"Beverage cans are the world’s most sustainable and recycled beverage packaging and are increasingly being viewed as its most responsible format. As such, cans are gaining preference among both brand owners and consumers, as reflected by increasing offerings of new beverage products - both non-alcoholic and alcoholic - being introduced in cans versus alternative packaging formats. To meet the rising demand for beverage cans, during the first quarter, we began production on a third line at the Company’s existing plant in Phnom Penh, Cambodia and started up a second high-speed aluminum line at our new beverage can facility in Valencia, Spain. During the fourth quarter of 2019, we expect to begin operations at a new one-line beverage can plant in Rio Verde, central Brazil.”</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was $98 million in the first quarter of 2019 compared to $74 million in 2018 primarily due to higher outstanding debt from borrowings incurred to finance the Signode acquisition.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attributable to Crown Holdings in the first quarter was $103 million compared to $90 million in the first quarter of 2018. Reported diluted earnings per share were $0.77 in the first quarter of 2019 compared to $0.67 in 2018. Adjusted diluted earnings per share increased to $1.05 over the $0.94 in 2018.</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from net income and diluted earnings per share to adjusted net income and adjusted diluted earnings per share is provided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10</w:t>
      </w:r>
    </w:p>
    <w:p>
      <w:pPr>
        <w:sectPr>
          <w:pgSz w:w="11900" w:h="16838" w:orient="portrait"/>
          <w:cols w:equalWidth="0" w:num="1">
            <w:col w:w="11420"/>
          </w:cols>
          <w:pgMar w:left="240" w:top="852" w:right="239" w:bottom="1440" w:gutter="0" w:footer="0" w:header="0"/>
        </w:sectPr>
      </w:pPr>
    </w:p>
    <w:bookmarkStart w:id="6" w:name="page7"/>
    <w:bookmarkEnd w:id="6"/>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currently expects second quarter and full year 2019 adjusted diluted earnings to be in the ranges of $1.43 to $1.53 and $5.20 to $5.40 per share,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adjusted effective income tax rate for the full year of 2019 is expected to be between 25% and 26%, although it may vary from quarter to quarter.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Adjusted free cash flow, as defined below, is currently expected to be approximately $775 million for 2019, unchanged from previous guidance.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Segment income, adjusted free cash flow, net leverage ratio, adjusted net income, the adjusted effective tax rate, adjusted diluted earnings per share and adjusted EBITDA are not defined terms under U.S. generally accepted accounting principles (non-GAAP measures). Non-GAAP measures should not be considered in isolation or as a substitute for income from operations, net income, diluted earnings per share, effective tax rates, cash flow or leverage ratio data prepared in accordance with U.S. GAAP and may not be comparable to calculations of similarly titled measures by other companies.</w:t>
      </w:r>
    </w:p>
    <w:p>
      <w:pPr>
        <w:spacing w:after="0" w:line="17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Company views segment income as the principal measure of the performance of its operations and adjusted free cash flow and net leverage ratio as the principal measure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net income, the adjusted effective tax rate and adjusted diluted earnings per share are useful in evaluating the Company’s operations as these measures are adjusted for items that affect comparability between periods. Reconciliations of estimated adjusted diluted earnings per share for the second quarter and full year of 2019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costs, asset impairment charges, acquisition related costs including fair value adjustments to inventory, asbestos-related charges, losses from early extinguishment of debt, pension settlement and curtailment charges, the tax and noncontrolling interest impact of the items above, and the impact of tax law changes or other tax matters. The Company believes that adjusted free cash flow and net leverage ratio provide meaningful measures of liquidity and a useful basis for assessing the Company’s ability to fund its activities, including the financing of acquisitions, debt repayments, share repurchases or possible future dividends. Segment income, adjusted free cash flow, net leverage ratio, the adjusted effective tax rate, adjusted net income, adjusted diluted earnings per share and adjusted EBITDA are derived from the Company’s Consolidated Statements of Operations and Cash Flows and Consolidated Balance Sheets, as applicable, and reconciliations to segment income, adjusted free cash flow, net leverage ratio, the adjusted effective tax rate, adjusted net income, adjusted diluted earnings per share and adjusted EBITDA can be found within this release.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7"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The Company will hold a conference call tomorrow, April 18, 2019 at 9:00 a.m. (EDT)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Arial" w:cs="Arial" w:eastAsia="Arial" w:hAnsi="Arial"/>
          <w:sz w:val="18"/>
          <w:szCs w:val="18"/>
          <w:u w:val="single" w:color="auto"/>
          <w:color w:val="0000FF"/>
        </w:rPr>
        <w:t>www.crowncork.com</w:t>
      </w:r>
      <w:r>
        <w:rPr>
          <w:rFonts w:ascii="Arial" w:cs="Arial" w:eastAsia="Arial" w:hAnsi="Arial"/>
          <w:sz w:val="18"/>
          <w:szCs w:val="18"/>
          <w:color w:val="auto"/>
        </w:rPr>
        <w:t>. A replay of the conference call will be available for a one-week period ending at midnight on April 25. The telephone numbers for the replay are 203-369-3432 or toll free 888-562-6205.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Except for historical information, all other information in this press release consists of forward-looking statements. These forward-looking statements involve a number of risks, uncertainties and other factors, including the future impact of currency translation; the continuation of performance and market trends in 2019, including consumer preference for beverage cans and increasing global beverage can demand; the Company’s ability to successfully complete and begin production within expected timelines at its new plant in Brazil; and the Company’s ability to generate expected earnings and cash flow in 2019 that may cause actual results to be</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 of 10</w:t>
      </w:r>
    </w:p>
    <w:p>
      <w:pPr>
        <w:sectPr>
          <w:pgSz w:w="11900" w:h="16838" w:orient="portrait"/>
          <w:cols w:equalWidth="0" w:num="1">
            <w:col w:w="11420"/>
          </w:cols>
          <w:pgMar w:left="240" w:top="852" w:right="239" w:bottom="1440" w:gutter="0" w:footer="0" w:header="0"/>
        </w:sectPr>
      </w:pPr>
    </w:p>
    <w:bookmarkStart w:id="7" w:name="page8"/>
    <w:bookmarkEnd w:id="7"/>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2018 and in subsequent filings made prior to or after the date hereof. The Company does not intend to review or revise any particular forward-looking statement in light of future events.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Crown Holdings, Inc., through its subsidiaries, is a leading global supplier of rigid packaging products to consumer marketing companies, as well as transit and protective packaging products, equipment and services to a broad range of end markets. World headquarters are located in Yardley, Pennsylvania.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contact:</w:t>
      </w:r>
    </w:p>
    <w:p>
      <w:pPr>
        <w:spacing w:after="0" w:line="23" w:lineRule="exact"/>
        <w:rPr>
          <w:sz w:val="20"/>
          <w:szCs w:val="20"/>
          <w:color w:val="auto"/>
        </w:rPr>
      </w:pPr>
    </w:p>
    <w:p>
      <w:pPr>
        <w:ind w:right="4680"/>
        <w:spacing w:after="0" w:line="255" w:lineRule="auto"/>
        <w:rPr>
          <w:sz w:val="20"/>
          <w:szCs w:val="20"/>
          <w:color w:val="auto"/>
        </w:rPr>
      </w:pPr>
      <w:r>
        <w:rPr>
          <w:rFonts w:ascii="Arial" w:cs="Arial" w:eastAsia="Arial" w:hAnsi="Arial"/>
          <w:sz w:val="18"/>
          <w:szCs w:val="18"/>
          <w:color w:val="auto"/>
        </w:rPr>
        <w:t>Thomas A. Kelly, Senior Vice President and Chief Financial Officer, (215) 698-5341 Thomas T. Fischer, Vice President, Investor Relations and Corporate Affairs, (215) 552-3720 Edward Bisno, Bisno Communications, (212) 717-7578</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10</w:t>
      </w:r>
    </w:p>
    <w:p>
      <w:pPr>
        <w:sectPr>
          <w:pgSz w:w="11900" w:h="16838" w:orient="portrait"/>
          <w:cols w:equalWidth="0" w:num="1">
            <w:col w:w="11400"/>
          </w:cols>
          <w:pgMar w:left="240" w:top="852" w:right="25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5626735</wp:posOffset>
            </wp:positionH>
            <wp:positionV relativeFrom="paragraph">
              <wp:posOffset>-162560</wp:posOffset>
            </wp:positionV>
            <wp:extent cx="1551940"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Yardley, PA 19067-4219</w:t>
      </w:r>
    </w:p>
    <w:p>
      <w:pPr>
        <w:spacing w:after="0" w:line="200" w:lineRule="exact"/>
        <w:rPr>
          <w:sz w:val="20"/>
          <w:szCs w:val="20"/>
          <w:color w:val="auto"/>
        </w:rPr>
      </w:pPr>
    </w:p>
    <w:p>
      <w:pPr>
        <w:spacing w:after="0" w:line="368" w:lineRule="exact"/>
        <w:rPr>
          <w:sz w:val="20"/>
          <w:szCs w:val="20"/>
          <w:color w:val="auto"/>
        </w:rPr>
      </w:pPr>
    </w:p>
    <w:p>
      <w:pPr>
        <w:jc w:val="center"/>
        <w:ind w:right="-1140"/>
        <w:spacing w:after="0"/>
        <w:rPr>
          <w:sz w:val="20"/>
          <w:szCs w:val="20"/>
          <w:color w:val="auto"/>
        </w:rPr>
      </w:pPr>
      <w:r>
        <w:rPr>
          <w:rFonts w:ascii="Arial" w:cs="Arial" w:eastAsia="Arial" w:hAnsi="Arial"/>
          <w:sz w:val="20"/>
          <w:szCs w:val="20"/>
          <w:b w:val="1"/>
          <w:bCs w:val="1"/>
          <w:u w:val="single" w:color="auto"/>
          <w:color w:val="auto"/>
        </w:rPr>
        <w:t>Consolidated Statements of Operations (Unaudited)</w:t>
      </w:r>
    </w:p>
    <w:p>
      <w:pPr>
        <w:spacing w:after="0" w:line="24"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(in millions, except share and per share data)</w:t>
      </w:r>
    </w:p>
    <w:p>
      <w:pPr>
        <w:spacing w:after="0" w:line="367"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4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4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60" w:type="dxa"/>
            <w:vAlign w:val="bottom"/>
          </w:tcPr>
          <w:p>
            <w:pPr>
              <w:spacing w:after="0"/>
              <w:rPr>
                <w:sz w:val="23"/>
                <w:szCs w:val="23"/>
                <w:color w:val="auto"/>
              </w:rPr>
            </w:pPr>
          </w:p>
        </w:tc>
        <w:tc>
          <w:tcPr>
            <w:tcW w:w="500" w:type="dxa"/>
            <w:vAlign w:val="bottom"/>
          </w:tcPr>
          <w:p>
            <w:pPr>
              <w:spacing w:after="0"/>
              <w:rPr>
                <w:sz w:val="23"/>
                <w:szCs w:val="23"/>
                <w:color w:val="auto"/>
              </w:rPr>
            </w:pPr>
          </w:p>
        </w:tc>
      </w:tr>
      <w:tr>
        <w:trPr>
          <w:trHeight w:val="27"/>
        </w:trPr>
        <w:tc>
          <w:tcPr>
            <w:tcW w:w="4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r>
      <w:tr>
        <w:trPr>
          <w:trHeight w:val="26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2,755</w:t>
            </w:r>
          </w:p>
        </w:tc>
        <w:tc>
          <w:tcPr>
            <w:tcW w:w="6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2,197</w:t>
            </w:r>
          </w:p>
        </w:tc>
        <w:tc>
          <w:tcPr>
            <w:tcW w:w="500" w:type="dxa"/>
            <w:vAlign w:val="bottom"/>
            <w:tcBorders>
              <w:bottom w:val="single" w:sz="8" w:color="CCEEFF"/>
            </w:tcBorders>
            <w:shd w:val="clear" w:color="auto" w:fill="CCEEFF"/>
          </w:tcPr>
          <w:p>
            <w:pPr>
              <w:spacing w:after="0"/>
              <w:rPr>
                <w:sz w:val="22"/>
                <w:szCs w:val="22"/>
                <w:color w:val="auto"/>
              </w:rPr>
            </w:pPr>
          </w:p>
        </w:tc>
      </w:tr>
      <w:tr>
        <w:trPr>
          <w:trHeight w:val="318"/>
        </w:trPr>
        <w:tc>
          <w:tcPr>
            <w:tcW w:w="49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w:t>
            </w: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5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administrative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500" w:type="dxa"/>
            <w:vAlign w:val="bottom"/>
          </w:tcPr>
          <w:p>
            <w:pPr>
              <w:spacing w:after="0"/>
              <w:rPr>
                <w:sz w:val="21"/>
                <w:szCs w:val="2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r>
      <w:tr>
        <w:trPr>
          <w:trHeight w:val="264"/>
        </w:trPr>
        <w:tc>
          <w:tcPr>
            <w:tcW w:w="490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 xml:space="preserve">Income from operations </w:t>
            </w:r>
            <w:r>
              <w:rPr>
                <w:rFonts w:ascii="Arial" w:cs="Arial" w:eastAsia="Arial" w:hAnsi="Arial"/>
                <w:sz w:val="25"/>
                <w:szCs w:val="25"/>
                <w:b w:val="1"/>
                <w:bCs w:val="1"/>
                <w:color w:val="auto"/>
                <w:vertAlign w:val="superscript"/>
              </w:rPr>
              <w:t>(1)</w:t>
            </w: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262</w:t>
            </w: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w:t>
            </w:r>
          </w:p>
        </w:tc>
        <w:tc>
          <w:tcPr>
            <w:tcW w:w="500" w:type="dxa"/>
            <w:vAlign w:val="bottom"/>
            <w:shd w:val="clear" w:color="auto" w:fill="CCEEFF"/>
          </w:tcPr>
          <w:p>
            <w:pPr>
              <w:spacing w:after="0"/>
              <w:rPr>
                <w:sz w:val="22"/>
                <w:szCs w:val="22"/>
                <w:color w:val="auto"/>
              </w:rPr>
            </w:pPr>
          </w:p>
        </w:tc>
      </w:tr>
      <w:tr>
        <w:trPr>
          <w:trHeight w:val="230"/>
        </w:trPr>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Pension settlements and curtailments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500" w:type="dxa"/>
            <w:vAlign w:val="bottom"/>
            <w:tcBorders>
              <w:bottom w:val="single" w:sz="8" w:color="CCEEFF"/>
            </w:tcBorders>
            <w:shd w:val="clear" w:color="auto" w:fill="CCEEFF"/>
          </w:tcPr>
          <w:p>
            <w:pPr>
              <w:spacing w:after="0"/>
              <w:rPr>
                <w:sz w:val="23"/>
                <w:szCs w:val="23"/>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Earnings before interest and taxes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279</w:t>
            </w:r>
          </w:p>
        </w:tc>
        <w:tc>
          <w:tcPr>
            <w:tcW w:w="4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220</w:t>
            </w:r>
          </w:p>
        </w:tc>
        <w:tc>
          <w:tcPr>
            <w:tcW w:w="50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early extinguishment of debt</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r>
      <w:tr>
        <w:trPr>
          <w:trHeight w:val="23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178</w:t>
            </w:r>
          </w:p>
        </w:tc>
        <w:tc>
          <w:tcPr>
            <w:tcW w:w="4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w:t>
            </w:r>
          </w:p>
        </w:tc>
        <w:tc>
          <w:tcPr>
            <w:tcW w:w="50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Equity earnings</w:t>
            </w: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00" w:type="dxa"/>
            <w:vAlign w:val="bottom"/>
          </w:tcPr>
          <w:p>
            <w:pPr>
              <w:spacing w:after="0"/>
              <w:rPr>
                <w:sz w:val="21"/>
                <w:szCs w:val="2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131</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w:t>
            </w: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21"/>
                <w:szCs w:val="21"/>
                <w:color w:val="auto"/>
              </w:rPr>
            </w:pPr>
          </w:p>
        </w:tc>
      </w:tr>
      <w:tr>
        <w:trPr>
          <w:trHeight w:val="27"/>
        </w:trPr>
        <w:tc>
          <w:tcPr>
            <w:tcW w:w="4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r>
      <w:tr>
        <w:trPr>
          <w:trHeight w:val="257"/>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103</w:t>
            </w: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w:t>
            </w:r>
          </w:p>
        </w:tc>
        <w:tc>
          <w:tcPr>
            <w:tcW w:w="500" w:type="dxa"/>
            <w:vAlign w:val="bottom"/>
            <w:shd w:val="clear" w:color="auto" w:fill="CCEEFF"/>
          </w:tcPr>
          <w:p>
            <w:pPr>
              <w:spacing w:after="0"/>
              <w:rPr>
                <w:sz w:val="22"/>
                <w:szCs w:val="22"/>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r>
      <w:tr>
        <w:trPr>
          <w:trHeight w:val="311"/>
        </w:trPr>
        <w:tc>
          <w:tcPr>
            <w:tcW w:w="4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5"/>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 attributable to Crown</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41"/>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Holdings common shareholders:</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r>
      <w:tr>
        <w:trPr>
          <w:trHeight w:val="304"/>
        </w:trPr>
        <w:tc>
          <w:tcPr>
            <w:tcW w:w="49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0.77</w:t>
            </w:r>
          </w:p>
        </w:tc>
        <w:tc>
          <w:tcPr>
            <w:tcW w:w="4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0.67</w:t>
            </w:r>
          </w:p>
        </w:tc>
        <w:tc>
          <w:tcPr>
            <w:tcW w:w="500" w:type="dxa"/>
            <w:vAlign w:val="bottom"/>
            <w:tcBorders>
              <w:bottom w:val="single" w:sz="8" w:color="CCEEFF"/>
            </w:tcBorders>
          </w:tcPr>
          <w:p>
            <w:pPr>
              <w:spacing w:after="0"/>
              <w:rPr>
                <w:sz w:val="24"/>
                <w:szCs w:val="24"/>
                <w:color w:val="auto"/>
              </w:rPr>
            </w:pPr>
          </w:p>
        </w:tc>
      </w:tr>
      <w:tr>
        <w:trPr>
          <w:trHeight w:val="251"/>
        </w:trPr>
        <w:tc>
          <w:tcPr>
            <w:tcW w:w="4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c>
          <w:tcPr>
            <w:tcW w:w="500" w:type="dxa"/>
            <w:vAlign w:val="bottom"/>
            <w:shd w:val="clear" w:color="auto" w:fill="CCEEFF"/>
          </w:tcPr>
          <w:p>
            <w:pPr>
              <w:spacing w:after="0"/>
              <w:rPr>
                <w:sz w:val="21"/>
                <w:szCs w:val="2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r>
      <w:tr>
        <w:trPr>
          <w:trHeight w:val="257"/>
        </w:trPr>
        <w:tc>
          <w:tcPr>
            <w:tcW w:w="49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r>
      <w:tr>
        <w:trPr>
          <w:trHeight w:val="244"/>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w w:val="97"/>
              </w:rPr>
              <w:t>133,789,042</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133,479,364</w:t>
            </w:r>
          </w:p>
        </w:tc>
        <w:tc>
          <w:tcPr>
            <w:tcW w:w="500" w:type="dxa"/>
            <w:vAlign w:val="bottom"/>
          </w:tcPr>
          <w:p>
            <w:pPr>
              <w:spacing w:after="0"/>
              <w:rPr>
                <w:sz w:val="21"/>
                <w:szCs w:val="21"/>
                <w:color w:val="auto"/>
              </w:rPr>
            </w:pPr>
          </w:p>
        </w:tc>
      </w:tr>
      <w:tr>
        <w:trPr>
          <w:trHeight w:val="27"/>
        </w:trPr>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134,437,309</w:t>
            </w:r>
          </w:p>
        </w:tc>
        <w:tc>
          <w:tcPr>
            <w:tcW w:w="4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133,806,636</w:t>
            </w:r>
          </w:p>
        </w:tc>
        <w:tc>
          <w:tcPr>
            <w:tcW w:w="500" w:type="dxa"/>
            <w:vAlign w:val="bottom"/>
            <w:tcBorders>
              <w:bottom w:val="single" w:sz="8" w:color="CCEEFF"/>
            </w:tcBorders>
            <w:shd w:val="clear" w:color="auto" w:fill="CCEEFF"/>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Actual common shares outstanding</w:t>
            </w:r>
          </w:p>
        </w:tc>
        <w:tc>
          <w:tcPr>
            <w:tcW w:w="2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w w:val="97"/>
              </w:rPr>
              <w:t>135,352,754</w:t>
            </w: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w w:val="93"/>
              </w:rPr>
              <w:t>134,299,633</w:t>
            </w:r>
          </w:p>
        </w:tc>
        <w:tc>
          <w:tcPr>
            <w:tcW w:w="500" w:type="dxa"/>
            <w:vAlign w:val="bottom"/>
          </w:tcPr>
          <w:p>
            <w:pPr>
              <w:spacing w:after="0"/>
              <w:rPr>
                <w:sz w:val="21"/>
                <w:szCs w:val="21"/>
                <w:color w:val="auto"/>
              </w:rPr>
            </w:pPr>
          </w:p>
        </w:tc>
      </w:tr>
      <w:tr>
        <w:trPr>
          <w:trHeight w:val="27"/>
        </w:trPr>
        <w:tc>
          <w:tcPr>
            <w:tcW w:w="4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200" w:right="4059" w:hanging="5090"/>
        <w:spacing w:after="0" w:line="659" w:lineRule="auto"/>
        <w:tabs>
          <w:tab w:leader="none" w:pos="363" w:val="left"/>
        </w:tabs>
        <w:numPr>
          <w:ilvl w:val="0"/>
          <w:numId w:val="2"/>
        </w:numPr>
        <w:rPr>
          <w:rFonts w:ascii="Arial" w:cs="Arial" w:eastAsia="Arial" w:hAnsi="Arial"/>
          <w:sz w:val="16"/>
          <w:szCs w:val="16"/>
          <w:color w:val="auto"/>
        </w:rPr>
      </w:pPr>
      <w:r>
        <w:rPr>
          <w:rFonts w:ascii="Arial" w:cs="Arial" w:eastAsia="Arial" w:hAnsi="Arial"/>
          <w:sz w:val="16"/>
          <w:szCs w:val="16"/>
          <w:color w:val="auto"/>
        </w:rPr>
        <w:t>A reconciliation from income from operations to segment income follows. Page 4 of 10</w:t>
      </w:r>
    </w:p>
    <w:p>
      <w:pPr>
        <w:sectPr>
          <w:pgSz w:w="11900" w:h="16838" w:orient="portrait"/>
          <w:cols w:equalWidth="0" w:num="1">
            <w:col w:w="10159"/>
          </w:cols>
          <w:pgMar w:left="300" w:top="85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Supplemental Financial Data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from Income from Operations to Segment Income</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provisions for asbestos and restructuring and other, and the impact of fair value adjustments to inventory acquired in an acquisition.</w:t>
      </w:r>
    </w:p>
    <w:p>
      <w:pPr>
        <w:spacing w:after="0" w:line="132"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4"/>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3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Pr>
          <w:p>
            <w:pPr>
              <w:spacing w:after="0"/>
              <w:rPr>
                <w:sz w:val="23"/>
                <w:szCs w:val="23"/>
                <w:color w:val="auto"/>
              </w:rPr>
            </w:pPr>
          </w:p>
        </w:tc>
      </w:tr>
      <w:tr>
        <w:trPr>
          <w:trHeight w:val="27"/>
        </w:trPr>
        <w:tc>
          <w:tcPr>
            <w:tcW w:w="3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2018</w:t>
            </w:r>
          </w:p>
        </w:tc>
      </w:tr>
      <w:tr>
        <w:trPr>
          <w:trHeight w:val="27"/>
        </w:trPr>
        <w:tc>
          <w:tcPr>
            <w:tcW w:w="3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70"/>
        </w:trPr>
        <w:tc>
          <w:tcPr>
            <w:tcW w:w="32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Intangibles amortization </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Segment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315</w:t>
            </w:r>
          </w:p>
        </w:tc>
        <w:tc>
          <w:tcPr>
            <w:tcW w:w="4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245</w:t>
            </w:r>
          </w:p>
        </w:tc>
      </w:tr>
      <w:tr>
        <w:trPr>
          <w:trHeight w:val="20"/>
        </w:trPr>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260" w:hanging="252"/>
        <w:spacing w:after="0" w:line="246" w:lineRule="auto"/>
        <w:tabs>
          <w:tab w:leader="none" w:pos="220" w:val="left"/>
        </w:tabs>
        <w:numPr>
          <w:ilvl w:val="0"/>
          <w:numId w:val="3"/>
        </w:numPr>
        <w:rPr>
          <w:rFonts w:ascii="Arial" w:cs="Arial" w:eastAsia="Arial" w:hAnsi="Arial"/>
          <w:sz w:val="14"/>
          <w:szCs w:val="14"/>
          <w:color w:val="auto"/>
        </w:rPr>
      </w:pPr>
      <w:r>
        <w:rPr>
          <w:rFonts w:ascii="Arial" w:cs="Arial" w:eastAsia="Arial" w:hAnsi="Arial"/>
          <w:sz w:val="18"/>
          <w:szCs w:val="18"/>
          <w:color w:val="auto"/>
        </w:rPr>
        <w:t>In addition to intangibles amortization charges, the amount for 2019 also includes $2 of accelerated depreciation related to the planned shutdown of a steel beverage can operation in 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35560</wp:posOffset>
            </wp:positionV>
            <wp:extent cx="706628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66280" cy="42545"/>
                    </a:xfrm>
                    <a:prstGeom prst="rect">
                      <a:avLst/>
                    </a:prstGeom>
                    <a:noFill/>
                  </pic:spPr>
                </pic:pic>
              </a:graphicData>
            </a:graphic>
          </wp:anchor>
        </w:drawing>
      </w:r>
    </w:p>
    <w:p>
      <w:pPr>
        <w:spacing w:after="0" w:line="160" w:lineRule="exact"/>
        <w:rPr>
          <w:sz w:val="20"/>
          <w:szCs w:val="20"/>
          <w:color w:val="auto"/>
        </w:rPr>
      </w:pPr>
    </w:p>
    <w:tbl>
      <w:tblPr>
        <w:tblLayout w:type="fixed"/>
        <w:tblInd w:w="28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20" w:type="dxa"/>
            <w:vAlign w:val="bottom"/>
            <w:gridSpan w:val="7"/>
          </w:tcPr>
          <w:p>
            <w:pPr>
              <w:ind w:left="720"/>
              <w:spacing w:after="0"/>
              <w:rPr>
                <w:sz w:val="20"/>
                <w:szCs w:val="20"/>
                <w:color w:val="auto"/>
              </w:rPr>
            </w:pPr>
            <w:r>
              <w:rPr>
                <w:rFonts w:ascii="Arial" w:cs="Arial" w:eastAsia="Arial" w:hAnsi="Arial"/>
                <w:sz w:val="18"/>
                <w:szCs w:val="18"/>
                <w:b w:val="1"/>
                <w:bCs w:val="1"/>
                <w:color w:val="auto"/>
              </w:rPr>
              <w:t>Segment Information</w:t>
            </w: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7"/>
          </w:tcPr>
          <w:p>
            <w:pPr>
              <w:jc w:val="right"/>
              <w:ind w:right="3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4"/>
          </w:tcPr>
          <w:p>
            <w:pPr>
              <w:spacing w:after="0"/>
              <w:rPr>
                <w:sz w:val="20"/>
                <w:szCs w:val="20"/>
                <w:color w:val="auto"/>
              </w:rPr>
            </w:pPr>
            <w:r>
              <w:rPr>
                <w:rFonts w:ascii="Arial" w:cs="Arial" w:eastAsia="Arial" w:hAnsi="Arial"/>
                <w:sz w:val="18"/>
                <w:szCs w:val="18"/>
                <w:b w:val="1"/>
                <w:bCs w:val="1"/>
                <w:color w:val="auto"/>
              </w:rPr>
              <w:t>Net Sales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March 31,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3"/>
          </w:tcPr>
          <w:p>
            <w:pPr>
              <w:ind w:left="60"/>
              <w:spacing w:after="0"/>
              <w:rPr>
                <w:sz w:val="20"/>
                <w:szCs w:val="20"/>
                <w:color w:val="auto"/>
              </w:rPr>
            </w:pPr>
            <w:r>
              <w:rPr>
                <w:rFonts w:ascii="Arial" w:cs="Arial" w:eastAsia="Arial" w:hAnsi="Arial"/>
                <w:sz w:val="18"/>
                <w:szCs w:val="18"/>
                <w:b w:val="1"/>
                <w:bCs w:val="1"/>
                <w:color w:val="auto"/>
              </w:rPr>
              <w:t>Actual</w:t>
            </w: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Actual</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European Beverage</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European Food</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Asia Pacific</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Transit Packaging</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4"/>
          </w:tcPr>
          <w:p>
            <w:pPr>
              <w:ind w:left="220"/>
              <w:spacing w:after="0"/>
              <w:rPr>
                <w:sz w:val="20"/>
                <w:szCs w:val="20"/>
                <w:color w:val="auto"/>
              </w:rPr>
            </w:pPr>
            <w:r>
              <w:rPr>
                <w:rFonts w:ascii="Arial" w:cs="Arial" w:eastAsia="Arial" w:hAnsi="Arial"/>
                <w:sz w:val="18"/>
                <w:szCs w:val="18"/>
                <w:color w:val="auto"/>
              </w:rPr>
              <w:t>Total reportable segments</w:t>
            </w:r>
          </w:p>
        </w:tc>
        <w:tc>
          <w:tcPr>
            <w:tcW w:w="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2,440</w:t>
            </w:r>
          </w:p>
        </w:tc>
        <w:tc>
          <w:tcPr>
            <w:tcW w:w="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160" w:type="dxa"/>
            <w:vAlign w:val="bottom"/>
            <w:gridSpan w:val="4"/>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40" w:type="dxa"/>
            <w:vAlign w:val="bottom"/>
            <w:tcBorders>
              <w:bottom w:val="single" w:sz="8" w:color="auto"/>
            </w:tcBorders>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160" w:type="dxa"/>
            <w:vAlign w:val="bottom"/>
            <w:gridSpan w:val="4"/>
          </w:tcPr>
          <w:p>
            <w:pPr>
              <w:ind w:left="220"/>
              <w:spacing w:after="0"/>
              <w:rPr>
                <w:sz w:val="20"/>
                <w:szCs w:val="20"/>
                <w:color w:val="auto"/>
              </w:rPr>
            </w:pPr>
            <w:r>
              <w:rPr>
                <w:rFonts w:ascii="Arial" w:cs="Arial" w:eastAsia="Arial" w:hAnsi="Arial"/>
                <w:sz w:val="18"/>
                <w:szCs w:val="18"/>
                <w:b w:val="1"/>
                <w:bCs w:val="1"/>
                <w:color w:val="auto"/>
              </w:rPr>
              <w:t>Total net sales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2,755</w:t>
            </w:r>
          </w:p>
        </w:tc>
        <w:tc>
          <w:tcPr>
            <w:tcW w:w="4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Segment Income</w:t>
            </w: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 w:type="dxa"/>
            <w:vAlign w:val="bottom"/>
          </w:tcPr>
          <w:p>
            <w:pPr>
              <w:spacing w:after="0"/>
              <w:rPr>
                <w:sz w:val="24"/>
                <w:szCs w:val="24"/>
                <w:color w:val="auto"/>
              </w:rPr>
            </w:pPr>
          </w:p>
        </w:tc>
        <w:tc>
          <w:tcPr>
            <w:tcW w:w="3160" w:type="dxa"/>
            <w:vAlign w:val="bottom"/>
            <w:gridSpan w:val="4"/>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7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Americas Beverage</w:t>
            </w: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European Beverage</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European Food</w:t>
            </w: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Asia Pacific</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10"/>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1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Transit Packaging</w:t>
            </w:r>
          </w:p>
        </w:tc>
        <w:tc>
          <w:tcPr>
            <w:tcW w:w="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gridSpan w:val="4"/>
          </w:tcPr>
          <w:p>
            <w:pPr>
              <w:ind w:left="220"/>
              <w:spacing w:after="0"/>
              <w:rPr>
                <w:sz w:val="20"/>
                <w:szCs w:val="20"/>
                <w:color w:val="auto"/>
              </w:rPr>
            </w:pPr>
            <w:r>
              <w:rPr>
                <w:rFonts w:ascii="Arial" w:cs="Arial" w:eastAsia="Arial" w:hAnsi="Arial"/>
                <w:sz w:val="18"/>
                <w:szCs w:val="18"/>
                <w:color w:val="auto"/>
              </w:rPr>
              <w:t>Total reportable segments</w:t>
            </w:r>
          </w:p>
        </w:tc>
        <w:tc>
          <w:tcPr>
            <w:tcW w:w="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160" w:type="dxa"/>
            <w:vAlign w:val="bottom"/>
            <w:gridSpan w:val="4"/>
            <w:shd w:val="clear" w:color="auto" w:fill="CCEEFF"/>
          </w:tcPr>
          <w:p>
            <w:pPr>
              <w:spacing w:after="0" w:line="270" w:lineRule="exact"/>
              <w:rPr>
                <w:sz w:val="20"/>
                <w:szCs w:val="20"/>
                <w:color w:val="auto"/>
              </w:rPr>
            </w:pPr>
            <w:r>
              <w:rPr>
                <w:rFonts w:ascii="Arial" w:cs="Arial" w:eastAsia="Arial" w:hAnsi="Arial"/>
                <w:sz w:val="18"/>
                <w:szCs w:val="18"/>
                <w:color w:val="auto"/>
              </w:rPr>
              <w:t xml:space="preserve">Non-reportable segments </w:t>
            </w:r>
            <w:r>
              <w:rPr>
                <w:rFonts w:ascii="Arial" w:cs="Arial" w:eastAsia="Arial" w:hAnsi="Arial"/>
                <w:sz w:val="25"/>
                <w:szCs w:val="25"/>
                <w:color w:val="auto"/>
                <w:vertAlign w:val="superscript"/>
              </w:rPr>
              <w:t>(2)</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60" w:type="dxa"/>
            <w:vAlign w:val="bottom"/>
            <w:gridSpan w:val="4"/>
          </w:tcPr>
          <w:p>
            <w:pPr>
              <w:spacing w:after="0"/>
              <w:rPr>
                <w:sz w:val="20"/>
                <w:szCs w:val="20"/>
                <w:color w:val="auto"/>
              </w:rPr>
            </w:pPr>
            <w:r>
              <w:rPr>
                <w:rFonts w:ascii="Arial" w:cs="Arial" w:eastAsia="Arial" w:hAnsi="Arial"/>
                <w:sz w:val="18"/>
                <w:szCs w:val="18"/>
                <w:color w:val="auto"/>
              </w:rPr>
              <w:t>Corporate and other unallocated items</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3160" w:type="dxa"/>
            <w:vAlign w:val="bottom"/>
            <w:gridSpan w:val="4"/>
            <w:shd w:val="clear" w:color="auto" w:fill="CCEEFF"/>
          </w:tcPr>
          <w:p>
            <w:pPr>
              <w:ind w:left="220"/>
              <w:spacing w:after="0"/>
              <w:rPr>
                <w:sz w:val="20"/>
                <w:szCs w:val="20"/>
                <w:color w:val="auto"/>
              </w:rPr>
            </w:pPr>
            <w:r>
              <w:rPr>
                <w:rFonts w:ascii="Arial" w:cs="Arial" w:eastAsia="Arial" w:hAnsi="Arial"/>
                <w:sz w:val="18"/>
                <w:szCs w:val="18"/>
                <w:b w:val="1"/>
                <w:bCs w:val="1"/>
                <w:color w:val="auto"/>
              </w:rPr>
              <w:t>Total segment income</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315</w:t>
            </w:r>
          </w:p>
        </w:tc>
        <w:tc>
          <w:tcPr>
            <w:tcW w:w="40" w:type="dxa"/>
            <w:vAlign w:val="bottom"/>
            <w:shd w:val="clear" w:color="auto" w:fill="CCEEFF"/>
          </w:tcPr>
          <w:p>
            <w:pPr>
              <w:spacing w:after="0"/>
              <w:rPr>
                <w:sz w:val="22"/>
                <w:szCs w:val="22"/>
                <w:color w:val="auto"/>
              </w:rPr>
            </w:pP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hanging="252"/>
        <w:spacing w:after="0" w:line="277" w:lineRule="auto"/>
        <w:tabs>
          <w:tab w:leader="none" w:pos="273" w:val="left"/>
        </w:tabs>
        <w:numPr>
          <w:ilvl w:val="0"/>
          <w:numId w:val="4"/>
        </w:numPr>
        <w:rPr>
          <w:rFonts w:ascii="Arial" w:cs="Arial" w:eastAsia="Arial" w:hAnsi="Arial"/>
          <w:sz w:val="16"/>
          <w:szCs w:val="16"/>
          <w:color w:val="auto"/>
        </w:rPr>
      </w:pPr>
      <w:r>
        <w:rPr>
          <w:rFonts w:ascii="Arial" w:cs="Arial" w:eastAsia="Arial" w:hAnsi="Arial"/>
          <w:sz w:val="18"/>
          <w:szCs w:val="18"/>
          <w:color w:val="auto"/>
        </w:rPr>
        <w:t>Includes the Company's food can and closures businesses in North America, aerosol can businesses in North America and Europe, the promotional packaging business in Europe, and tooling and equipment operations in the U.S. and United Kingdom.</w:t>
      </w:r>
    </w:p>
    <w:p>
      <w:pPr>
        <w:sectPr>
          <w:pgSz w:w="11900" w:h="16838" w:orient="portrait"/>
          <w:cols w:equalWidth="0" w:num="1">
            <w:col w:w="11420"/>
          </w:cols>
          <w:pgMar w:left="240" w:top="852" w:right="239" w:bottom="9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 of 10</w:t>
      </w:r>
    </w:p>
    <w:p>
      <w:pPr>
        <w:sectPr>
          <w:pgSz w:w="11900" w:h="16838" w:orient="portrait"/>
          <w:cols w:equalWidth="0" w:num="1">
            <w:col w:w="11420"/>
          </w:cols>
          <w:pgMar w:left="240" w:top="852" w:right="239" w:bottom="931"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Supplemental Data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from Net Income and Diluted Earnings Per Share to Adjusted Net Income and Adjusted Diluted Earnings Per Share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reported net income and diluted earnings per share attributable to the Company to adjusted net income and adjusted diluted earnings per share, as used elsewhere in this release.</w:t>
      </w:r>
    </w:p>
    <w:p>
      <w:pPr>
        <w:spacing w:after="0" w:line="112" w:lineRule="exact"/>
        <w:rPr>
          <w:sz w:val="20"/>
          <w:szCs w:val="20"/>
          <w:color w:val="auto"/>
        </w:rPr>
      </w:pPr>
    </w:p>
    <w:tbl>
      <w:tblPr>
        <w:tblLayout w:type="fixed"/>
        <w:tblInd w:w="23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7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6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93"/>
              </w:rPr>
              <w:t>March 31,</w:t>
            </w: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spacing w:after="0"/>
              <w:rPr>
                <w:sz w:val="20"/>
                <w:szCs w:val="20"/>
                <w:color w:val="auto"/>
              </w:rPr>
            </w:pPr>
          </w:p>
        </w:tc>
        <w:tc>
          <w:tcPr>
            <w:tcW w:w="13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8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income/diluted earnings per share</w:t>
            </w: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8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80" w:type="dxa"/>
            <w:vAlign w:val="bottom"/>
          </w:tcPr>
          <w:p>
            <w:pPr>
              <w:ind w:left="160"/>
              <w:spacing w:after="0"/>
              <w:rPr>
                <w:sz w:val="20"/>
                <w:szCs w:val="20"/>
                <w:color w:val="auto"/>
              </w:rPr>
            </w:pPr>
            <w:r>
              <w:rPr>
                <w:rFonts w:ascii="Arial" w:cs="Arial" w:eastAsia="Arial" w:hAnsi="Arial"/>
                <w:sz w:val="18"/>
                <w:szCs w:val="18"/>
                <w:b w:val="1"/>
                <w:bCs w:val="1"/>
                <w:color w:val="auto"/>
                <w:w w:val="99"/>
              </w:rPr>
              <w:t>attributable to Crown Holdings, as reported</w:t>
            </w: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$ 103</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$ 0.77</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auto"/>
              </w:rPr>
              <w:t>90</w:t>
            </w:r>
          </w:p>
        </w:tc>
        <w:tc>
          <w:tcPr>
            <w:tcW w:w="14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$ 0.67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Intangibles amortization </w:t>
            </w:r>
            <w:r>
              <w:rPr>
                <w:rFonts w:ascii="Arial" w:cs="Arial" w:eastAsia="Arial" w:hAnsi="Arial"/>
                <w:sz w:val="25"/>
                <w:szCs w:val="25"/>
                <w:color w:val="auto"/>
                <w:vertAlign w:val="superscript"/>
              </w:rPr>
              <w:t>(1)</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0.36</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70"/>
        </w:trPr>
        <w:tc>
          <w:tcPr>
            <w:tcW w:w="3880" w:type="dxa"/>
            <w:vAlign w:val="bottom"/>
          </w:tcPr>
          <w:p>
            <w:pPr>
              <w:ind w:left="240"/>
              <w:spacing w:after="0" w:line="270" w:lineRule="exact"/>
              <w:rPr>
                <w:sz w:val="20"/>
                <w:szCs w:val="20"/>
                <w:color w:val="auto"/>
              </w:rPr>
            </w:pPr>
            <w:r>
              <w:rPr>
                <w:rFonts w:ascii="Arial" w:cs="Arial" w:eastAsia="Arial" w:hAnsi="Arial"/>
                <w:sz w:val="18"/>
                <w:szCs w:val="18"/>
                <w:color w:val="auto"/>
              </w:rPr>
              <w:t xml:space="preserve">Provision for restructuring and other </w:t>
            </w:r>
            <w:r>
              <w:rPr>
                <w:rFonts w:ascii="Arial" w:cs="Arial" w:eastAsia="Arial" w:hAnsi="Arial"/>
                <w:sz w:val="25"/>
                <w:szCs w:val="25"/>
                <w:color w:val="auto"/>
                <w:vertAlign w:val="superscript"/>
              </w:rPr>
              <w:t>(2)</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4</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rPr>
              <w:t>0.03</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260"/>
              <w:spacing w:after="0" w:line="270" w:lineRule="exact"/>
              <w:rPr>
                <w:sz w:val="20"/>
                <w:szCs w:val="20"/>
                <w:color w:val="auto"/>
              </w:rPr>
            </w:pPr>
            <w:r>
              <w:rPr>
                <w:rFonts w:ascii="Arial" w:cs="Arial" w:eastAsia="Arial" w:hAnsi="Arial"/>
                <w:sz w:val="18"/>
                <w:szCs w:val="18"/>
                <w:color w:val="auto"/>
              </w:rPr>
              <w:t xml:space="preserve">Acquisition costs </w:t>
            </w:r>
            <w:r>
              <w:rPr>
                <w:rFonts w:ascii="Arial" w:cs="Arial" w:eastAsia="Arial" w:hAnsi="Arial"/>
                <w:sz w:val="25"/>
                <w:szCs w:val="25"/>
                <w:color w:val="auto"/>
                <w:vertAlign w:val="superscript"/>
              </w:rPr>
              <w:t>(3)</w:t>
            </w: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0"/>
        </w:trPr>
        <w:tc>
          <w:tcPr>
            <w:tcW w:w="3880" w:type="dxa"/>
            <w:vAlign w:val="bottom"/>
          </w:tcPr>
          <w:p>
            <w:pPr>
              <w:ind w:left="260"/>
              <w:spacing w:after="0" w:line="270" w:lineRule="exact"/>
              <w:rPr>
                <w:sz w:val="20"/>
                <w:szCs w:val="20"/>
                <w:color w:val="auto"/>
              </w:rPr>
            </w:pPr>
            <w:r>
              <w:rPr>
                <w:rFonts w:ascii="Arial" w:cs="Arial" w:eastAsia="Arial" w:hAnsi="Arial"/>
                <w:sz w:val="18"/>
                <w:szCs w:val="18"/>
                <w:color w:val="auto"/>
              </w:rPr>
              <w:t xml:space="preserve">Pension curtailment </w:t>
            </w:r>
            <w:r>
              <w:rPr>
                <w:rFonts w:ascii="Arial" w:cs="Arial" w:eastAsia="Arial" w:hAnsi="Arial"/>
                <w:sz w:val="25"/>
                <w:szCs w:val="25"/>
                <w:color w:val="auto"/>
                <w:vertAlign w:val="superscript"/>
              </w:rPr>
              <w:t>(4)</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Loss from early extinguishment of debt </w:t>
            </w:r>
            <w:r>
              <w:rPr>
                <w:rFonts w:ascii="Arial" w:cs="Arial" w:eastAsia="Arial" w:hAnsi="Arial"/>
                <w:sz w:val="25"/>
                <w:szCs w:val="25"/>
                <w:color w:val="auto"/>
                <w:vertAlign w:val="superscript"/>
              </w:rPr>
              <w:t>(5)</w:t>
            </w: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240"/>
              <w:spacing w:after="0" w:line="270" w:lineRule="exact"/>
              <w:rPr>
                <w:sz w:val="20"/>
                <w:szCs w:val="20"/>
                <w:color w:val="auto"/>
              </w:rPr>
            </w:pPr>
            <w:r>
              <w:rPr>
                <w:rFonts w:ascii="Arial" w:cs="Arial" w:eastAsia="Arial" w:hAnsi="Arial"/>
                <w:sz w:val="18"/>
                <w:szCs w:val="18"/>
                <w:color w:val="auto"/>
              </w:rPr>
              <w:t xml:space="preserve">Income taxes </w:t>
            </w:r>
            <w:r>
              <w:rPr>
                <w:rFonts w:ascii="Arial" w:cs="Arial" w:eastAsia="Arial" w:hAnsi="Arial"/>
                <w:sz w:val="25"/>
                <w:szCs w:val="25"/>
                <w:color w:val="auto"/>
                <w:vertAlign w:val="superscript"/>
              </w:rPr>
              <w:t>(6)</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ind w:left="240"/>
              <w:spacing w:after="0" w:line="270" w:lineRule="exact"/>
              <w:rPr>
                <w:sz w:val="20"/>
                <w:szCs w:val="20"/>
                <w:color w:val="auto"/>
              </w:rPr>
            </w:pPr>
            <w:r>
              <w:rPr>
                <w:rFonts w:ascii="Arial" w:cs="Arial" w:eastAsia="Arial" w:hAnsi="Arial"/>
                <w:sz w:val="18"/>
                <w:szCs w:val="18"/>
                <w:color w:val="auto"/>
              </w:rPr>
              <w:t xml:space="preserve">Noncontrolling interests </w:t>
            </w:r>
            <w:r>
              <w:rPr>
                <w:rFonts w:ascii="Arial" w:cs="Arial" w:eastAsia="Arial" w:hAnsi="Arial"/>
                <w:sz w:val="25"/>
                <w:szCs w:val="25"/>
                <w:color w:val="auto"/>
                <w:vertAlign w:val="superscript"/>
              </w:rPr>
              <w:t>(7)</w:t>
            </w:r>
          </w:p>
        </w:tc>
        <w:tc>
          <w:tcPr>
            <w:tcW w:w="6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w w:val="94"/>
              </w:rPr>
              <w:t>Adjusted net income/diluted earnings per share</w:t>
            </w: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$ 141</w:t>
            </w:r>
          </w:p>
        </w:tc>
        <w:tc>
          <w:tcPr>
            <w:tcW w:w="7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$ 1.05</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auto"/>
              </w:rPr>
              <w:t>126</w:t>
            </w:r>
          </w:p>
        </w:tc>
        <w:tc>
          <w:tcPr>
            <w:tcW w:w="140" w:type="dxa"/>
            <w:vAlign w:val="bottom"/>
          </w:tcPr>
          <w:p>
            <w:pPr>
              <w:spacing w:after="0"/>
              <w:rPr>
                <w:sz w:val="24"/>
                <w:szCs w:val="24"/>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$ 0.94</w:t>
            </w:r>
          </w:p>
        </w:tc>
        <w:tc>
          <w:tcPr>
            <w:tcW w:w="0" w:type="dxa"/>
            <w:vAlign w:val="bottom"/>
          </w:tcPr>
          <w:p>
            <w:pPr>
              <w:spacing w:after="0"/>
              <w:rPr>
                <w:sz w:val="1"/>
                <w:szCs w:val="1"/>
                <w:color w:val="auto"/>
              </w:rPr>
            </w:pPr>
          </w:p>
        </w:tc>
      </w:tr>
      <w:tr>
        <w:trPr>
          <w:trHeight w:val="163"/>
        </w:trPr>
        <w:tc>
          <w:tcPr>
            <w:tcW w:w="38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Effective tax rate as reported</w:t>
            </w:r>
          </w:p>
        </w:tc>
        <w:tc>
          <w:tcPr>
            <w:tcW w:w="620" w:type="dxa"/>
            <w:vAlign w:val="bottom"/>
          </w:tcPr>
          <w:p>
            <w:pPr>
              <w:jc w:val="right"/>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25.7%</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38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Adjusted effective tax rate</w:t>
            </w:r>
          </w:p>
        </w:tc>
        <w:tc>
          <w:tcPr>
            <w:tcW w:w="620" w:type="dxa"/>
            <w:vAlign w:val="bottom"/>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25.5%</w:t>
            </w: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147" w:lineRule="exact"/>
        <w:rPr>
          <w:sz w:val="20"/>
          <w:szCs w:val="20"/>
          <w:color w:val="auto"/>
        </w:rPr>
      </w:pPr>
    </w:p>
    <w:p>
      <w:pPr>
        <w:ind w:left="340" w:right="22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first quarters of 2019 and 2018, the Company recorded charges of $47 million ($35 million net of tax) and $11 million ($8 million net of tax) for intangibles amortization arising from prior acquisitions. Also in 2019, the Company recorded a charge of $2 million ($2 million net of tax) for accelerated depreciation related to the planned shutdown of a steel beverage can operation in Spain.</w:t>
      </w:r>
    </w:p>
    <w:p>
      <w:pPr>
        <w:spacing w:after="0" w:line="181" w:lineRule="exact"/>
        <w:rPr>
          <w:rFonts w:ascii="Arial" w:cs="Arial" w:eastAsia="Arial" w:hAnsi="Arial"/>
          <w:sz w:val="18"/>
          <w:szCs w:val="18"/>
          <w:color w:val="auto"/>
        </w:rPr>
      </w:pPr>
    </w:p>
    <w:p>
      <w:pPr>
        <w:ind w:left="340" w:right="40" w:hanging="332"/>
        <w:spacing w:after="0" w:line="25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first quarter of 2019, the Company recorded net restructuring and other charges of $4 million ($5 million net of tax) including charges of $9 million primarily related to headcount reductions in its European Division and $4 million for asset sales and impairments primarily due to losses from a fire at a production facility in Asia, offset by a gain of $9 million arising from a favorable court ruling in a lawsuit brought by one of the Company’s Brazilian subsidiaries claiming it was overcharged by the local tax authorities for indirect taxes paid in prior years. Certain other Brazilian subsidiaries of the Company have similar suits pending in other jurisdictions.</w:t>
      </w:r>
    </w:p>
    <w:p>
      <w:pPr>
        <w:spacing w:after="0" w:line="188" w:lineRule="exact"/>
        <w:rPr>
          <w:rFonts w:ascii="Arial" w:cs="Arial" w:eastAsia="Arial" w:hAnsi="Arial"/>
          <w:sz w:val="18"/>
          <w:szCs w:val="18"/>
          <w:color w:val="auto"/>
        </w:rPr>
      </w:pPr>
    </w:p>
    <w:p>
      <w:pPr>
        <w:ind w:left="340" w:right="220"/>
        <w:spacing w:after="0" w:line="277" w:lineRule="auto"/>
        <w:rPr>
          <w:rFonts w:ascii="Arial" w:cs="Arial" w:eastAsia="Arial" w:hAnsi="Arial"/>
          <w:sz w:val="18"/>
          <w:szCs w:val="18"/>
          <w:color w:val="auto"/>
        </w:rPr>
      </w:pPr>
      <w:r>
        <w:rPr>
          <w:rFonts w:ascii="Arial" w:cs="Arial" w:eastAsia="Arial" w:hAnsi="Arial"/>
          <w:sz w:val="18"/>
          <w:szCs w:val="18"/>
          <w:color w:val="auto"/>
        </w:rPr>
        <w:t>In the first quarter of 2018, the Company recorded restructuring and other charges of $13 million ($11 million net of tax) including $7 million for asset sales and impairments, $3 million for restructuring and other costs, and $3 million for transaction costs.</w:t>
      </w:r>
    </w:p>
    <w:p>
      <w:pPr>
        <w:spacing w:after="0" w:line="170" w:lineRule="exact"/>
        <w:rPr>
          <w:rFonts w:ascii="Arial" w:cs="Arial" w:eastAsia="Arial" w:hAnsi="Arial"/>
          <w:sz w:val="18"/>
          <w:szCs w:val="18"/>
          <w:color w:val="auto"/>
        </w:rPr>
      </w:pPr>
    </w:p>
    <w:p>
      <w:pPr>
        <w:ind w:left="340" w:right="10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first quarter of 2018, the Company recorded a charge of $15 million ($10 million net of tax) for net losses arising from its hedge of the U.S. dollar purchase price for its acquisition of Signode. In addition, the Company incurred net charges of $9 million ($7 million net of tax) for pre-acquisition interest carrying costs on borrowings to finance the transaction.</w:t>
      </w:r>
    </w:p>
    <w:p>
      <w:pPr>
        <w:spacing w:after="0" w:line="181"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first quarter of 2019, the Company recorded a curtailment gain of $14 million ($12 million net of tax) in connection with the closure of a defined benefit pension plan to future accrual for active members.</w:t>
      </w:r>
    </w:p>
    <w:p>
      <w:pPr>
        <w:sectPr>
          <w:pgSz w:w="11900" w:h="16838" w:orient="portrait"/>
          <w:cols w:equalWidth="0" w:num="1">
            <w:col w:w="11420"/>
          </w:cols>
          <w:pgMar w:left="240" w:top="852"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 of 10</w:t>
      </w:r>
    </w:p>
    <w:p>
      <w:pPr>
        <w:sectPr>
          <w:pgSz w:w="11900" w:h="16838" w:orient="portrait"/>
          <w:cols w:equalWidth="0" w:num="1">
            <w:col w:w="11420"/>
          </w:cols>
          <w:pgMar w:left="240" w:top="852" w:right="239" w:bottom="1440" w:gutter="0" w:footer="0" w:header="0"/>
          <w:type w:val="continuous"/>
        </w:sectPr>
      </w:pPr>
    </w:p>
    <w:bookmarkStart w:id="11" w:name="page12"/>
    <w:bookmarkEnd w:id="11"/>
    <w:p>
      <w:pPr>
        <w:ind w:left="52"/>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5659755</wp:posOffset>
            </wp:positionH>
            <wp:positionV relativeFrom="paragraph">
              <wp:posOffset>-162560</wp:posOffset>
            </wp:positionV>
            <wp:extent cx="1551940"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52"/>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52"/>
        <w:spacing w:after="0"/>
        <w:rPr>
          <w:sz w:val="20"/>
          <w:szCs w:val="20"/>
          <w:color w:val="auto"/>
        </w:rPr>
      </w:pPr>
      <w:r>
        <w:rPr>
          <w:rFonts w:ascii="Arial" w:cs="Arial" w:eastAsia="Arial" w:hAnsi="Arial"/>
          <w:sz w:val="14"/>
          <w:szCs w:val="14"/>
          <w:color w:val="auto"/>
        </w:rPr>
        <w:t>Yardley, PA 19067-4219</w:t>
      </w:r>
    </w:p>
    <w:p>
      <w:pPr>
        <w:spacing w:after="0" w:line="360" w:lineRule="exact"/>
        <w:rPr>
          <w:sz w:val="20"/>
          <w:szCs w:val="20"/>
          <w:color w:val="auto"/>
        </w:rPr>
      </w:pPr>
    </w:p>
    <w:p>
      <w:pPr>
        <w:ind w:left="332" w:hanging="332"/>
        <w:spacing w:after="0" w:line="277" w:lineRule="auto"/>
        <w:tabs>
          <w:tab w:leader="none" w:pos="332" w:val="left"/>
        </w:tabs>
        <w:numPr>
          <w:ilvl w:val="0"/>
          <w:numId w:val="6"/>
        </w:numPr>
        <w:rPr>
          <w:rFonts w:ascii="Arial" w:cs="Arial" w:eastAsia="Arial" w:hAnsi="Arial"/>
          <w:sz w:val="16"/>
          <w:szCs w:val="16"/>
          <w:color w:val="auto"/>
        </w:rPr>
      </w:pPr>
      <w:r>
        <w:rPr>
          <w:rFonts w:ascii="Arial" w:cs="Arial" w:eastAsia="Arial" w:hAnsi="Arial"/>
          <w:sz w:val="18"/>
          <w:szCs w:val="18"/>
          <w:color w:val="auto"/>
        </w:rPr>
        <w:t>In the first quarter of 2019, the Company recorded a charge of $6 million ($5 million net of tax) for the write off of deferred financing fees in connection with the repayment of a portion of its term loan.</w:t>
      </w:r>
    </w:p>
    <w:p>
      <w:pPr>
        <w:spacing w:after="0" w:line="170" w:lineRule="exact"/>
        <w:rPr>
          <w:rFonts w:ascii="Arial" w:cs="Arial" w:eastAsia="Arial" w:hAnsi="Arial"/>
          <w:sz w:val="16"/>
          <w:szCs w:val="16"/>
          <w:color w:val="auto"/>
        </w:rPr>
      </w:pPr>
    </w:p>
    <w:p>
      <w:pPr>
        <w:ind w:left="332" w:right="180" w:hanging="332"/>
        <w:spacing w:after="0" w:line="277"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first quarter of 2019, the Company recorded income tax benefits of $10 million related to the items described above. In the first quarter of 2018, the Company recorded income tax benefits of $12 million related to the items described above.</w:t>
      </w:r>
    </w:p>
    <w:p>
      <w:pPr>
        <w:spacing w:after="0" w:line="170" w:lineRule="exact"/>
        <w:rPr>
          <w:rFonts w:ascii="Arial" w:cs="Arial" w:eastAsia="Arial" w:hAnsi="Arial"/>
          <w:sz w:val="18"/>
          <w:szCs w:val="18"/>
          <w:color w:val="auto"/>
        </w:rPr>
      </w:pPr>
    </w:p>
    <w:p>
      <w:pPr>
        <w:ind w:left="332" w:hanging="332"/>
        <w:spacing w:after="0"/>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first quarter of 2019, the Company recorded noncontrolling interest charges of $3 million related to the items described above.</w:t>
      </w:r>
    </w:p>
    <w:p>
      <w:pPr>
        <w:spacing w:after="0" w:line="252"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Page 7 of 10</w:t>
      </w:r>
    </w:p>
    <w:p>
      <w:pPr>
        <w:sectPr>
          <w:pgSz w:w="11900" w:h="16838" w:orient="portrait"/>
          <w:cols w:equalWidth="0" w:num="1">
            <w:col w:w="11332"/>
          </w:cols>
          <w:pgMar w:left="248" w:top="852" w:right="319" w:bottom="1440" w:gutter="0" w:footer="0" w:header="0"/>
        </w:sectPr>
      </w:pPr>
    </w:p>
    <w:bookmarkStart w:id="12" w:name="page13"/>
    <w:bookmarkEnd w:id="12"/>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Consolidated Balance Sheets (Condensed &amp; Unaudited)</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600" w:type="dxa"/>
            <w:vAlign w:val="bottom"/>
          </w:tcPr>
          <w:p>
            <w:pPr>
              <w:spacing w:after="0"/>
              <w:rPr>
                <w:sz w:val="24"/>
                <w:szCs w:val="24"/>
                <w:color w:val="auto"/>
              </w:rPr>
            </w:pP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March 31,</w:t>
            </w: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 xml:space="preserve">2019 </w:t>
            </w:r>
            <w:r>
              <w:rPr>
                <w:rFonts w:ascii="Arial" w:cs="Arial" w:eastAsia="Arial" w:hAnsi="Arial"/>
                <w:sz w:val="25"/>
                <w:szCs w:val="25"/>
                <w:b w:val="1"/>
                <w:bCs w:val="1"/>
                <w:color w:val="auto"/>
                <w:w w:val="97"/>
                <w:vertAlign w:val="superscript"/>
              </w:rPr>
              <w:t>(1)</w:t>
            </w: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580" w:type="dxa"/>
            <w:vAlign w:val="bottom"/>
          </w:tcPr>
          <w:p>
            <w:pPr>
              <w:spacing w:after="0"/>
              <w:rPr>
                <w:sz w:val="24"/>
                <w:szCs w:val="24"/>
                <w:color w:val="auto"/>
              </w:rPr>
            </w:pPr>
          </w:p>
        </w:tc>
      </w:tr>
      <w:tr>
        <w:trPr>
          <w:trHeight w:val="244"/>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Receivables,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1,686</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1,386</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4,024</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5,261</w:t>
            </w:r>
          </w:p>
        </w:tc>
        <w:tc>
          <w:tcPr>
            <w:tcW w:w="1580" w:type="dxa"/>
            <w:vAlign w:val="bottom"/>
          </w:tcPr>
          <w:p>
            <w:pPr>
              <w:spacing w:after="0"/>
              <w:rPr>
                <w:sz w:val="22"/>
                <w:szCs w:val="22"/>
                <w:color w:val="auto"/>
              </w:rPr>
            </w:pPr>
          </w:p>
        </w:tc>
      </w:tr>
      <w:tr>
        <w:trPr>
          <w:trHeight w:val="264"/>
        </w:trPr>
        <w:tc>
          <w:tcPr>
            <w:tcW w:w="160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580" w:type="dxa"/>
            <w:vAlign w:val="bottom"/>
          </w:tcPr>
          <w:p>
            <w:pPr>
              <w:spacing w:after="0"/>
              <w:rPr>
                <w:sz w:val="22"/>
                <w:szCs w:val="2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6,554</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3,734</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3,322</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580" w:type="dxa"/>
            <w:vAlign w:val="bottom"/>
          </w:tcPr>
          <w:p>
            <w:pPr>
              <w:spacing w:after="0"/>
              <w:rPr>
                <w:sz w:val="23"/>
                <w:szCs w:val="23"/>
                <w:color w:val="auto"/>
              </w:rPr>
            </w:pPr>
          </w:p>
        </w:tc>
      </w:tr>
      <w:tr>
        <w:trPr>
          <w:trHeight w:val="297"/>
        </w:trPr>
        <w:tc>
          <w:tcPr>
            <w:tcW w:w="1600" w:type="dxa"/>
            <w:vAlign w:val="bottom"/>
          </w:tcPr>
          <w:p>
            <w:pPr>
              <w:spacing w:after="0"/>
              <w:rPr>
                <w:sz w:val="24"/>
                <w:szCs w:val="24"/>
                <w:color w:val="auto"/>
              </w:rPr>
            </w:pPr>
          </w:p>
        </w:tc>
        <w:tc>
          <w:tcPr>
            <w:tcW w:w="504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15,357</w:t>
            </w:r>
          </w:p>
        </w:tc>
        <w:tc>
          <w:tcPr>
            <w:tcW w:w="7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13,079</w:t>
            </w:r>
          </w:p>
        </w:tc>
        <w:tc>
          <w:tcPr>
            <w:tcW w:w="1580" w:type="dxa"/>
            <w:vAlign w:val="bottom"/>
          </w:tcPr>
          <w:p>
            <w:pPr>
              <w:spacing w:after="0"/>
              <w:rPr>
                <w:sz w:val="24"/>
                <w:szCs w:val="24"/>
                <w:color w:val="auto"/>
              </w:rPr>
            </w:pPr>
          </w:p>
        </w:tc>
      </w:tr>
      <w:tr>
        <w:trPr>
          <w:trHeight w:val="257"/>
        </w:trPr>
        <w:tc>
          <w:tcPr>
            <w:tcW w:w="16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580" w:type="dxa"/>
            <w:vAlign w:val="bottom"/>
          </w:tcPr>
          <w:p>
            <w:pPr>
              <w:spacing w:after="0"/>
              <w:rPr>
                <w:sz w:val="22"/>
                <w:szCs w:val="22"/>
                <w:color w:val="auto"/>
              </w:rPr>
            </w:pPr>
          </w:p>
        </w:tc>
      </w:tr>
      <w:tr>
        <w:trPr>
          <w:trHeight w:val="270"/>
        </w:trPr>
        <w:tc>
          <w:tcPr>
            <w:tcW w:w="16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16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160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7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580" w:type="dxa"/>
            <w:vAlign w:val="bottom"/>
          </w:tcPr>
          <w:p>
            <w:pPr>
              <w:spacing w:after="0"/>
              <w:rPr>
                <w:sz w:val="23"/>
                <w:szCs w:val="23"/>
                <w:color w:val="auto"/>
              </w:rPr>
            </w:pPr>
          </w:p>
        </w:tc>
      </w:tr>
      <w:tr>
        <w:trPr>
          <w:trHeight w:val="237"/>
        </w:trPr>
        <w:tc>
          <w:tcPr>
            <w:tcW w:w="1600" w:type="dxa"/>
            <w:vAlign w:val="bottom"/>
          </w:tcPr>
          <w:p>
            <w:pPr>
              <w:spacing w:after="0"/>
              <w:rPr>
                <w:sz w:val="20"/>
                <w:szCs w:val="20"/>
                <w:color w:val="auto"/>
              </w:rPr>
            </w:pPr>
          </w:p>
        </w:tc>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3,342</w:t>
            </w:r>
          </w:p>
        </w:tc>
        <w:tc>
          <w:tcPr>
            <w:tcW w:w="7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2,861</w:t>
            </w:r>
          </w:p>
        </w:tc>
        <w:tc>
          <w:tcPr>
            <w:tcW w:w="15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580" w:type="dxa"/>
            <w:vAlign w:val="bottom"/>
          </w:tcPr>
          <w:p>
            <w:pPr>
              <w:spacing w:after="0"/>
              <w:rPr>
                <w:sz w:val="22"/>
                <w:szCs w:val="22"/>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8,814</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7,778</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580" w:type="dxa"/>
            <w:vAlign w:val="bottom"/>
          </w:tcPr>
          <w:p>
            <w:pPr>
              <w:spacing w:after="0"/>
              <w:rPr>
                <w:sz w:val="21"/>
                <w:szCs w:val="21"/>
                <w:color w:val="auto"/>
              </w:rPr>
            </w:pPr>
          </w:p>
        </w:tc>
      </w:tr>
      <w:tr>
        <w:trPr>
          <w:trHeight w:val="270"/>
        </w:trPr>
        <w:tc>
          <w:tcPr>
            <w:tcW w:w="160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0"/>
        </w:trPr>
        <w:tc>
          <w:tcPr>
            <w:tcW w:w="160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7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580" w:type="dxa"/>
            <w:vAlign w:val="bottom"/>
          </w:tcPr>
          <w:p>
            <w:pPr>
              <w:spacing w:after="0"/>
              <w:rPr>
                <w:sz w:val="21"/>
                <w:szCs w:val="21"/>
                <w:color w:val="auto"/>
              </w:rPr>
            </w:pPr>
          </w:p>
        </w:tc>
      </w:tr>
      <w:tr>
        <w:trPr>
          <w:trHeight w:val="243"/>
        </w:trPr>
        <w:tc>
          <w:tcPr>
            <w:tcW w:w="16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Crown Holdings shareholders' equity</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1,134</w:t>
            </w: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765</w:t>
            </w:r>
          </w:p>
        </w:tc>
        <w:tc>
          <w:tcPr>
            <w:tcW w:w="158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r>
      <w:tr>
        <w:trPr>
          <w:trHeight w:val="264"/>
        </w:trPr>
        <w:tc>
          <w:tcPr>
            <w:tcW w:w="1600" w:type="dxa"/>
            <w:vAlign w:val="bottom"/>
          </w:tcPr>
          <w:p>
            <w:pPr>
              <w:spacing w:after="0"/>
              <w:rPr>
                <w:sz w:val="22"/>
                <w:szCs w:val="22"/>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7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580" w:type="dxa"/>
            <w:vAlign w:val="bottom"/>
          </w:tcPr>
          <w:p>
            <w:pPr>
              <w:spacing w:after="0"/>
              <w:rPr>
                <w:sz w:val="22"/>
                <w:szCs w:val="22"/>
                <w:color w:val="auto"/>
              </w:rPr>
            </w:pPr>
          </w:p>
        </w:tc>
      </w:tr>
      <w:tr>
        <w:trPr>
          <w:trHeight w:val="257"/>
        </w:trPr>
        <w:tc>
          <w:tcPr>
            <w:tcW w:w="1600" w:type="dxa"/>
            <w:vAlign w:val="bottom"/>
          </w:tcPr>
          <w:p>
            <w:pPr>
              <w:spacing w:after="0"/>
              <w:rPr>
                <w:sz w:val="22"/>
                <w:szCs w:val="22"/>
                <w:color w:val="auto"/>
              </w:rPr>
            </w:pPr>
          </w:p>
        </w:tc>
        <w:tc>
          <w:tcPr>
            <w:tcW w:w="50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15,357</w:t>
            </w:r>
          </w:p>
        </w:tc>
        <w:tc>
          <w:tcPr>
            <w:tcW w:w="7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13,079</w:t>
            </w:r>
          </w:p>
        </w:tc>
        <w:tc>
          <w:tcPr>
            <w:tcW w:w="1580" w:type="dxa"/>
            <w:vAlign w:val="bottom"/>
          </w:tcPr>
          <w:p>
            <w:pPr>
              <w:spacing w:after="0"/>
              <w:rPr>
                <w:sz w:val="22"/>
                <w:szCs w:val="22"/>
                <w:color w:val="auto"/>
              </w:rPr>
            </w:pPr>
          </w:p>
        </w:tc>
      </w:tr>
      <w:tr>
        <w:trPr>
          <w:trHeight w:val="20"/>
        </w:trPr>
        <w:tc>
          <w:tcPr>
            <w:tcW w:w="16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534"/>
        </w:trPr>
        <w:tc>
          <w:tcPr>
            <w:tcW w:w="16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right="4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January 1, 2019, the Company adopted new lease accounting guidance resulting in increases in other non-current assets and other non-current liabilities of $220. Prior period amounts have not been recast and continue to be reported in accordance with accounting guidance in effect for those periods.</w:t>
      </w:r>
    </w:p>
    <w:p>
      <w:pPr>
        <w:sectPr>
          <w:pgSz w:w="11900" w:h="16838" w:orient="portrait"/>
          <w:cols w:equalWidth="0" w:num="1">
            <w:col w:w="11420"/>
          </w:cols>
          <w:pgMar w:left="240" w:top="85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8 of 10</w:t>
      </w:r>
    </w:p>
    <w:p>
      <w:pPr>
        <w:sectPr>
          <w:pgSz w:w="11900" w:h="16838" w:orient="portrait"/>
          <w:cols w:equalWidth="0" w:num="1">
            <w:col w:w="11420"/>
          </w:cols>
          <w:pgMar w:left="240" w:top="852" w:right="239"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 (Condensed &amp;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7"/>
                <w:szCs w:val="17"/>
                <w:b w:val="1"/>
                <w:bCs w:val="1"/>
                <w:color w:val="auto"/>
              </w:rPr>
              <w:t>Three Months Ended March 31,</w:t>
            </w:r>
          </w:p>
        </w:tc>
        <w:tc>
          <w:tcPr>
            <w:tcW w:w="260" w:type="dxa"/>
            <w:vAlign w:val="bottom"/>
          </w:tcPr>
          <w:p>
            <w:pPr>
              <w:spacing w:after="0"/>
              <w:rPr>
                <w:sz w:val="19"/>
                <w:szCs w:val="19"/>
                <w:color w:val="auto"/>
              </w:rPr>
            </w:pPr>
          </w:p>
        </w:tc>
        <w:tc>
          <w:tcPr>
            <w:tcW w:w="860" w:type="dxa"/>
            <w:vAlign w:val="bottom"/>
          </w:tcPr>
          <w:p>
            <w:pPr>
              <w:jc w:val="right"/>
              <w:ind w:right="295"/>
              <w:spacing w:after="0"/>
              <w:rPr>
                <w:sz w:val="20"/>
                <w:szCs w:val="20"/>
                <w:color w:val="auto"/>
              </w:rPr>
            </w:pPr>
            <w:r>
              <w:rPr>
                <w:rFonts w:ascii="Arial" w:cs="Arial" w:eastAsia="Arial" w:hAnsi="Arial"/>
                <w:sz w:val="17"/>
                <w:szCs w:val="17"/>
                <w:b w:val="1"/>
                <w:bCs w:val="1"/>
                <w:color w:val="auto"/>
              </w:rPr>
              <w:t>2019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5"/>
              <w:spacing w:after="0"/>
              <w:rPr>
                <w:sz w:val="20"/>
                <w:szCs w:val="20"/>
                <w:color w:val="auto"/>
              </w:rPr>
            </w:pPr>
            <w:r>
              <w:rPr>
                <w:rFonts w:ascii="Arial" w:cs="Arial" w:eastAsia="Arial" w:hAnsi="Arial"/>
                <w:sz w:val="17"/>
                <w:szCs w:val="17"/>
                <w:b w:val="1"/>
                <w:bCs w:val="1"/>
                <w:color w:val="auto"/>
              </w:rPr>
              <w:t>2018</w:t>
            </w:r>
          </w:p>
        </w:tc>
        <w:tc>
          <w:tcPr>
            <w:tcW w:w="2020" w:type="dxa"/>
            <w:vAlign w:val="bottom"/>
          </w:tcPr>
          <w:p>
            <w:pPr>
              <w:spacing w:after="0"/>
              <w:rPr>
                <w:sz w:val="19"/>
                <w:szCs w:val="19"/>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169"/>
        </w:trPr>
        <w:tc>
          <w:tcPr>
            <w:tcW w:w="20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Net income</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131</w:t>
            </w:r>
          </w:p>
        </w:tc>
        <w:tc>
          <w:tcPr>
            <w:tcW w:w="360" w:type="dxa"/>
            <w:vAlign w:val="bottom"/>
          </w:tcPr>
          <w:p>
            <w:pPr>
              <w:spacing w:after="0"/>
              <w:rPr>
                <w:sz w:val="20"/>
                <w:szCs w:val="20"/>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113</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122</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Restructuring and other</w:t>
            </w: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4</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13</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Pension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Pension contributions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8</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Working capital changes and other</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(922)</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(944)</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shd w:val="clear" w:color="auto" w:fill="CCEEFF"/>
          </w:tcPr>
          <w:p>
            <w:pPr>
              <w:ind w:left="460"/>
              <w:spacing w:after="0" w:line="250" w:lineRule="exact"/>
              <w:rPr>
                <w:sz w:val="20"/>
                <w:szCs w:val="20"/>
                <w:color w:val="auto"/>
              </w:rPr>
            </w:pPr>
            <w:r>
              <w:rPr>
                <w:rFonts w:ascii="Arial" w:cs="Arial" w:eastAsia="Arial" w:hAnsi="Arial"/>
                <w:sz w:val="17"/>
                <w:szCs w:val="17"/>
                <w:b w:val="1"/>
                <w:bCs w:val="1"/>
                <w:color w:val="auto"/>
                <w:w w:val="97"/>
              </w:rPr>
              <w:t xml:space="preserve">Net cash provided by/(used for) operating activities </w:t>
            </w:r>
            <w:r>
              <w:rPr>
                <w:rFonts w:ascii="Arial" w:cs="Arial" w:eastAsia="Arial" w:hAnsi="Arial"/>
                <w:sz w:val="28"/>
                <w:szCs w:val="28"/>
                <w:b w:val="1"/>
                <w:bCs w:val="1"/>
                <w:color w:val="auto"/>
                <w:w w:val="97"/>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(666)</w:t>
            </w:r>
          </w:p>
        </w:tc>
        <w:tc>
          <w:tcPr>
            <w:tcW w:w="3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(751)</w:t>
            </w:r>
          </w:p>
        </w:tc>
        <w:tc>
          <w:tcPr>
            <w:tcW w:w="2020" w:type="dxa"/>
            <w:vAlign w:val="bottom"/>
          </w:tcPr>
          <w:p>
            <w:pPr>
              <w:spacing w:after="0"/>
              <w:rPr>
                <w:sz w:val="21"/>
                <w:szCs w:val="21"/>
                <w:color w:val="auto"/>
              </w:rPr>
            </w:pPr>
          </w:p>
        </w:tc>
      </w:tr>
      <w:tr>
        <w:trPr>
          <w:trHeight w:val="169"/>
        </w:trPr>
        <w:tc>
          <w:tcPr>
            <w:tcW w:w="20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Capital expenditures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(92)</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Beneficial interest in transferred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Proceeds from sale of assets</w:t>
            </w: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5</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202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20" w:type="dxa"/>
            <w:vAlign w:val="bottom"/>
          </w:tcPr>
          <w:p>
            <w:pPr>
              <w:spacing w:after="0"/>
              <w:rPr>
                <w:sz w:val="23"/>
                <w:szCs w:val="23"/>
                <w:color w:val="auto"/>
              </w:rPr>
            </w:pPr>
          </w:p>
        </w:tc>
      </w:tr>
      <w:tr>
        <w:trPr>
          <w:trHeight w:val="219"/>
        </w:trPr>
        <w:tc>
          <w:tcPr>
            <w:tcW w:w="2020" w:type="dxa"/>
            <w:vAlign w:val="bottom"/>
          </w:tcPr>
          <w:p>
            <w:pPr>
              <w:spacing w:after="0"/>
              <w:rPr>
                <w:sz w:val="19"/>
                <w:szCs w:val="19"/>
                <w:color w:val="auto"/>
              </w:rPr>
            </w:pPr>
          </w:p>
        </w:tc>
        <w:tc>
          <w:tcPr>
            <w:tcW w:w="4780" w:type="dxa"/>
            <w:vAlign w:val="bottom"/>
          </w:tcPr>
          <w:p>
            <w:pPr>
              <w:ind w:left="460"/>
              <w:spacing w:after="0"/>
              <w:rPr>
                <w:sz w:val="20"/>
                <w:szCs w:val="20"/>
                <w:color w:val="auto"/>
              </w:rPr>
            </w:pPr>
            <w:r>
              <w:rPr>
                <w:rFonts w:ascii="Arial" w:cs="Arial" w:eastAsia="Arial" w:hAnsi="Arial"/>
                <w:sz w:val="17"/>
                <w:szCs w:val="17"/>
                <w:b w:val="1"/>
                <w:bCs w:val="1"/>
                <w:color w:val="auto"/>
              </w:rPr>
              <w:t>Net cash provided by/(used for) investing activities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(64)</w:t>
            </w: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58</w:t>
            </w:r>
          </w:p>
        </w:tc>
        <w:tc>
          <w:tcPr>
            <w:tcW w:w="2020" w:type="dxa"/>
            <w:vAlign w:val="bottom"/>
          </w:tcPr>
          <w:p>
            <w:pPr>
              <w:spacing w:after="0"/>
              <w:rPr>
                <w:sz w:val="19"/>
                <w:szCs w:val="19"/>
                <w:color w:val="auto"/>
              </w:rPr>
            </w:pPr>
          </w:p>
        </w:tc>
      </w:tr>
      <w:tr>
        <w:trPr>
          <w:trHeight w:val="31"/>
        </w:trPr>
        <w:tc>
          <w:tcPr>
            <w:tcW w:w="20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169"/>
        </w:trPr>
        <w:tc>
          <w:tcPr>
            <w:tcW w:w="2020" w:type="dxa"/>
            <w:vAlign w:val="bottom"/>
          </w:tcPr>
          <w:p>
            <w:pPr>
              <w:spacing w:after="0"/>
              <w:rPr>
                <w:sz w:val="14"/>
                <w:szCs w:val="14"/>
                <w:color w:val="auto"/>
              </w:rPr>
            </w:pPr>
          </w:p>
        </w:tc>
        <w:tc>
          <w:tcPr>
            <w:tcW w:w="4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20" w:type="dxa"/>
            <w:vAlign w:val="bottom"/>
          </w:tcPr>
          <w:p>
            <w:pPr>
              <w:spacing w:after="0"/>
              <w:rPr>
                <w:sz w:val="14"/>
                <w:szCs w:val="14"/>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Net change in debt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450</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2,475</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Dividends paid to noncontrolling interests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Common stock repurchased</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Arial" w:cs="Arial" w:eastAsia="Arial" w:hAnsi="Arial"/>
                <w:sz w:val="17"/>
                <w:szCs w:val="17"/>
                <w:color w:val="auto"/>
              </w:rPr>
              <w:t>Other, net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b w:val="1"/>
                <w:bCs w:val="1"/>
                <w:color w:val="auto"/>
              </w:rPr>
              <w:t>Net cash provided by/(used for)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417</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2,455</w:t>
            </w:r>
          </w:p>
        </w:tc>
        <w:tc>
          <w:tcPr>
            <w:tcW w:w="2020" w:type="dxa"/>
            <w:vAlign w:val="bottom"/>
          </w:tcPr>
          <w:p>
            <w:pPr>
              <w:spacing w:after="0"/>
              <w:rPr>
                <w:sz w:val="21"/>
                <w:szCs w:val="21"/>
                <w:color w:val="auto"/>
              </w:rPr>
            </w:pPr>
          </w:p>
        </w:tc>
      </w:tr>
      <w:tr>
        <w:trPr>
          <w:trHeight w:val="169"/>
        </w:trPr>
        <w:tc>
          <w:tcPr>
            <w:tcW w:w="20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20" w:type="dxa"/>
            <w:vAlign w:val="bottom"/>
          </w:tcPr>
          <w:p>
            <w:pPr>
              <w:spacing w:after="0"/>
              <w:rPr>
                <w:sz w:val="14"/>
                <w:szCs w:val="14"/>
                <w:color w:val="auto"/>
              </w:rPr>
            </w:pPr>
          </w:p>
        </w:tc>
      </w:tr>
      <w:tr>
        <w:trPr>
          <w:trHeight w:val="270"/>
        </w:trPr>
        <w:tc>
          <w:tcPr>
            <w:tcW w:w="2020" w:type="dxa"/>
            <w:vAlign w:val="bottom"/>
          </w:tcPr>
          <w:p>
            <w:pPr>
              <w:spacing w:after="0"/>
              <w:rPr>
                <w:sz w:val="23"/>
                <w:szCs w:val="23"/>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w:t>
            </w:r>
          </w:p>
        </w:tc>
        <w:tc>
          <w:tcPr>
            <w:tcW w:w="3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020" w:type="dxa"/>
            <w:vAlign w:val="bottom"/>
          </w:tcPr>
          <w:p>
            <w:pPr>
              <w:spacing w:after="0"/>
              <w:rPr>
                <w:sz w:val="23"/>
                <w:szCs w:val="23"/>
                <w:color w:val="auto"/>
              </w:rPr>
            </w:pPr>
          </w:p>
        </w:tc>
      </w:tr>
      <w:tr>
        <w:trPr>
          <w:trHeight w:val="250"/>
        </w:trPr>
        <w:tc>
          <w:tcPr>
            <w:tcW w:w="20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020" w:type="dxa"/>
            <w:vAlign w:val="bottom"/>
          </w:tcPr>
          <w:p>
            <w:pPr>
              <w:spacing w:after="0"/>
              <w:rPr>
                <w:sz w:val="21"/>
                <w:szCs w:val="21"/>
                <w:color w:val="auto"/>
              </w:rPr>
            </w:pPr>
          </w:p>
        </w:tc>
      </w:tr>
      <w:tr>
        <w:trPr>
          <w:trHeight w:val="250"/>
        </w:trPr>
        <w:tc>
          <w:tcPr>
            <w:tcW w:w="2020" w:type="dxa"/>
            <w:vAlign w:val="bottom"/>
          </w:tcPr>
          <w:p>
            <w:pPr>
              <w:spacing w:after="0"/>
              <w:rPr>
                <w:sz w:val="21"/>
                <w:szCs w:val="21"/>
                <w:color w:val="auto"/>
              </w:rPr>
            </w:pPr>
          </w:p>
        </w:tc>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change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3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1,776</w:t>
            </w:r>
          </w:p>
        </w:tc>
        <w:tc>
          <w:tcPr>
            <w:tcW w:w="2020" w:type="dxa"/>
            <w:vAlign w:val="bottom"/>
          </w:tcPr>
          <w:p>
            <w:pPr>
              <w:spacing w:after="0"/>
              <w:rPr>
                <w:sz w:val="21"/>
                <w:szCs w:val="21"/>
                <w:color w:val="auto"/>
              </w:rPr>
            </w:pPr>
          </w:p>
        </w:tc>
      </w:tr>
      <w:tr>
        <w:trPr>
          <w:trHeight w:val="239"/>
        </w:trPr>
        <w:tc>
          <w:tcPr>
            <w:tcW w:w="202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7"/>
                <w:szCs w:val="17"/>
                <w:color w:val="auto"/>
              </w:rPr>
              <w:t>Cash and cash equivalents at January 1</w:t>
            </w: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659</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435</w:t>
            </w:r>
          </w:p>
        </w:tc>
        <w:tc>
          <w:tcPr>
            <w:tcW w:w="2020" w:type="dxa"/>
            <w:vAlign w:val="bottom"/>
          </w:tcPr>
          <w:p>
            <w:pPr>
              <w:spacing w:after="0"/>
              <w:rPr>
                <w:sz w:val="20"/>
                <w:szCs w:val="20"/>
                <w:color w:val="auto"/>
              </w:rPr>
            </w:pPr>
          </w:p>
        </w:tc>
      </w:tr>
      <w:tr>
        <w:trPr>
          <w:trHeight w:val="31"/>
        </w:trPr>
        <w:tc>
          <w:tcPr>
            <w:tcW w:w="202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2020" w:type="dxa"/>
            <w:vAlign w:val="bottom"/>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020" w:type="dxa"/>
            <w:vAlign w:val="bottom"/>
          </w:tcPr>
          <w:p>
            <w:pPr>
              <w:spacing w:after="0"/>
              <w:rPr>
                <w:sz w:val="21"/>
                <w:szCs w:val="21"/>
                <w:color w:val="auto"/>
              </w:rPr>
            </w:pPr>
          </w:p>
        </w:tc>
      </w:tr>
      <w:tr>
        <w:trPr>
          <w:trHeight w:val="257"/>
        </w:trPr>
        <w:tc>
          <w:tcPr>
            <w:tcW w:w="2020" w:type="dxa"/>
            <w:vAlign w:val="bottom"/>
          </w:tcPr>
          <w:p>
            <w:pPr>
              <w:spacing w:after="0"/>
              <w:rPr>
                <w:sz w:val="22"/>
                <w:szCs w:val="22"/>
                <w:color w:val="auto"/>
              </w:rPr>
            </w:pPr>
          </w:p>
        </w:tc>
        <w:tc>
          <w:tcPr>
            <w:tcW w:w="4780" w:type="dxa"/>
            <w:vAlign w:val="bottom"/>
          </w:tcPr>
          <w:p>
            <w:pPr>
              <w:ind w:left="20"/>
              <w:spacing w:after="0" w:line="257" w:lineRule="exact"/>
              <w:rPr>
                <w:sz w:val="20"/>
                <w:szCs w:val="20"/>
                <w:color w:val="auto"/>
              </w:rPr>
            </w:pPr>
            <w:r>
              <w:rPr>
                <w:rFonts w:ascii="Arial" w:cs="Arial" w:eastAsia="Arial" w:hAnsi="Arial"/>
                <w:sz w:val="17"/>
                <w:szCs w:val="17"/>
                <w:b w:val="1"/>
                <w:bCs w:val="1"/>
                <w:color w:val="auto"/>
              </w:rPr>
              <w:t xml:space="preserve">Cash and cash equivalents at March 31 </w:t>
            </w:r>
            <w:r>
              <w:rPr>
                <w:rFonts w:ascii="Arial" w:cs="Arial" w:eastAsia="Arial" w:hAnsi="Arial"/>
                <w:sz w:val="28"/>
                <w:szCs w:val="28"/>
                <w:b w:val="1"/>
                <w:bCs w:val="1"/>
                <w:color w:val="auto"/>
                <w:vertAlign w:val="superscript"/>
              </w:rPr>
              <w:t>(2)</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348</w:t>
            </w:r>
          </w:p>
        </w:tc>
        <w:tc>
          <w:tcPr>
            <w:tcW w:w="360" w:type="dxa"/>
            <w:vAlign w:val="bottom"/>
          </w:tcPr>
          <w:p>
            <w:pPr>
              <w:spacing w:after="0"/>
              <w:rPr>
                <w:sz w:val="22"/>
                <w:szCs w:val="22"/>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2,211</w:t>
            </w:r>
          </w:p>
        </w:tc>
        <w:tc>
          <w:tcPr>
            <w:tcW w:w="2020" w:type="dxa"/>
            <w:vAlign w:val="bottom"/>
          </w:tcPr>
          <w:p>
            <w:pPr>
              <w:spacing w:after="0"/>
              <w:rPr>
                <w:sz w:val="22"/>
                <w:szCs w:val="22"/>
                <w:color w:val="auto"/>
              </w:rPr>
            </w:pPr>
          </w:p>
        </w:tc>
      </w:tr>
      <w:tr>
        <w:trPr>
          <w:trHeight w:val="20"/>
        </w:trPr>
        <w:tc>
          <w:tcPr>
            <w:tcW w:w="20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96"/>
        </w:trPr>
        <w:tc>
          <w:tcPr>
            <w:tcW w:w="2020" w:type="dxa"/>
            <w:vAlign w:val="bottom"/>
            <w:tcBorders>
              <w:bottom w:val="single" w:sz="8" w:color="9A9A9A"/>
            </w:tcBorders>
          </w:tcPr>
          <w:p>
            <w:pPr>
              <w:spacing w:after="0"/>
              <w:rPr>
                <w:sz w:val="8"/>
                <w:szCs w:val="8"/>
                <w:color w:val="auto"/>
              </w:rPr>
            </w:pPr>
          </w:p>
        </w:tc>
        <w:tc>
          <w:tcPr>
            <w:tcW w:w="4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74" w:lineRule="exact"/>
        <w:rPr>
          <w:sz w:val="20"/>
          <w:szCs w:val="20"/>
          <w:color w:val="auto"/>
        </w:rPr>
      </w:pPr>
    </w:p>
    <w:p>
      <w:pPr>
        <w:ind w:left="400" w:right="220" w:hanging="324"/>
        <w:spacing w:after="0" w:line="264"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Adjusted free cash flow is defined by the Company as net cash from operating activities plus beneficial interest in transferred receivables less capital expenditures and certain other items. A reconciliation from net cash used for operating activities to adjusted free cash flow for the three months ended March 31, 2019 and 2018 follows.</w:t>
      </w:r>
    </w:p>
    <w:p>
      <w:pPr>
        <w:spacing w:after="0" w:line="181" w:lineRule="exact"/>
        <w:rPr>
          <w:rFonts w:ascii="Arial" w:cs="Arial" w:eastAsia="Arial" w:hAnsi="Arial"/>
          <w:sz w:val="18"/>
          <w:szCs w:val="18"/>
          <w:color w:val="auto"/>
        </w:rPr>
      </w:pPr>
    </w:p>
    <w:p>
      <w:pPr>
        <w:ind w:left="400" w:hanging="324"/>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includes $47 and $10 of restricted cash at March 31, 2019 and 2018.</w:t>
      </w:r>
    </w:p>
    <w:p>
      <w:pPr>
        <w:spacing w:after="0" w:line="175" w:lineRule="exact"/>
        <w:rPr>
          <w:sz w:val="20"/>
          <w:szCs w:val="20"/>
          <w:color w:val="auto"/>
        </w:rPr>
      </w:pPr>
    </w:p>
    <w:tbl>
      <w:tblPr>
        <w:tblLayout w:type="fixed"/>
        <w:tblInd w:w="2900" w:type="dxa"/>
        <w:tblCellMar>
          <w:top w:w="0" w:type="dxa"/>
          <w:left w:w="0" w:type="dxa"/>
          <w:bottom w:w="0" w:type="dxa"/>
          <w:right w:w="0" w:type="dxa"/>
        </w:tblCellMar>
      </w:tblPr>
      <w:tr>
        <w:trPr>
          <w:trHeight w:val="222"/>
        </w:trPr>
        <w:tc>
          <w:tcPr>
            <w:tcW w:w="3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4"/>
          </w:tcPr>
          <w:p>
            <w:pPr>
              <w:jc w:val="right"/>
              <w:ind w:right="415"/>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gridSpan w:val="3"/>
          </w:tcPr>
          <w:p>
            <w:pPr>
              <w:jc w:val="right"/>
              <w:spacing w:after="0"/>
              <w:rPr>
                <w:sz w:val="20"/>
                <w:szCs w:val="20"/>
                <w:color w:val="auto"/>
              </w:rPr>
            </w:pPr>
            <w:r>
              <w:rPr>
                <w:rFonts w:ascii="Arial" w:cs="Arial" w:eastAsia="Arial" w:hAnsi="Arial"/>
                <w:sz w:val="17"/>
                <w:szCs w:val="17"/>
                <w:b w:val="1"/>
                <w:bCs w:val="1"/>
                <w:color w:val="auto"/>
              </w:rPr>
              <w:t>March 31,</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
        </w:trPr>
        <w:tc>
          <w:tcPr>
            <w:tcW w:w="3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4"/>
              <w:spacing w:after="0"/>
              <w:rPr>
                <w:sz w:val="20"/>
                <w:szCs w:val="20"/>
                <w:color w:val="auto"/>
              </w:rPr>
            </w:pPr>
            <w:r>
              <w:rPr>
                <w:rFonts w:ascii="Arial" w:cs="Arial" w:eastAsia="Arial" w:hAnsi="Arial"/>
                <w:sz w:val="17"/>
                <w:szCs w:val="17"/>
                <w:b w:val="1"/>
                <w:bCs w:val="1"/>
                <w:color w:val="auto"/>
              </w:rPr>
              <w:t>2019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315"/>
              <w:spacing w:after="0"/>
              <w:rPr>
                <w:sz w:val="20"/>
                <w:szCs w:val="20"/>
                <w:color w:val="auto"/>
              </w:rPr>
            </w:pPr>
            <w:r>
              <w:rPr>
                <w:rFonts w:ascii="Arial" w:cs="Arial" w:eastAsia="Arial" w:hAnsi="Arial"/>
                <w:sz w:val="17"/>
                <w:szCs w:val="17"/>
                <w:b w:val="1"/>
                <w:bCs w:val="1"/>
                <w:color w:val="auto"/>
              </w:rPr>
              <w:t>2018</w:t>
            </w:r>
          </w:p>
        </w:tc>
        <w:tc>
          <w:tcPr>
            <w:tcW w:w="0" w:type="dxa"/>
            <w:vAlign w:val="bottom"/>
          </w:tcPr>
          <w:p>
            <w:pPr>
              <w:spacing w:after="0"/>
              <w:rPr>
                <w:sz w:val="1"/>
                <w:szCs w:val="1"/>
                <w:color w:val="auto"/>
              </w:rPr>
            </w:pPr>
          </w:p>
        </w:tc>
      </w:tr>
      <w:tr>
        <w:trPr>
          <w:trHeight w:val="31"/>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cash from operating activities</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(666)</w:t>
            </w:r>
          </w:p>
        </w:tc>
        <w:tc>
          <w:tcPr>
            <w:tcW w:w="3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(751)</w:t>
            </w:r>
          </w:p>
        </w:tc>
        <w:tc>
          <w:tcPr>
            <w:tcW w:w="0" w:type="dxa"/>
            <w:vAlign w:val="bottom"/>
          </w:tcPr>
          <w:p>
            <w:pPr>
              <w:spacing w:after="0"/>
              <w:rPr>
                <w:sz w:val="1"/>
                <w:szCs w:val="1"/>
                <w:color w:val="auto"/>
              </w:rPr>
            </w:pPr>
          </w:p>
        </w:tc>
      </w:tr>
      <w:tr>
        <w:trPr>
          <w:trHeight w:val="212"/>
        </w:trPr>
        <w:tc>
          <w:tcPr>
            <w:tcW w:w="3240" w:type="dxa"/>
            <w:vAlign w:val="bottom"/>
          </w:tcPr>
          <w:p>
            <w:pPr>
              <w:ind w:left="20"/>
              <w:spacing w:after="0"/>
              <w:rPr>
                <w:sz w:val="20"/>
                <w:szCs w:val="20"/>
                <w:color w:val="auto"/>
              </w:rPr>
            </w:pPr>
            <w:r>
              <w:rPr>
                <w:rFonts w:ascii="Arial" w:cs="Arial" w:eastAsia="Arial" w:hAnsi="Arial"/>
                <w:sz w:val="17"/>
                <w:szCs w:val="17"/>
                <w:color w:val="auto"/>
                <w:w w:val="97"/>
              </w:rPr>
              <w:t>Beneficial interest in transferred receivables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vMerge w:val="restart"/>
          </w:tcPr>
          <w:p>
            <w:pPr>
              <w:jc w:val="right"/>
              <w:ind w:right="15"/>
              <w:spacing w:after="0"/>
              <w:rPr>
                <w:sz w:val="20"/>
                <w:szCs w:val="20"/>
                <w:color w:val="auto"/>
              </w:rPr>
            </w:pPr>
            <w:r>
              <w:rPr>
                <w:rFonts w:ascii="Arial" w:cs="Arial" w:eastAsia="Arial" w:hAnsi="Arial"/>
                <w:sz w:val="17"/>
                <w:szCs w:val="17"/>
                <w:color w:val="auto"/>
              </w:rPr>
              <w:t>175</w:t>
            </w:r>
          </w:p>
        </w:tc>
        <w:tc>
          <w:tcPr>
            <w:tcW w:w="0" w:type="dxa"/>
            <w:vAlign w:val="bottom"/>
          </w:tcPr>
          <w:p>
            <w:pPr>
              <w:spacing w:after="0"/>
              <w:rPr>
                <w:sz w:val="1"/>
                <w:szCs w:val="1"/>
                <w:color w:val="auto"/>
              </w:rPr>
            </w:pPr>
          </w:p>
        </w:tc>
      </w:tr>
      <w:tr>
        <w:trPr>
          <w:trHeight w:val="181"/>
        </w:trPr>
        <w:tc>
          <w:tcPr>
            <w:tcW w:w="3240" w:type="dxa"/>
            <w:vAlign w:val="bottom"/>
          </w:tcPr>
          <w:p>
            <w:pPr>
              <w:ind w:left="20"/>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Acquisition costs</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9"/>
        </w:trPr>
        <w:tc>
          <w:tcPr>
            <w:tcW w:w="3240" w:type="dxa"/>
            <w:vAlign w:val="bottom"/>
          </w:tcPr>
          <w:p>
            <w:pPr>
              <w:ind w:left="20"/>
              <w:spacing w:after="0"/>
              <w:rPr>
                <w:sz w:val="20"/>
                <w:szCs w:val="20"/>
                <w:color w:val="auto"/>
              </w:rPr>
            </w:pPr>
            <w:r>
              <w:rPr>
                <w:rFonts w:ascii="Arial" w:cs="Arial" w:eastAsia="Arial" w:hAnsi="Arial"/>
                <w:sz w:val="17"/>
                <w:szCs w:val="17"/>
                <w:color w:val="auto"/>
              </w:rPr>
              <w:t>Adjusted cash from operating activities</w:t>
            </w: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(666)</w:t>
            </w: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(573)</w:t>
            </w:r>
          </w:p>
        </w:tc>
        <w:tc>
          <w:tcPr>
            <w:tcW w:w="0" w:type="dxa"/>
            <w:vAlign w:val="bottom"/>
          </w:tcPr>
          <w:p>
            <w:pPr>
              <w:spacing w:after="0"/>
              <w:rPr>
                <w:sz w:val="1"/>
                <w:szCs w:val="1"/>
                <w:color w:val="auto"/>
              </w:rPr>
            </w:pPr>
          </w:p>
        </w:tc>
      </w:tr>
      <w:tr>
        <w:trPr>
          <w:trHeight w:val="31"/>
        </w:trPr>
        <w:tc>
          <w:tcPr>
            <w:tcW w:w="3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shd w:val="clear" w:color="auto" w:fill="CCEEFF"/>
          </w:tcPr>
          <w:p>
            <w:pPr>
              <w:ind w:left="20"/>
              <w:spacing w:after="0" w:line="270" w:lineRule="exact"/>
              <w:rPr>
                <w:sz w:val="20"/>
                <w:szCs w:val="20"/>
                <w:color w:val="auto"/>
              </w:rPr>
            </w:pPr>
            <w:r>
              <w:rPr>
                <w:rFonts w:ascii="Arial" w:cs="Arial" w:eastAsia="Arial" w:hAnsi="Arial"/>
                <w:sz w:val="17"/>
                <w:szCs w:val="17"/>
                <w:color w:val="auto"/>
              </w:rPr>
              <w:t xml:space="preserve">Interest included in investing activities </w:t>
            </w:r>
            <w:r>
              <w:rPr>
                <w:rFonts w:ascii="Arial" w:cs="Arial" w:eastAsia="Arial" w:hAnsi="Arial"/>
                <w:sz w:val="28"/>
                <w:szCs w:val="28"/>
                <w:color w:val="auto"/>
                <w:vertAlign w:val="superscript"/>
              </w:rPr>
              <w:t>(4)</w:t>
            </w: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Arial" w:cs="Arial" w:eastAsia="Arial" w:hAnsi="Arial"/>
                <w:sz w:val="17"/>
                <w:szCs w:val="17"/>
                <w:color w:val="auto"/>
              </w:rPr>
              <w:t>Capital expenditures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31"/>
        </w:trPr>
        <w:tc>
          <w:tcPr>
            <w:tcW w:w="3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free cash flow</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(735)</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(665)</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760" w:hanging="264"/>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Prior Subsequent to amendments to the Company’s receivables securitization program during the third quarter of 2018, certain activity that was previously reported as investing activity is now reported as operating activity.</w:t>
      </w:r>
    </w:p>
    <w:p>
      <w:pPr>
        <w:spacing w:after="0" w:line="170" w:lineRule="exact"/>
        <w:rPr>
          <w:rFonts w:ascii="Arial" w:cs="Arial" w:eastAsia="Arial" w:hAnsi="Arial"/>
          <w:sz w:val="18"/>
          <w:szCs w:val="18"/>
          <w:color w:val="auto"/>
        </w:rPr>
      </w:pPr>
    </w:p>
    <w:p>
      <w:pPr>
        <w:ind w:left="340" w:hanging="26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benefit of cross-currency swap included in investing activities.</w:t>
      </w:r>
    </w:p>
    <w:p>
      <w:pPr>
        <w:sectPr>
          <w:pgSz w:w="11900" w:h="16838" w:orient="portrait"/>
          <w:cols w:equalWidth="0" w:num="1">
            <w:col w:w="11420"/>
          </w:cols>
          <w:pgMar w:left="240" w:top="852" w:right="239" w:bottom="0" w:gutter="0" w:footer="0" w:header="0"/>
        </w:sectPr>
      </w:pPr>
    </w:p>
    <w:bookmarkStart w:id="14" w:name="page15"/>
    <w:bookmarkEnd w:id="14"/>
    <w:p>
      <w:pPr>
        <w:jc w:val="center"/>
        <w:spacing w:after="0"/>
        <w:rPr>
          <w:sz w:val="20"/>
          <w:szCs w:val="20"/>
          <w:color w:val="auto"/>
        </w:rPr>
      </w:pPr>
      <w:r>
        <w:rPr>
          <w:rFonts w:ascii="Arial" w:cs="Arial" w:eastAsia="Arial" w:hAnsi="Arial"/>
          <w:sz w:val="15"/>
          <w:szCs w:val="15"/>
          <w:color w:val="auto"/>
        </w:rPr>
        <w:t>Page 9 of 10</w:t>
      </w:r>
    </w:p>
    <w:p>
      <w:pPr>
        <w:sectPr>
          <w:pgSz w:w="11900" w:h="16838" w:orient="portrait"/>
          <w:cols w:equalWidth="0" w:num="1">
            <w:col w:w="9019"/>
          </w:cols>
          <w:pgMar w:left="1440" w:top="368"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5664835</wp:posOffset>
            </wp:positionH>
            <wp:positionV relativeFrom="paragraph">
              <wp:posOffset>-162560</wp:posOffset>
            </wp:positionV>
            <wp:extent cx="1551940" cy="4972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51940" cy="497205"/>
                    </a:xfrm>
                    <a:prstGeom prst="rect">
                      <a:avLst/>
                    </a:prstGeom>
                    <a:noFill/>
                  </pic:spPr>
                </pic:pic>
              </a:graphicData>
            </a:graphic>
          </wp:anchor>
        </w:drawing>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4"/>
          <w:szCs w:val="14"/>
          <w:color w:val="auto"/>
        </w:rPr>
        <w:t>Corporate Headquarters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770 Township Line Road</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4"/>
          <w:szCs w:val="14"/>
          <w:color w:val="auto"/>
        </w:rPr>
        <w:t>Yardley, PA 19067-4219</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Consolidated Supplemental Data (Unaudited)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b w:val="1"/>
          <w:bCs w:val="1"/>
          <w:u w:val="single" w:color="auto"/>
          <w:color w:val="auto"/>
        </w:rPr>
        <w:t>Impact of Foreign Currency Translation by Segment</w:t>
      </w:r>
      <w:r>
        <w:rPr>
          <w:rFonts w:ascii="Arial" w:cs="Arial" w:eastAsia="Arial" w:hAnsi="Arial"/>
          <w:sz w:val="18"/>
          <w:szCs w:val="18"/>
          <w:b w:val="1"/>
          <w:bCs w:val="1"/>
          <w:color w:val="auto"/>
        </w:rPr>
        <w:t xml:space="preserve"> </w:t>
      </w:r>
      <w:r>
        <w:rPr>
          <w:rFonts w:ascii="Arial" w:cs="Arial" w:eastAsia="Arial" w:hAnsi="Arial"/>
          <w:sz w:val="25"/>
          <w:szCs w:val="25"/>
          <w:b w:val="1"/>
          <w:bCs w:val="1"/>
          <w:color w:val="auto"/>
          <w:vertAlign w:val="superscript"/>
        </w:rPr>
        <w:t>(1)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2"/>
          </w:tcPr>
          <w:p>
            <w:pPr>
              <w:ind w:left="40"/>
              <w:spacing w:after="0"/>
              <w:rPr>
                <w:sz w:val="20"/>
                <w:szCs w:val="20"/>
                <w:color w:val="auto"/>
              </w:rPr>
            </w:pPr>
            <w:r>
              <w:rPr>
                <w:rFonts w:ascii="Arial" w:cs="Arial" w:eastAsia="Arial" w:hAnsi="Arial"/>
                <w:sz w:val="18"/>
                <w:szCs w:val="18"/>
                <w:b w:val="1"/>
                <w:bCs w:val="1"/>
                <w:color w:val="auto"/>
              </w:rPr>
              <w:t>Segment</w:t>
            </w:r>
          </w:p>
        </w:tc>
        <w:tc>
          <w:tcPr>
            <w:tcW w:w="18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Net Sales</w:t>
            </w:r>
          </w:p>
        </w:tc>
        <w:tc>
          <w:tcPr>
            <w:tcW w:w="14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Segment Income</w:t>
            </w:r>
          </w:p>
        </w:tc>
      </w:tr>
      <w:tr>
        <w:trPr>
          <w:trHeight w:val="27"/>
        </w:trPr>
        <w:tc>
          <w:tcPr>
            <w:tcW w:w="3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Americas Beverage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European Beverage</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European Food</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Transit Packaging</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3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and Non-Reportable</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r>
      <w:tr>
        <w:trPr>
          <w:trHeight w:val="257"/>
        </w:trPr>
        <w:tc>
          <w:tcPr>
            <w:tcW w:w="354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segment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18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r>
      <w:tr>
        <w:trPr>
          <w:trHeight w:val="20"/>
        </w:trPr>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740" w:hanging="408"/>
        <w:spacing w:after="0" w:line="302" w:lineRule="auto"/>
        <w:tabs>
          <w:tab w:leader="none" w:pos="7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multiplying or dividing, as appropriate, the current U.S. dollar results by current year average foreign exchange rates and then multiplying or dividing, as appropriate, those amounts by the applicable prior year average foreign exchange rates.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Comparative Results for Transit Packaging</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Revenue</w:t>
            </w: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Segment Income</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 xml:space="preserve">Depreciation </w:t>
            </w:r>
            <w:r>
              <w:rPr>
                <w:rFonts w:ascii="Arial" w:cs="Arial" w:eastAsia="Arial" w:hAnsi="Arial"/>
                <w:sz w:val="25"/>
                <w:szCs w:val="25"/>
                <w:b w:val="1"/>
                <w:bCs w:val="1"/>
                <w:color w:val="auto"/>
                <w:vertAlign w:val="superscript"/>
              </w:rPr>
              <w:t>(2)</w:t>
            </w:r>
          </w:p>
        </w:tc>
      </w:tr>
      <w:tr>
        <w:trPr>
          <w:trHeight w:val="237"/>
        </w:trPr>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r>
      <w:tr>
        <w:trPr>
          <w:trHeight w:val="27"/>
        </w:trPr>
        <w:tc>
          <w:tcPr>
            <w:tcW w:w="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ind w:left="40"/>
              <w:spacing w:after="0"/>
              <w:rPr>
                <w:sz w:val="20"/>
                <w:szCs w:val="20"/>
                <w:color w:val="auto"/>
              </w:rPr>
            </w:pPr>
            <w:r>
              <w:rPr>
                <w:rFonts w:ascii="Arial" w:cs="Arial" w:eastAsia="Arial" w:hAnsi="Arial"/>
                <w:sz w:val="18"/>
                <w:szCs w:val="18"/>
                <w:color w:val="auto"/>
              </w:rPr>
              <w:t>Q1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569</w:t>
            </w:r>
          </w:p>
        </w:tc>
        <w:tc>
          <w:tcPr>
            <w:tcW w:w="16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Q2</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rPr>
              <w:t>Q3</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Q4</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2,388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r>
      <w:tr>
        <w:trPr>
          <w:trHeight w:val="27"/>
        </w:trPr>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40" w:hanging="408"/>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Amount of depreciation expense included in segment income, including step-up depreciation in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399"/>
        </w:trPr>
        <w:tc>
          <w:tcPr>
            <w:tcW w:w="27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Q1 2019</w:t>
            </w:r>
          </w:p>
        </w:tc>
        <w:tc>
          <w:tcPr>
            <w:tcW w:w="180" w:type="dxa"/>
            <w:vAlign w:val="bottom"/>
          </w:tcPr>
          <w:p>
            <w:pPr>
              <w:spacing w:after="0"/>
              <w:rPr>
                <w:sz w:val="24"/>
                <w:szCs w:val="24"/>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Q1 2018</w:t>
            </w:r>
          </w:p>
        </w:tc>
        <w:tc>
          <w:tcPr>
            <w:tcW w:w="220" w:type="dxa"/>
            <w:vAlign w:val="bottom"/>
          </w:tcPr>
          <w:p>
            <w:pPr>
              <w:spacing w:after="0"/>
              <w:rPr>
                <w:sz w:val="24"/>
                <w:szCs w:val="24"/>
                <w:color w:val="auto"/>
              </w:rPr>
            </w:pPr>
          </w:p>
        </w:tc>
        <w:tc>
          <w:tcPr>
            <w:tcW w:w="1840" w:type="dxa"/>
            <w:vAlign w:val="bottom"/>
            <w:gridSpan w:val="2"/>
          </w:tcPr>
          <w:p>
            <w:pPr>
              <w:ind w:left="100"/>
              <w:spacing w:after="0"/>
              <w:rPr>
                <w:sz w:val="20"/>
                <w:szCs w:val="20"/>
                <w:color w:val="auto"/>
              </w:rPr>
            </w:pPr>
            <w:r>
              <w:rPr>
                <w:rFonts w:ascii="Arial" w:cs="Arial" w:eastAsia="Arial" w:hAnsi="Arial"/>
                <w:sz w:val="18"/>
                <w:szCs w:val="18"/>
                <w:b w:val="1"/>
                <w:bCs w:val="1"/>
                <w:color w:val="auto"/>
              </w:rPr>
              <w:t>Full Year 2018</w:t>
            </w:r>
          </w:p>
        </w:tc>
        <w:tc>
          <w:tcPr>
            <w:tcW w:w="240" w:type="dxa"/>
            <w:vAlign w:val="bottom"/>
          </w:tcPr>
          <w:p>
            <w:pPr>
              <w:spacing w:after="0"/>
              <w:rPr>
                <w:sz w:val="24"/>
                <w:szCs w:val="24"/>
                <w:color w:val="auto"/>
              </w:rPr>
            </w:pPr>
          </w:p>
        </w:tc>
        <w:tc>
          <w:tcPr>
            <w:tcW w:w="2160" w:type="dxa"/>
            <w:vAlign w:val="bottom"/>
          </w:tcPr>
          <w:p>
            <w:pPr>
              <w:jc w:val="right"/>
              <w:ind w:right="270"/>
              <w:spacing w:after="0"/>
              <w:rPr>
                <w:sz w:val="20"/>
                <w:szCs w:val="20"/>
                <w:color w:val="auto"/>
              </w:rPr>
            </w:pPr>
            <w:r>
              <w:rPr>
                <w:rFonts w:ascii="Arial" w:cs="Arial" w:eastAsia="Arial" w:hAnsi="Arial"/>
                <w:sz w:val="18"/>
                <w:szCs w:val="18"/>
                <w:b w:val="1"/>
                <w:bCs w:val="1"/>
                <w:color w:val="auto"/>
                <w:w w:val="95"/>
              </w:rPr>
              <w:t>Twelve Months ended</w:t>
            </w:r>
          </w:p>
        </w:tc>
      </w:tr>
      <w:tr>
        <w:trPr>
          <w:trHeight w:val="270"/>
        </w:trPr>
        <w:tc>
          <w:tcPr>
            <w:tcW w:w="2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60" w:type="dxa"/>
            <w:vAlign w:val="bottom"/>
          </w:tcPr>
          <w:p>
            <w:pPr>
              <w:jc w:val="right"/>
              <w:ind w:right="510"/>
              <w:spacing w:after="0"/>
              <w:rPr>
                <w:sz w:val="20"/>
                <w:szCs w:val="20"/>
                <w:color w:val="auto"/>
              </w:rPr>
            </w:pPr>
            <w:r>
              <w:rPr>
                <w:rFonts w:ascii="Arial" w:cs="Arial" w:eastAsia="Arial" w:hAnsi="Arial"/>
                <w:sz w:val="18"/>
                <w:szCs w:val="18"/>
                <w:b w:val="1"/>
                <w:bCs w:val="1"/>
                <w:color w:val="auto"/>
              </w:rPr>
              <w:t>March 31, 2019</w:t>
            </w:r>
          </w:p>
        </w:tc>
      </w:tr>
      <w:tr>
        <w:trPr>
          <w:trHeight w:val="27"/>
        </w:trPr>
        <w:tc>
          <w:tcPr>
            <w:tcW w:w="27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262</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221</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1,096</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1,137</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7"/>
        </w:trPr>
        <w:tc>
          <w:tcPr>
            <w:tcW w:w="2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Intangibles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Fair value adjustment to inventory</w:t>
            </w: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40</w:t>
            </w:r>
          </w:p>
        </w:tc>
      </w:tr>
      <w:tr>
        <w:trPr>
          <w:trHeight w:val="27"/>
        </w:trPr>
        <w:tc>
          <w:tcPr>
            <w:tcW w:w="2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restructuring and other</w:t>
            </w: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Segment income</w:t>
            </w: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315</w:t>
            </w:r>
          </w:p>
        </w:tc>
        <w:tc>
          <w:tcPr>
            <w:tcW w:w="3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3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1,328</w:t>
            </w:r>
          </w:p>
        </w:tc>
        <w:tc>
          <w:tcPr>
            <w:tcW w:w="3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1,398</w:t>
            </w:r>
          </w:p>
        </w:tc>
      </w:tr>
      <w:tr>
        <w:trPr>
          <w:trHeight w:val="27"/>
        </w:trPr>
        <w:tc>
          <w:tcPr>
            <w:tcW w:w="2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pension and postretirement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3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277</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296</w:t>
            </w:r>
          </w:p>
        </w:tc>
      </w:tr>
      <w:tr>
        <w:trPr>
          <w:trHeight w:val="27"/>
        </w:trPr>
        <w:tc>
          <w:tcPr>
            <w:tcW w:w="27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392</w:t>
            </w:r>
          </w:p>
        </w:tc>
        <w:tc>
          <w:tcPr>
            <w:tcW w:w="3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316</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1,672</w:t>
            </w:r>
          </w:p>
        </w:tc>
        <w:tc>
          <w:tcPr>
            <w:tcW w:w="3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1,748</w:t>
            </w:r>
          </w:p>
        </w:tc>
      </w:tr>
      <w:tr>
        <w:trPr>
          <w:trHeight w:val="20"/>
        </w:trPr>
        <w:tc>
          <w:tcPr>
            <w:tcW w:w="2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852"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10 of 10</w:t>
      </w:r>
    </w:p>
    <w:sectPr>
      <w:pgSz w:w="11900" w:h="16838" w:orient="portrait"/>
      <w:cols w:equalWidth="0" w:num="1">
        <w:col w:w="11420"/>
      </w:cols>
      <w:pgMar w:left="240" w:top="85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5"/>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2019-12-28T13:49:44Z</dcterms:created>
  <dcterms:modified xsi:type="dcterms:W3CDTF">2019-12-28T13:49:44Z</dcterms:modified>
</cp:coreProperties>
</file>