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2022</w:t>
      </w:r>
    </w:p>
    <w:p>
      <w:pPr>
        <w:spacing w:after="0" w:line="233"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507"/>
        </w:trPr>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8"/>
              </w:rPr>
              <w:t>Yardley</w:t>
            </w:r>
          </w:p>
        </w:tc>
        <w:tc>
          <w:tcPr>
            <w:tcW w:w="272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b w:val="1"/>
                <w:bCs w:val="1"/>
                <w:color w:val="auto"/>
                <w:w w:val="94"/>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303"/>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40" w:type="dxa"/>
            <w:vAlign w:val="bottom"/>
          </w:tcPr>
          <w:p>
            <w:pPr>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40" w:type="dxa"/>
            <w:vAlign w:val="bottom"/>
          </w:tcPr>
          <w:p>
            <w:pPr>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40" w:type="dxa"/>
            <w:vAlign w:val="bottom"/>
          </w:tcPr>
          <w:p>
            <w:pPr>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ectPr>
          <w:pgSz w:w="11900" w:h="16838" w:orient="portrait"/>
          <w:cols w:equalWidth="0" w:num="1">
            <w:col w:w="11240"/>
          </w:cols>
          <w:pgMar w:left="320" w:top="1003" w:right="339" w:bottom="1440" w:gutter="0" w:footer="0" w:header="0"/>
        </w:sectPr>
      </w:pPr>
    </w:p>
    <w:p>
      <w:pPr>
        <w:spacing w:after="0"/>
        <w:rPr>
          <w:sz w:val="20"/>
          <w:szCs w:val="20"/>
          <w:color w:val="auto"/>
        </w:rPr>
      </w:pPr>
      <w:r>
        <w:rPr>
          <w:rFonts w:ascii="Arial" w:cs="Arial" w:eastAsia="Arial" w:hAnsi="Arial"/>
          <w:sz w:val="14"/>
          <w:szCs w:val="14"/>
          <w:color w:val="auto"/>
        </w:rPr>
        <w:t>days.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7" w:lineRule="exact"/>
        <w:rPr>
          <w:sz w:val="24"/>
          <w:szCs w:val="24"/>
          <w:color w:val="auto"/>
        </w:rPr>
      </w:pPr>
    </w:p>
    <w:p>
      <w:pPr>
        <w:sectPr>
          <w:pgSz w:w="11900" w:h="16838" w:orient="portrait"/>
          <w:cols w:equalWidth="0" w:num="5">
            <w:col w:w="340" w:space="160"/>
            <w:col w:w="240" w:space="80"/>
            <w:col w:w="140" w:space="160"/>
            <w:col w:w="200" w:space="80"/>
            <w:col w:w="9840"/>
          </w:cols>
          <w:pgMar w:left="320" w:top="1003" w:right="339" w:bottom="1440" w:gutter="0" w:footer="0" w:header="0"/>
          <w:type w:val="continuous"/>
        </w:sectPr>
      </w:pPr>
    </w:p>
    <w:p>
      <w:pPr>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1003" w:right="339" w:bottom="1440" w:gutter="0" w:footer="0" w:header="0"/>
          <w:type w:val="continuous"/>
        </w:sectPr>
      </w:pPr>
    </w:p>
    <w:p>
      <w:pPr>
        <w:spacing w:after="0" w:line="141"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type w:val="continuous"/>
        </w:sectPr>
      </w:pPr>
    </w:p>
    <w:p>
      <w:pPr>
        <w:spacing w:after="0" w:line="25"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119,946,169 shares of Common Stock outstanding as of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0"/>
        </w:trPr>
        <w:tc>
          <w:tcPr>
            <w:tcW w:w="8700" w:type="dxa"/>
            <w:vAlign w:val="bottom"/>
            <w:gridSpan w:val="7"/>
          </w:tcPr>
          <w:p>
            <w:pPr>
              <w:jc w:val="center"/>
              <w:ind w:left="21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w w:val="90"/>
              </w:rPr>
              <w:t>(In millions except per share data)</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000" w:type="dxa"/>
            <w:vAlign w:val="bottom"/>
          </w:tcPr>
          <w:p>
            <w:pPr>
              <w:jc w:val="center"/>
              <w:ind w:left="483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6,548</w:t>
            </w: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net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early extinguishments of debt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Other pension and postretirement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56"/>
        </w:trPr>
        <w:tc>
          <w:tcPr>
            <w:tcW w:w="60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89"/>
              </w:rPr>
              <w:t>Income from continuing operations before taxes and equity in net earnings of</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affiliates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Equity in net earnings of affiliates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Net loss from discontinued operations</w:t>
            </w:r>
          </w:p>
        </w:tc>
        <w:tc>
          <w:tcPr>
            <w:tcW w:w="2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w w:val="92"/>
              </w:rPr>
              <w:t>Net income from continuing operations attributable to noncontrolling interests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75"/>
        </w:trPr>
        <w:tc>
          <w:tcPr>
            <w:tcW w:w="6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Net income from discontinued operations attributable to noncontrolling</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discontinued operations attributable to Crown Holdings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Basic loss per common share from discontinued operations</w:t>
            </w:r>
          </w:p>
        </w:tc>
        <w:tc>
          <w:tcPr>
            <w:tcW w:w="2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48"/>
        </w:trPr>
        <w:tc>
          <w:tcPr>
            <w:tcW w:w="6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Diluted loss per common share from discontinued operations</w:t>
            </w:r>
          </w:p>
        </w:tc>
        <w:tc>
          <w:tcPr>
            <w:tcW w:w="2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48"/>
        </w:trPr>
        <w:tc>
          <w:tcPr>
            <w:tcW w:w="6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9"/>
                <w:szCs w:val="19"/>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50"/>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0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50"/>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2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4"/>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assets held for sale</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71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r>
      <w:tr>
        <w:trPr>
          <w:trHeight w:val="250"/>
        </w:trPr>
        <w:tc>
          <w:tcPr>
            <w:tcW w:w="2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4,036</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7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48"/>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2,901</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Pr>
          <w:p>
            <w:pPr>
              <w:spacing w:after="0"/>
              <w:rPr>
                <w:sz w:val="19"/>
                <w:szCs w:val="19"/>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140" w:type="dxa"/>
            <w:vAlign w:val="bottom"/>
            <w:tcBorders>
              <w:top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4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Postretirement and pension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09"/>
        </w:trPr>
        <w:tc>
          <w:tcPr>
            <w:tcW w:w="71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r>
              <w:rPr>
                <w:rFonts w:ascii="Arial" w:cs="Arial" w:eastAsia="Arial" w:hAnsi="Arial"/>
                <w:sz w:val="18"/>
                <w:szCs w:val="18"/>
                <w:i w:val="1"/>
                <w:iCs w:val="1"/>
                <w:color w:val="0000FF"/>
              </w:rPr>
              <w:t>Note J</w:t>
            </w:r>
            <w:r>
              <w:rPr>
                <w:rFonts w:ascii="Arial" w:cs="Arial" w:eastAsia="Arial" w:hAnsi="Arial"/>
                <w:sz w:val="18"/>
                <w:szCs w:val="18"/>
                <w:i w:val="1"/>
                <w:iCs w:val="1"/>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230"/>
        </w:trPr>
        <w:tc>
          <w:tcPr>
            <w:tcW w:w="2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top w:val="single" w:sz="8" w:color="0000FF"/>
            </w:tcBorders>
          </w:tcPr>
          <w:p>
            <w:pPr>
              <w:spacing w:after="0"/>
              <w:rPr>
                <w:sz w:val="19"/>
                <w:szCs w:val="19"/>
                <w:color w:val="auto"/>
              </w:rPr>
            </w:pPr>
          </w:p>
        </w:tc>
        <w:tc>
          <w:tcPr>
            <w:tcW w:w="37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469</w:t>
            </w:r>
          </w:p>
        </w:tc>
        <w:tc>
          <w:tcPr>
            <w:tcW w:w="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23"/>
        </w:trPr>
        <w:tc>
          <w:tcPr>
            <w:tcW w:w="71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r>
      <w:tr>
        <w:trPr>
          <w:trHeight w:val="248"/>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733</w:t>
            </w:r>
          </w:p>
        </w:tc>
        <w:tc>
          <w:tcPr>
            <w:tcW w:w="4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sale of discontinued businesses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Restructuring and 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investment hedge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sale of businesses, net of cash received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2,255</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 provided by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Premiums paid to retire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finance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shareholders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issued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September 30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7"/>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Other comprehensive income / (loss)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Disposition of subsidiary with noncontrolling</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interests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4220" w:firstLine="8"/>
        <w:spacing w:after="0" w:line="317" w:lineRule="auto"/>
        <w:tabs>
          <w:tab w:leader="none" w:pos="165"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 xml:space="preserve">The amount disposed in 2021 relates to discontinued operations. See </w:t>
      </w:r>
      <w:r>
        <w:rPr>
          <w:rFonts w:ascii="Arial" w:cs="Arial" w:eastAsia="Arial" w:hAnsi="Arial"/>
          <w:sz w:val="15"/>
          <w:szCs w:val="15"/>
          <w:u w:val="single" w:color="auto"/>
          <w:color w:val="0000FF"/>
        </w:rPr>
        <w:t>Note C</w:t>
      </w:r>
      <w:r>
        <w:rPr>
          <w:rFonts w:ascii="Arial" w:cs="Arial" w:eastAsia="Arial" w:hAnsi="Arial"/>
          <w:sz w:val="15"/>
          <w:szCs w:val="15"/>
          <w:color w:val="auto"/>
        </w:rPr>
        <w:t xml:space="preserve"> for further details. The accompanying notes are an integral part of these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2022 and the results of its operations for the three and nine months ended September 30, 2022 and 2021 and of its cash flows for the nine months ended September 30, 2022 and 2021.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23"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2021.</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Reporting Developments</w:t>
      </w:r>
    </w:p>
    <w:p>
      <w:pPr>
        <w:spacing w:after="0" w:line="256"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September 2022, the Financial Accounting Standards Board issued new guidance which requires enhanced disclosures of supplier finance programs. The guidance requires buyers in a supplier finance program to disclose sufficient information about the program’s nature, activity during the period, changes from period to period, and potential magnitude. The amendments are effective for fiscal years beginning after December 15, 2022, including interim periods within those fiscal years, except for the disclosure of rollforward information, which is effective for fiscal years beginning after December 15, 2023. Early adoption is permitted. The amendments should be applied retrospectively to each period in which a balance sheet is presented, except for disclosure of rollforward information, which should be applied prospectively. The Company is currently evaluating the impact of adopting this guidance on its disclosures.</w:t>
      </w: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Divestitures</w:t>
      </w:r>
    </w:p>
    <w:p>
      <w:pPr>
        <w:spacing w:after="0" w:line="256"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On August 31, 2021, the Company completed the sale (the “Transaction”) of its European Tinplate business (the “Business”) to Kouti B.V., an affiliate of KPS Capital Partners LP. The Business comprised the Company’s European Food segment and its European Aerosol and Promotional Packaging reporting unit which was previously reported in Other. The Company received pre-tax proceeds of approximately €1.9 billion ($2.3 billion) from the Transaction and received a 20% minority interest in the Business. For the year ended December 31, 2021, the Company recorded a pre-tax loss of $101 and tax charges of $81 related to taxable gains on the sale of the Business.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Major components of net loss from discontinued operations for the three and nine months ended September 30, 2021 were as follows: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7"/>
                <w:szCs w:val="17"/>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Nine Months Ended</w:t>
            </w:r>
          </w:p>
        </w:tc>
      </w:tr>
      <w:tr>
        <w:trPr>
          <w:trHeight w:val="239"/>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r>
      <w:tr>
        <w:trPr>
          <w:trHeight w:val="227"/>
        </w:trPr>
        <w:tc>
          <w:tcPr>
            <w:tcW w:w="5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Pr>
          <w:p>
            <w:pPr>
              <w:spacing w:after="0"/>
              <w:rPr>
                <w:sz w:val="19"/>
                <w:szCs w:val="19"/>
                <w:color w:val="auto"/>
              </w:rPr>
            </w:pP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discontinued businesses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discontinued operations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175"/>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w w:val="92"/>
              </w:rPr>
              <w:t>Net income from discontinued operations attributable to noncontrolling</w:t>
            </w: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1"/>
                <w:szCs w:val="21"/>
                <w:color w:val="auto"/>
              </w:rPr>
            </w:pP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loss from discontinued operations attributable to Crown Holdings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Business had capital expenditures of $29 for the nine months ended September 30, 2021.</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accounted for the minority interest received in the Business under the equity method. The Company's share of income of the Business was $9 and $32, respectively, for the three and nine months ended September 30, 2022 and is reported in Equity in net earnings of affiliates in the Consolidated Statement of Operations.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April 2022, the Company completed the sale of the Transit Packaging segment's Kiwiplan business and received pre-tax proceeds of $180. The Company recorded a pre-tax gain of $113 ($102, net of tax) on the sale, which is reported in Restructuring and other, net in the Consolidated Statement of Operations. The transaction did not represent a strategic shift that had a major effect on the Company's operations and financial results, and therefore did not qualify for reporting as a discontinued operation.</w:t>
      </w: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September 30, 2022</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w w:val="91"/>
              </w:rPr>
              <w:t>December 31, 2021</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70"/>
        </w:trPr>
        <w:tc>
          <w:tcPr>
            <w:tcW w:w="5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6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58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E.  Receivables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September 30, 2022</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2021</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r>
      <w:tr>
        <w:trPr>
          <w:trHeight w:val="21"/>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December 2021, the Company's Bowling Green plant sustained tornado damage, resulting in curtailment of operations. The Company resumed operations in March 2022. However, it will continue to incur incremental costs, including freight and warehousing expenses, to meet customer demand as the plant returns to full operational capacity. The Company has property and business interruption insurance policies for weather related events that include these incremental expenses. The Company recognizes insurance recoveries for losses incurred as the recoveries become probable. Insurance recoveries for lost profits are not recognized until they are realizable.</w:t>
      </w:r>
    </w:p>
    <w:p>
      <w:pPr>
        <w:spacing w:after="0" w:line="20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nine months ended September 30, 2022, the Company received insurance proceeds of $60 for business interruption, including incremental expenses, and $17 for property damage. As of September 30, 2022, the Company has recorded an insurance receivable, within miscellaneous receivables, of $40 for incremental expenses incurred that the Company expects to be reimbursed under the terms of its insurance policy.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F.  Inventories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520"/>
        </w:trPr>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2021</w:t>
            </w:r>
          </w:p>
        </w:tc>
      </w:tr>
      <w:tr>
        <w:trPr>
          <w:trHeight w:val="223"/>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6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2022</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2021</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82"/>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line="182"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80"/>
              <w:spacing w:after="0" w:line="182"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1"/>
              </w:rPr>
              <w:t>Gross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1"/>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 income from continuing operations for the three and nine months ended September 30, 2022 and 2021 included amortization expense of $40 and $119 and $42 and $125.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580" w:type="dxa"/>
            <w:vAlign w:val="bottom"/>
          </w:tcPr>
          <w:p>
            <w:pPr>
              <w:spacing w:after="0"/>
              <w:rPr>
                <w:sz w:val="20"/>
                <w:szCs w:val="20"/>
                <w:color w:val="auto"/>
              </w:rPr>
            </w:pPr>
          </w:p>
        </w:tc>
        <w:tc>
          <w:tcPr>
            <w:tcW w:w="20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sales and impairments</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(14)</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430"/>
              <w:spacing w:after="0"/>
              <w:rPr>
                <w:sz w:val="20"/>
                <w:szCs w:val="20"/>
                <w:color w:val="auto"/>
              </w:rPr>
            </w:pPr>
            <w:r>
              <w:rPr>
                <w:rFonts w:ascii="Arial" w:cs="Arial" w:eastAsia="Arial" w:hAnsi="Arial"/>
                <w:sz w:val="18"/>
                <w:szCs w:val="18"/>
                <w:color w:val="auto"/>
                <w:w w:val="89"/>
              </w:rPr>
              <w:t>21</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 / (income)</w:t>
            </w:r>
          </w:p>
        </w:tc>
        <w:tc>
          <w:tcPr>
            <w:tcW w:w="7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3"/>
              </w:rPr>
              <w:t>(49)</w:t>
            </w:r>
          </w:p>
        </w:tc>
      </w:tr>
      <w:tr>
        <w:trPr>
          <w:trHeight w:val="223"/>
        </w:trPr>
        <w:tc>
          <w:tcPr>
            <w:tcW w:w="458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3"/>
              </w:rPr>
              <w:t>(42)</w:t>
            </w:r>
          </w:p>
        </w:tc>
      </w:tr>
      <w:tr>
        <w:trPr>
          <w:trHeight w:val="21"/>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For the nine months ended September 30, 2022, asset sales and impairments primarily relates to the $113 gain on sale of the Kiwiplan business. See </w:t>
      </w:r>
      <w:r>
        <w:rPr>
          <w:rFonts w:ascii="Arial" w:cs="Arial" w:eastAsia="Arial" w:hAnsi="Arial"/>
          <w:sz w:val="18"/>
          <w:szCs w:val="18"/>
          <w:u w:val="single" w:color="auto"/>
          <w:color w:val="0000FF"/>
        </w:rPr>
        <w:t>Note C</w:t>
      </w:r>
      <w:r>
        <w:rPr>
          <w:rFonts w:ascii="Arial" w:cs="Arial" w:eastAsia="Arial" w:hAnsi="Arial"/>
          <w:sz w:val="18"/>
          <w:szCs w:val="18"/>
          <w:color w:val="auto"/>
        </w:rPr>
        <w:t xml:space="preserve"> for more information on the sale. For the three and nine months ended September 30, 2021, asset sales and impairments includes gains on various asset sales.</w:t>
      </w:r>
    </w:p>
    <w:p>
      <w:pPr>
        <w:spacing w:after="0" w:line="21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nine months ended September 30, 2022, restructuring included $29 of charges related to an overhead cost reduction program initiated by the Company's Transit Packaging segment. The Company expects to reduce headcount by approximately 600 employees.</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nine months ended September 30, 2021, restructuring primarily included charges related to internal reorganizations within the Transit Packaging division and headcount reductions across segments.</w:t>
      </w:r>
    </w:p>
    <w:p>
      <w:pPr>
        <w:spacing w:after="0" w:line="197"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For the nine months ended September 30, 2021, other income included gains of $30 arising from favorable court rulings in lawsuits brought by certain of the Company's Brazilian subsidiaries asserting they were overcharged by the local tax authorities for indirect taxes paid in prior years.</w:t>
      </w:r>
    </w:p>
    <w:p>
      <w:pPr>
        <w:spacing w:after="0" w:line="15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At September 30, 2022, the Company had a restructuring accrual of $24, primarily related to the headcount reductions and other internal reorganizations within the Transit Packaging segment. The Company expects to pay these amounts over the next twelve months.</w:t>
      </w:r>
    </w:p>
    <w:p>
      <w:pPr>
        <w:spacing w:after="0" w:line="200" w:lineRule="exact"/>
        <w:rPr>
          <w:sz w:val="20"/>
          <w:szCs w:val="20"/>
          <w:color w:val="auto"/>
        </w:rPr>
      </w:pPr>
    </w:p>
    <w:p>
      <w:pPr>
        <w:spacing w:after="0" w:line="212"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inflation. Crown Cork has paid significantly more for asbestos-related claims than the total adjusted value of its predecessor’s assets.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the Company paid $16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57,000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4"/>
              </w:rPr>
              <w:t>(1,000)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57,000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2021,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42 %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2022.</w:t>
      </w:r>
    </w:p>
    <w:p>
      <w:pPr>
        <w:spacing w:after="0" w:line="21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September 30, 2022, the Company’s accrual for pending and future asbestos-related claims and related legal costs was $221, including $180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2021),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3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Germany, France and the U.K. The Company cooperated with the Commission and submitted a leniency application with the Commission with respect to the findings of its internal investigation in Germany.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2022, the Company reached a settlement with the Commission relating to the Commission’s investigation, pursuant to which the Company agreed to pay a fine in the amount of $8. Fining decisions based on settlements can be appealed under EU law. The Company is seeking annulment of the Commissions's fining decision on the basis that the referral of the case from the FCO to the Commission was unjustified. There can be no assurance regarding the outcome of such appeal.</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2022,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Measurements</w:t>
      </w:r>
    </w:p>
    <w:p>
      <w:pPr>
        <w:spacing w:after="0" w:line="25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0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r>
        <w:rPr>
          <w:rFonts w:ascii="Arial" w:cs="Arial" w:eastAsia="Arial" w:hAnsi="Arial"/>
          <w:sz w:val="18"/>
          <w:szCs w:val="18"/>
          <w:u w:val="single" w:color="auto"/>
          <w:color w:val="0000FF"/>
        </w:rPr>
        <w:t>Note L</w:t>
      </w:r>
      <w:r>
        <w:rPr>
          <w:rFonts w:ascii="Arial" w:cs="Arial" w:eastAsia="Arial" w:hAnsi="Arial"/>
          <w:sz w:val="18"/>
          <w:szCs w:val="18"/>
          <w:color w:val="auto"/>
        </w:rPr>
        <w:t xml:space="preserve"> for fair value disclosures related to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September 30, 2022 mature between one and twenty-seven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primarily aluminum, and these exposures are hedged by a central treasury unit.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generally hedged together with the related commodity price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280"/>
              <w:spacing w:after="0" w:line="178" w:lineRule="exact"/>
              <w:rPr>
                <w:sz w:val="20"/>
                <w:szCs w:val="20"/>
                <w:color w:val="auto"/>
              </w:rPr>
            </w:pPr>
            <w:r>
              <w:rPr>
                <w:rFonts w:ascii="Arial" w:cs="Arial" w:eastAsia="Arial" w:hAnsi="Arial"/>
                <w:sz w:val="18"/>
                <w:szCs w:val="18"/>
                <w:color w:val="auto"/>
                <w:w w:val="94"/>
              </w:rPr>
              <w:t>Amount of gain/(loss)</w:t>
            </w:r>
          </w:p>
        </w:tc>
        <w:tc>
          <w:tcPr>
            <w:tcW w:w="180" w:type="dxa"/>
            <w:vAlign w:val="bottom"/>
          </w:tcPr>
          <w:p>
            <w:pPr>
              <w:spacing w:after="0"/>
              <w:rPr>
                <w:sz w:val="15"/>
                <w:szCs w:val="15"/>
                <w:color w:val="auto"/>
              </w:rPr>
            </w:pPr>
          </w:p>
        </w:tc>
        <w:tc>
          <w:tcPr>
            <w:tcW w:w="2040" w:type="dxa"/>
            <w:vAlign w:val="bottom"/>
            <w:gridSpan w:val="5"/>
          </w:tcPr>
          <w:p>
            <w:pPr>
              <w:jc w:val="center"/>
              <w:ind w:right="280"/>
              <w:spacing w:after="0" w:line="178" w:lineRule="exact"/>
              <w:rPr>
                <w:sz w:val="20"/>
                <w:szCs w:val="20"/>
                <w:color w:val="auto"/>
              </w:rPr>
            </w:pPr>
            <w:r>
              <w:rPr>
                <w:rFonts w:ascii="Arial" w:cs="Arial" w:eastAsia="Arial" w:hAnsi="Arial"/>
                <w:sz w:val="18"/>
                <w:szCs w:val="18"/>
                <w:color w:val="auto"/>
                <w:w w:val="94"/>
              </w:rPr>
              <w:t>Amount of gain/(loss)</w:t>
            </w:r>
          </w:p>
        </w:tc>
      </w:tr>
      <w:tr>
        <w:trPr>
          <w:trHeight w:val="237"/>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recognized in OCI</w:t>
            </w:r>
          </w:p>
        </w:tc>
        <w:tc>
          <w:tcPr>
            <w:tcW w:w="18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recognized in OCI</w:t>
            </w:r>
          </w:p>
        </w:tc>
      </w:tr>
      <w:tr>
        <w:trPr>
          <w:trHeight w:val="175"/>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4"/>
          </w:tcPr>
          <w:p>
            <w:pPr>
              <w:jc w:val="center"/>
              <w:ind w:right="90"/>
              <w:spacing w:after="0" w:line="176"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center"/>
              <w:ind w:right="130"/>
              <w:spacing w:after="0" w:line="176" w:lineRule="exact"/>
              <w:rPr>
                <w:sz w:val="20"/>
                <w:szCs w:val="20"/>
                <w:color w:val="auto"/>
              </w:rPr>
            </w:pPr>
            <w:r>
              <w:rPr>
                <w:rFonts w:ascii="Arial" w:cs="Arial" w:eastAsia="Arial" w:hAnsi="Arial"/>
                <w:sz w:val="18"/>
                <w:szCs w:val="18"/>
                <w:color w:val="auto"/>
                <w:w w:val="92"/>
              </w:rPr>
              <w:t>Nine Months Ended</w:t>
            </w:r>
          </w:p>
        </w:tc>
        <w:tc>
          <w:tcPr>
            <w:tcW w:w="120" w:type="dxa"/>
            <w:vAlign w:val="bottom"/>
          </w:tcPr>
          <w:p>
            <w:pPr>
              <w:spacing w:after="0"/>
              <w:rPr>
                <w:sz w:val="15"/>
                <w:szCs w:val="15"/>
                <w:color w:val="auto"/>
              </w:rPr>
            </w:pPr>
          </w:p>
        </w:tc>
      </w:tr>
      <w:tr>
        <w:trPr>
          <w:trHeight w:val="236"/>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19"/>
                <w:szCs w:val="19"/>
                <w:color w:val="auto"/>
              </w:rPr>
            </w:pP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r>
      <w:tr>
        <w:trPr>
          <w:trHeight w:val="223"/>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4"/>
              </w:rPr>
              <w:t>Amount of gain/(loss)</w:t>
            </w:r>
          </w:p>
        </w:tc>
        <w:tc>
          <w:tcPr>
            <w:tcW w:w="180" w:type="dxa"/>
            <w:vAlign w:val="bottom"/>
          </w:tcPr>
          <w:p>
            <w:pPr>
              <w:spacing w:after="0"/>
              <w:rPr>
                <w:sz w:val="24"/>
                <w:szCs w:val="24"/>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4"/>
              </w:rPr>
              <w:t>Amount of gain/(loss)</w:t>
            </w:r>
          </w:p>
        </w:tc>
      </w:tr>
      <w:tr>
        <w:trPr>
          <w:trHeight w:val="188"/>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center"/>
              <w:ind w:right="120"/>
              <w:spacing w:after="0" w:line="189" w:lineRule="exact"/>
              <w:rPr>
                <w:sz w:val="20"/>
                <w:szCs w:val="20"/>
                <w:color w:val="auto"/>
              </w:rPr>
            </w:pPr>
            <w:r>
              <w:rPr>
                <w:rFonts w:ascii="Arial" w:cs="Arial" w:eastAsia="Arial" w:hAnsi="Arial"/>
                <w:sz w:val="18"/>
                <w:szCs w:val="18"/>
                <w:color w:val="auto"/>
                <w:w w:val="94"/>
              </w:rPr>
              <w:t>reclassified from AOCI into</w:t>
            </w:r>
          </w:p>
        </w:tc>
        <w:tc>
          <w:tcPr>
            <w:tcW w:w="2220" w:type="dxa"/>
            <w:vAlign w:val="bottom"/>
            <w:gridSpan w:val="6"/>
          </w:tcPr>
          <w:p>
            <w:pPr>
              <w:jc w:val="center"/>
              <w:ind w:right="120"/>
              <w:spacing w:after="0" w:line="189" w:lineRule="exact"/>
              <w:rPr>
                <w:sz w:val="20"/>
                <w:szCs w:val="20"/>
                <w:color w:val="auto"/>
              </w:rPr>
            </w:pPr>
            <w:r>
              <w:rPr>
                <w:rFonts w:ascii="Arial" w:cs="Arial" w:eastAsia="Arial" w:hAnsi="Arial"/>
                <w:sz w:val="18"/>
                <w:szCs w:val="18"/>
                <w:color w:val="auto"/>
                <w:w w:val="94"/>
              </w:rPr>
              <w:t>reclassified from AOCI into</w:t>
            </w: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left="470"/>
              <w:spacing w:after="0"/>
              <w:rPr>
                <w:sz w:val="20"/>
                <w:szCs w:val="20"/>
                <w:color w:val="auto"/>
              </w:rPr>
            </w:pPr>
            <w:r>
              <w:rPr>
                <w:rFonts w:ascii="Arial" w:cs="Arial" w:eastAsia="Arial" w:hAnsi="Arial"/>
                <w:sz w:val="18"/>
                <w:szCs w:val="18"/>
                <w:color w:val="auto"/>
                <w:w w:val="89"/>
              </w:rPr>
              <w:t>income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left="470"/>
              <w:spacing w:after="0"/>
              <w:rPr>
                <w:sz w:val="20"/>
                <w:szCs w:val="20"/>
                <w:color w:val="auto"/>
              </w:rPr>
            </w:pPr>
            <w:r>
              <w:rPr>
                <w:rFonts w:ascii="Arial" w:cs="Arial" w:eastAsia="Arial" w:hAnsi="Arial"/>
                <w:sz w:val="18"/>
                <w:szCs w:val="18"/>
                <w:color w:val="auto"/>
                <w:w w:val="89"/>
              </w:rPr>
              <w:t>income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0</wp:posOffset>
            </wp:positionV>
            <wp:extent cx="27514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p>
      <w:pPr>
        <w:spacing w:after="0" w:line="13" w:lineRule="exact"/>
        <w:rPr>
          <w:sz w:val="20"/>
          <w:szCs w:val="20"/>
          <w:color w:val="auto"/>
        </w:rPr>
      </w:pPr>
    </w:p>
    <w:p>
      <w:pPr>
        <w:jc w:val="center"/>
        <w:ind w:left="3040"/>
        <w:spacing w:after="0"/>
        <w:rPr>
          <w:sz w:val="20"/>
          <w:szCs w:val="20"/>
          <w:color w:val="auto"/>
        </w:rPr>
      </w:pPr>
      <w:r>
        <w:rPr>
          <w:rFonts w:ascii="Arial" w:cs="Arial" w:eastAsia="Arial" w:hAnsi="Arial"/>
          <w:sz w:val="16"/>
          <w:szCs w:val="16"/>
          <w:color w:val="auto"/>
        </w:rPr>
        <w:t>Three Months Ended</w:t>
      </w:r>
    </w:p>
    <w:p>
      <w:pPr>
        <w:spacing w:after="0" w:line="8"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Nine Months Ended</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September 30,</w:t>
      </w:r>
    </w:p>
    <w:p>
      <w:pPr>
        <w:spacing w:after="0" w:line="7" w:lineRule="exact"/>
        <w:rPr>
          <w:sz w:val="20"/>
          <w:szCs w:val="20"/>
          <w:color w:val="auto"/>
        </w:rPr>
      </w:pPr>
    </w:p>
    <w:p>
      <w:pPr>
        <w:sectPr>
          <w:pgSz w:w="11900" w:h="16838" w:orient="portrait"/>
          <w:cols w:equalWidth="0" w:num="2">
            <w:col w:w="4560" w:space="700"/>
            <w:col w:w="5320"/>
          </w:cols>
          <w:pgMar w:left="98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Pr>
          <w:p>
            <w:pPr>
              <w:ind w:left="160"/>
              <w:spacing w:after="0" w:line="169" w:lineRule="exact"/>
              <w:rPr>
                <w:sz w:val="20"/>
                <w:szCs w:val="20"/>
                <w:color w:val="auto"/>
              </w:rPr>
            </w:pPr>
            <w:r>
              <w:rPr>
                <w:rFonts w:ascii="Arial" w:cs="Arial" w:eastAsia="Arial" w:hAnsi="Arial"/>
                <w:sz w:val="18"/>
                <w:szCs w:val="18"/>
                <w:color w:val="auto"/>
                <w:w w:val="96"/>
              </w:rPr>
              <w:t>Affected line items in the Statement of</w:t>
            </w:r>
          </w:p>
        </w:tc>
      </w:tr>
      <w:tr>
        <w:trPr>
          <w:trHeight w:val="24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2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120" w:type="dxa"/>
            <w:vAlign w:val="bottom"/>
          </w:tcPr>
          <w:p>
            <w:pPr>
              <w:ind w:left="1160"/>
              <w:spacing w:after="0"/>
              <w:rPr>
                <w:sz w:val="20"/>
                <w:szCs w:val="20"/>
                <w:color w:val="auto"/>
              </w:rPr>
            </w:pPr>
            <w:r>
              <w:rPr>
                <w:rFonts w:ascii="Arial" w:cs="Arial" w:eastAsia="Arial" w:hAnsi="Arial"/>
                <w:sz w:val="18"/>
                <w:szCs w:val="18"/>
                <w:color w:val="auto"/>
              </w:rPr>
              <w:t>Operations</w:t>
            </w: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175"/>
        </w:trPr>
        <w:tc>
          <w:tcPr>
            <w:tcW w:w="2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products sold, excluding</w:t>
            </w:r>
          </w:p>
        </w:tc>
      </w:tr>
      <w:tr>
        <w:trPr>
          <w:trHeight w:val="24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r>
      <w:tr>
        <w:trPr>
          <w:trHeight w:val="175"/>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Cost of products sold, excluding</w:t>
            </w:r>
          </w:p>
        </w:tc>
      </w:tr>
      <w:tr>
        <w:trPr>
          <w:trHeight w:val="243"/>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1"/>
                <w:szCs w:val="21"/>
                <w:color w:val="auto"/>
              </w:rPr>
            </w:pPr>
          </w:p>
        </w:tc>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r>
      <w:tr>
        <w:trPr>
          <w:trHeight w:val="155"/>
        </w:trPr>
        <w:tc>
          <w:tcPr>
            <w:tcW w:w="2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Income from continuing operations before</w:t>
            </w:r>
          </w:p>
        </w:tc>
      </w:tr>
      <w:tr>
        <w:trPr>
          <w:trHeight w:val="188"/>
        </w:trPr>
        <w:tc>
          <w:tcPr>
            <w:tcW w:w="2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taxes and equity in net earnings of</w:t>
            </w:r>
          </w:p>
        </w:tc>
      </w:tr>
      <w:tr>
        <w:trPr>
          <w:trHeight w:val="230"/>
        </w:trPr>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w:t>
            </w:r>
          </w:p>
        </w:tc>
      </w:tr>
      <w:tr>
        <w:trPr>
          <w:trHeight w:val="223"/>
        </w:trPr>
        <w:tc>
          <w:tcPr>
            <w:tcW w:w="2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r>
      <w:tr>
        <w:trPr>
          <w:trHeight w:val="223"/>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from continuing operations</w:t>
            </w:r>
          </w:p>
        </w:tc>
      </w:tr>
      <w:tr>
        <w:trPr>
          <w:trHeight w:val="223"/>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from discontinued operations</w:t>
            </w:r>
          </w:p>
        </w:tc>
      </w:tr>
      <w:tr>
        <w:trPr>
          <w:trHeight w:val="24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twelve-month period ending September 30, 2023, a net loss of $33 ($27, net of tax) is expected to be reclassified to earnings for commodity and foreign exchange contracts. No material amounts were reclassified during the nine months ended September 30, 2022 and 2021 in connection with anticipated transactions that were considered probable of not occurring.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ectPr>
          <w:pgSz w:w="11900" w:h="16838" w:orient="portrait"/>
          <w:cols w:equalWidth="0" w:num="1">
            <w:col w:w="10580"/>
          </w:cols>
          <w:pgMar w:left="98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6" w:name="page17"/>
    <w:bookmarkEnd w:id="1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and nine months ended September 30, 2022, the Company recorded losses of $4 and $19 from foreign exchange contracts designated as fair value hedges. For the three and nine months ended September 30, 2021, the Company recorded gains of $7 and $1 from foreign exchange contracts designated as fair value hedges. These adjustments were reported within foreign exchange in the Consolidated Statements of Operations.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Pre-tax amounts of</w:t>
            </w:r>
          </w:p>
        </w:tc>
        <w:tc>
          <w:tcPr>
            <w:tcW w:w="160" w:type="dxa"/>
            <w:vAlign w:val="bottom"/>
          </w:tcPr>
          <w:p>
            <w:pPr>
              <w:spacing w:after="0"/>
              <w:rPr>
                <w:sz w:val="17"/>
                <w:szCs w:val="17"/>
                <w:color w:val="auto"/>
              </w:rPr>
            </w:pPr>
          </w:p>
        </w:tc>
        <w:tc>
          <w:tcPr>
            <w:tcW w:w="168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Pre-tax amounts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88"/>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jc w:val="center"/>
              <w:ind w:right="240"/>
              <w:spacing w:after="0" w:line="189" w:lineRule="exact"/>
              <w:rPr>
                <w:sz w:val="20"/>
                <w:szCs w:val="20"/>
                <w:color w:val="auto"/>
              </w:rPr>
            </w:pPr>
            <w:r>
              <w:rPr>
                <w:rFonts w:ascii="Arial" w:cs="Arial" w:eastAsia="Arial" w:hAnsi="Arial"/>
                <w:sz w:val="18"/>
                <w:szCs w:val="18"/>
                <w:color w:val="auto"/>
                <w:w w:val="91"/>
              </w:rPr>
              <w:t>gain/(loss) recognized in</w:t>
            </w:r>
          </w:p>
        </w:tc>
        <w:tc>
          <w:tcPr>
            <w:tcW w:w="160" w:type="dxa"/>
            <w:vAlign w:val="bottom"/>
          </w:tcPr>
          <w:p>
            <w:pPr>
              <w:spacing w:after="0"/>
              <w:rPr>
                <w:sz w:val="16"/>
                <w:szCs w:val="16"/>
                <w:color w:val="auto"/>
              </w:rPr>
            </w:pPr>
          </w:p>
        </w:tc>
        <w:tc>
          <w:tcPr>
            <w:tcW w:w="2000" w:type="dxa"/>
            <w:vAlign w:val="bottom"/>
            <w:gridSpan w:val="4"/>
          </w:tcPr>
          <w:p>
            <w:pPr>
              <w:jc w:val="center"/>
              <w:ind w:right="50"/>
              <w:spacing w:after="0" w:line="189" w:lineRule="exact"/>
              <w:rPr>
                <w:sz w:val="20"/>
                <w:szCs w:val="20"/>
                <w:color w:val="auto"/>
              </w:rPr>
            </w:pPr>
            <w:r>
              <w:rPr>
                <w:rFonts w:ascii="Arial" w:cs="Arial" w:eastAsia="Arial" w:hAnsi="Arial"/>
                <w:sz w:val="18"/>
                <w:szCs w:val="18"/>
                <w:color w:val="auto"/>
                <w:w w:val="91"/>
              </w:rPr>
              <w:t>gain/(loss) recognized in</w:t>
            </w:r>
          </w:p>
        </w:tc>
        <w:tc>
          <w:tcPr>
            <w:tcW w:w="1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30"/>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income on derivative</w:t>
            </w:r>
          </w:p>
        </w:tc>
        <w:tc>
          <w:tcPr>
            <w:tcW w:w="160" w:type="dxa"/>
            <w:vAlign w:val="bottom"/>
          </w:tcPr>
          <w:p>
            <w:pPr>
              <w:spacing w:after="0"/>
              <w:rPr>
                <w:sz w:val="20"/>
                <w:szCs w:val="20"/>
                <w:color w:val="auto"/>
              </w:rPr>
            </w:pPr>
          </w:p>
        </w:tc>
        <w:tc>
          <w:tcPr>
            <w:tcW w:w="200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income on derivative</w:t>
            </w: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69"/>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4"/>
          </w:tcPr>
          <w:p>
            <w:pPr>
              <w:jc w:val="center"/>
              <w:ind w:right="70"/>
              <w:spacing w:after="0" w:line="169"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3"/>
          </w:tcPr>
          <w:p>
            <w:pPr>
              <w:jc w:val="center"/>
              <w:ind w:left="90"/>
              <w:spacing w:after="0" w:line="169" w:lineRule="exact"/>
              <w:rPr>
                <w:sz w:val="20"/>
                <w:szCs w:val="20"/>
                <w:color w:val="auto"/>
              </w:rPr>
            </w:pPr>
            <w:r>
              <w:rPr>
                <w:rFonts w:ascii="Arial" w:cs="Arial" w:eastAsia="Arial" w:hAnsi="Arial"/>
                <w:sz w:val="18"/>
                <w:szCs w:val="18"/>
                <w:color w:val="auto"/>
                <w:w w:val="92"/>
              </w:rPr>
              <w:t>Nine Months Ended</w:t>
            </w: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37"/>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20"/>
                <w:szCs w:val="20"/>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September 30,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ind w:left="280"/>
              <w:spacing w:after="0" w:line="162" w:lineRule="exact"/>
              <w:rPr>
                <w:sz w:val="20"/>
                <w:szCs w:val="20"/>
                <w:color w:val="auto"/>
              </w:rPr>
            </w:pPr>
            <w:r>
              <w:rPr>
                <w:rFonts w:ascii="Arial" w:cs="Arial" w:eastAsia="Arial" w:hAnsi="Arial"/>
                <w:sz w:val="18"/>
                <w:szCs w:val="18"/>
                <w:color w:val="auto"/>
              </w:rPr>
              <w:t>Affected line item in the</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14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ind w:left="280"/>
              <w:spacing w:after="0"/>
              <w:rPr>
                <w:sz w:val="20"/>
                <w:szCs w:val="20"/>
                <w:color w:val="auto"/>
              </w:rPr>
            </w:pPr>
            <w:r>
              <w:rPr>
                <w:rFonts w:ascii="Arial" w:cs="Arial" w:eastAsia="Arial" w:hAnsi="Arial"/>
                <w:sz w:val="18"/>
                <w:szCs w:val="18"/>
                <w:color w:val="auto"/>
              </w:rPr>
              <w:t>Statement of Operations</w:t>
            </w: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Cost of products sold</w:t>
            </w: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r>
      <w:tr>
        <w:trPr>
          <w:trHeight w:val="223"/>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w:t>
            </w: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nine months ended September 30, 2022, the Company recorded gains of $30 ($20, net of tax) and $80 ($56, net of tax) in other comprehensive income for certain debt instruments that are designated as hedges of its net investment in a euro-based subsidiary. During the three and nine months ended September 30, 2021, the Company recorded gains of $40 ($40, net of tax) and $81 ($81, net of tax) in other comprehensive income for these net investment hedges. As of September 30, 2022 and December 31, 2021, cumulative gains of $149 ($148, net of tax) and gains of $69 ($92, net of tax) were recognized in accumulated other comprehensive income related to these net investment hedges and the carrying amount of the hedged net investment was €535 ($524) at September 30, 2022.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gridSpan w:val="6"/>
            <w:shd w:val="clear" w:color="auto" w:fill="CCEEFF"/>
          </w:tcPr>
          <w:p>
            <w:pPr>
              <w:jc w:val="center"/>
              <w:ind w:right="220"/>
              <w:spacing w:after="0"/>
              <w:rPr>
                <w:sz w:val="20"/>
                <w:szCs w:val="20"/>
                <w:color w:val="auto"/>
              </w:rPr>
            </w:pPr>
            <w:r>
              <w:rPr>
                <w:rFonts w:ascii="Arial" w:cs="Arial" w:eastAsia="Arial" w:hAnsi="Arial"/>
                <w:sz w:val="18"/>
                <w:szCs w:val="18"/>
                <w:color w:val="auto"/>
                <w:w w:val="93"/>
              </w:rPr>
              <w:t>Amount of gain / (loss)</w:t>
            </w:r>
          </w:p>
        </w:tc>
        <w:tc>
          <w:tcPr>
            <w:tcW w:w="260" w:type="dxa"/>
            <w:vAlign w:val="bottom"/>
            <w:shd w:val="clear" w:color="auto" w:fill="CCEEFF"/>
          </w:tcPr>
          <w:p>
            <w:pPr>
              <w:spacing w:after="0"/>
              <w:rPr>
                <w:sz w:val="18"/>
                <w:szCs w:val="18"/>
                <w:color w:val="auto"/>
              </w:rPr>
            </w:pPr>
          </w:p>
        </w:tc>
        <w:tc>
          <w:tcPr>
            <w:tcW w:w="2380" w:type="dxa"/>
            <w:vAlign w:val="bottom"/>
            <w:gridSpan w:val="5"/>
            <w:shd w:val="clear" w:color="auto" w:fill="CCEEFF"/>
          </w:tcPr>
          <w:p>
            <w:pPr>
              <w:jc w:val="center"/>
              <w:ind w:right="380"/>
              <w:spacing w:after="0"/>
              <w:rPr>
                <w:sz w:val="20"/>
                <w:szCs w:val="20"/>
                <w:color w:val="auto"/>
              </w:rPr>
            </w:pPr>
            <w:r>
              <w:rPr>
                <w:rFonts w:ascii="Arial" w:cs="Arial" w:eastAsia="Arial" w:hAnsi="Arial"/>
                <w:sz w:val="18"/>
                <w:szCs w:val="18"/>
                <w:color w:val="auto"/>
                <w:w w:val="93"/>
              </w:rPr>
              <w:t>Amount of gain / (loss)</w:t>
            </w:r>
          </w:p>
        </w:tc>
      </w:tr>
      <w:tr>
        <w:trPr>
          <w:trHeight w:val="243"/>
        </w:trPr>
        <w:tc>
          <w:tcPr>
            <w:tcW w:w="4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40" w:type="dxa"/>
            <w:vAlign w:val="bottom"/>
            <w:gridSpan w:val="6"/>
            <w:shd w:val="clear" w:color="auto" w:fill="CCEEFF"/>
          </w:tcPr>
          <w:p>
            <w:pPr>
              <w:jc w:val="center"/>
              <w:ind w:right="240"/>
              <w:spacing w:after="0"/>
              <w:rPr>
                <w:sz w:val="20"/>
                <w:szCs w:val="20"/>
                <w:color w:val="auto"/>
              </w:rPr>
            </w:pPr>
            <w:r>
              <w:rPr>
                <w:rFonts w:ascii="Arial" w:cs="Arial" w:eastAsia="Arial" w:hAnsi="Arial"/>
                <w:sz w:val="18"/>
                <w:szCs w:val="18"/>
                <w:color w:val="auto"/>
                <w:w w:val="93"/>
              </w:rPr>
              <w:t>recognized in AOCI</w:t>
            </w:r>
          </w:p>
        </w:tc>
        <w:tc>
          <w:tcPr>
            <w:tcW w:w="260" w:type="dxa"/>
            <w:vAlign w:val="bottom"/>
            <w:shd w:val="clear" w:color="auto" w:fill="CCEEFF"/>
          </w:tcPr>
          <w:p>
            <w:pPr>
              <w:spacing w:after="0"/>
              <w:rPr>
                <w:sz w:val="21"/>
                <w:szCs w:val="21"/>
                <w:color w:val="auto"/>
              </w:rPr>
            </w:pPr>
          </w:p>
        </w:tc>
        <w:tc>
          <w:tcPr>
            <w:tcW w:w="238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3"/>
              </w:rPr>
              <w:t>recognized in AOCI</w:t>
            </w:r>
          </w:p>
        </w:tc>
      </w:tr>
      <w:tr>
        <w:trPr>
          <w:trHeight w:val="169"/>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5"/>
          </w:tcPr>
          <w:p>
            <w:pPr>
              <w:jc w:val="center"/>
              <w:ind w:right="30"/>
              <w:spacing w:after="0" w:line="169" w:lineRule="exact"/>
              <w:rPr>
                <w:sz w:val="20"/>
                <w:szCs w:val="20"/>
                <w:color w:val="auto"/>
              </w:rPr>
            </w:pPr>
            <w:r>
              <w:rPr>
                <w:rFonts w:ascii="Arial" w:cs="Arial" w:eastAsia="Arial" w:hAnsi="Arial"/>
                <w:sz w:val="18"/>
                <w:szCs w:val="18"/>
                <w:color w:val="auto"/>
                <w:w w:val="88"/>
              </w:rPr>
              <w:t>Three Months ended September</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3"/>
          </w:tcPr>
          <w:p>
            <w:pPr>
              <w:jc w:val="center"/>
              <w:ind w:right="110"/>
              <w:spacing w:after="0"/>
              <w:rPr>
                <w:sz w:val="20"/>
                <w:szCs w:val="20"/>
                <w:color w:val="auto"/>
              </w:rPr>
            </w:pPr>
            <w:r>
              <w:rPr>
                <w:rFonts w:ascii="Arial" w:cs="Arial" w:eastAsia="Arial" w:hAnsi="Arial"/>
                <w:sz w:val="18"/>
                <w:szCs w:val="18"/>
                <w:color w:val="auto"/>
                <w:w w:val="95"/>
              </w:rPr>
              <w:t>30,</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6"/>
          </w:tcPr>
          <w:p>
            <w:pPr>
              <w:jc w:val="center"/>
              <w:ind w:right="120"/>
              <w:spacing w:after="0"/>
              <w:rPr>
                <w:sz w:val="20"/>
                <w:szCs w:val="20"/>
                <w:color w:val="auto"/>
              </w:rPr>
            </w:pPr>
            <w:r>
              <w:rPr>
                <w:rFonts w:ascii="Arial" w:cs="Arial" w:eastAsia="Arial" w:hAnsi="Arial"/>
                <w:sz w:val="18"/>
                <w:szCs w:val="18"/>
                <w:color w:val="auto"/>
                <w:w w:val="88"/>
              </w:rPr>
              <w:t>Nine months ended September 30,</w:t>
            </w:r>
          </w:p>
        </w:tc>
      </w:tr>
      <w:tr>
        <w:trPr>
          <w:trHeight w:val="223"/>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2022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4"/>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7" w:name="page18"/>
    <w:bookmarkEnd w:id="1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September 30, 2022 and December 31, 2021, respectively. The fair values of these financial instruments were reported under Level 2 of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September</w:t>
            </w:r>
          </w:p>
        </w:tc>
        <w:tc>
          <w:tcPr>
            <w:tcW w:w="12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89"/>
              </w:rPr>
              <w:t>December</w:t>
            </w:r>
          </w:p>
        </w:tc>
        <w:tc>
          <w:tcPr>
            <w:tcW w:w="100" w:type="dxa"/>
            <w:vAlign w:val="bottom"/>
          </w:tcPr>
          <w:p>
            <w:pPr>
              <w:spacing w:after="0"/>
              <w:rPr>
                <w:sz w:val="17"/>
                <w:szCs w:val="17"/>
                <w:color w:val="auto"/>
              </w:rPr>
            </w:pP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Balance Sheet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8"/>
              </w:rPr>
              <w:t>September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December</w:t>
            </w:r>
          </w:p>
        </w:tc>
      </w:tr>
      <w:tr>
        <w:trPr>
          <w:trHeight w:val="237"/>
        </w:trPr>
        <w:tc>
          <w:tcPr>
            <w:tcW w:w="1620" w:type="dxa"/>
            <w:vAlign w:val="bottom"/>
          </w:tcPr>
          <w:p>
            <w:pPr>
              <w:spacing w:after="0"/>
              <w:rPr>
                <w:sz w:val="20"/>
                <w:szCs w:val="20"/>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classification</w:t>
            </w: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6"/>
              </w:rPr>
              <w:t>30, 2022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6"/>
              </w:rPr>
              <w:t>31, 2021</w:t>
            </w:r>
          </w:p>
        </w:tc>
        <w:tc>
          <w:tcPr>
            <w:tcW w:w="10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classification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8"/>
              </w:rPr>
              <w:t>30, 2022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6"/>
              </w:rPr>
              <w:t>31, 2021</w:t>
            </w:r>
          </w:p>
        </w:tc>
        <w:tc>
          <w:tcPr>
            <w:tcW w:w="20" w:type="dxa"/>
            <w:vAlign w:val="bottom"/>
          </w:tcPr>
          <w:p>
            <w:pPr>
              <w:spacing w:after="0"/>
              <w:rPr>
                <w:sz w:val="20"/>
                <w:szCs w:val="20"/>
                <w:color w:val="auto"/>
              </w:rPr>
            </w:pPr>
          </w:p>
        </w:tc>
      </w:tr>
      <w:tr>
        <w:trPr>
          <w:trHeight w:val="216"/>
        </w:trPr>
        <w:tc>
          <w:tcPr>
            <w:tcW w:w="16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Derivatives designated</w:t>
            </w:r>
          </w:p>
        </w:tc>
        <w:tc>
          <w:tcPr>
            <w:tcW w:w="1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as hedging instruments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169"/>
        </w:trPr>
        <w:tc>
          <w:tcPr>
            <w:tcW w:w="162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Prepaid 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176"/>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fair value</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1"/>
                <w:szCs w:val="21"/>
                <w:color w:val="auto"/>
              </w:rPr>
            </w:pPr>
          </w:p>
        </w:tc>
      </w:tr>
      <w:tr>
        <w:trPr>
          <w:trHeight w:val="176"/>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Commodities</w:t>
            </w: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175"/>
        </w:trPr>
        <w:tc>
          <w:tcPr>
            <w:tcW w:w="16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16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Other non-current assets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r>
      <w:tr>
        <w:trPr>
          <w:trHeight w:val="175"/>
        </w:trPr>
        <w:tc>
          <w:tcPr>
            <w:tcW w:w="1620" w:type="dxa"/>
            <w:vAlign w:val="bottom"/>
          </w:tcPr>
          <w:p>
            <w:pPr>
              <w:ind w:left="20"/>
              <w:spacing w:after="0" w:line="176" w:lineRule="exact"/>
              <w:rPr>
                <w:sz w:val="20"/>
                <w:szCs w:val="20"/>
                <w:color w:val="auto"/>
              </w:rPr>
            </w:pPr>
            <w:r>
              <w:rPr>
                <w:rFonts w:ascii="Arial" w:cs="Arial" w:eastAsia="Arial" w:hAnsi="Arial"/>
                <w:sz w:val="18"/>
                <w:szCs w:val="18"/>
                <w:color w:val="auto"/>
                <w:w w:val="90"/>
              </w:rPr>
              <w:t>Net investment hedge</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62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5"/>
              </w:rPr>
              <w:t>Other non-current assets</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shd w:val="clear" w:color="auto" w:fill="CCEEFF"/>
          </w:tcPr>
          <w:p>
            <w:pPr>
              <w:spacing w:after="0"/>
              <w:rPr>
                <w:sz w:val="19"/>
                <w:szCs w:val="19"/>
                <w:color w:val="auto"/>
              </w:rPr>
            </w:pPr>
          </w:p>
        </w:tc>
      </w:tr>
      <w:tr>
        <w:trPr>
          <w:trHeight w:val="156"/>
        </w:trPr>
        <w:tc>
          <w:tcPr>
            <w:tcW w:w="3560" w:type="dxa"/>
            <w:vAlign w:val="bottom"/>
            <w:gridSpan w:val="3"/>
          </w:tcPr>
          <w:p>
            <w:pPr>
              <w:ind w:left="20"/>
              <w:spacing w:after="0" w:line="156" w:lineRule="exact"/>
              <w:rPr>
                <w:sz w:val="20"/>
                <w:szCs w:val="20"/>
                <w:color w:val="auto"/>
              </w:rPr>
            </w:pPr>
            <w:r>
              <w:rPr>
                <w:rFonts w:ascii="Arial" w:cs="Arial" w:eastAsia="Arial" w:hAnsi="Arial"/>
                <w:sz w:val="18"/>
                <w:szCs w:val="18"/>
                <w:color w:val="auto"/>
              </w:rPr>
              <w:t>Derivatives not designated as hedging</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instruments</w:t>
            </w: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r>
      <w:tr>
        <w:trPr>
          <w:trHeight w:val="175"/>
        </w:trPr>
        <w:tc>
          <w:tcPr>
            <w:tcW w:w="1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r>
      <w:tr>
        <w:trPr>
          <w:trHeight w:val="223"/>
        </w:trPr>
        <w:tc>
          <w:tcPr>
            <w:tcW w:w="16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r>
      <w:tr>
        <w:trPr>
          <w:trHeight w:val="250"/>
        </w:trPr>
        <w:tc>
          <w:tcPr>
            <w:tcW w:w="16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r>
      <w:tr>
        <w:trPr>
          <w:trHeight w:val="223"/>
        </w:trPr>
        <w:tc>
          <w:tcPr>
            <w:tcW w:w="16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4"/>
        </w:trPr>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11"/>
          </w:tcPr>
          <w:p>
            <w:pPr>
              <w:jc w:val="center"/>
              <w:spacing w:after="0"/>
              <w:rPr>
                <w:sz w:val="20"/>
                <w:szCs w:val="20"/>
                <w:color w:val="auto"/>
              </w:rPr>
            </w:pPr>
            <w:r>
              <w:rPr>
                <w:rFonts w:ascii="Arial" w:cs="Arial" w:eastAsia="Arial" w:hAnsi="Arial"/>
                <w:sz w:val="18"/>
                <w:szCs w:val="18"/>
                <w:color w:val="auto"/>
                <w:w w:val="88"/>
              </w:rPr>
              <w:t>Carrying amount of the hedged assets /</w:t>
            </w:r>
          </w:p>
        </w:tc>
      </w:tr>
      <w:tr>
        <w:trPr>
          <w:trHeight w:val="237"/>
        </w:trPr>
        <w:tc>
          <w:tcPr>
            <w:tcW w:w="1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liabilities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86"/>
              </w:rPr>
              <w:t>September 30,</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4"/>
          </w:tcPr>
          <w:p>
            <w:pPr>
              <w:jc w:val="right"/>
              <w:ind w:right="70"/>
              <w:spacing w:after="0" w:line="176" w:lineRule="exact"/>
              <w:rPr>
                <w:sz w:val="20"/>
                <w:szCs w:val="20"/>
                <w:color w:val="auto"/>
              </w:rPr>
            </w:pPr>
            <w:r>
              <w:rPr>
                <w:rFonts w:ascii="Arial" w:cs="Arial" w:eastAsia="Arial" w:hAnsi="Arial"/>
                <w:sz w:val="18"/>
                <w:szCs w:val="18"/>
                <w:color w:val="auto"/>
                <w:w w:val="86"/>
              </w:rPr>
              <w:t>December 31,</w:t>
            </w:r>
          </w:p>
        </w:tc>
        <w:tc>
          <w:tcPr>
            <w:tcW w:w="20" w:type="dxa"/>
            <w:vAlign w:val="bottom"/>
          </w:tcPr>
          <w:p>
            <w:pPr>
              <w:spacing w:after="0"/>
              <w:rPr>
                <w:sz w:val="15"/>
                <w:szCs w:val="15"/>
                <w:color w:val="auto"/>
              </w:rPr>
            </w:pPr>
          </w:p>
        </w:tc>
      </w:tr>
      <w:tr>
        <w:trPr>
          <w:trHeight w:val="243"/>
        </w:trPr>
        <w:tc>
          <w:tcPr>
            <w:tcW w:w="56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2021</w:t>
            </w:r>
          </w:p>
        </w:tc>
        <w:tc>
          <w:tcPr>
            <w:tcW w:w="20" w:type="dxa"/>
            <w:vAlign w:val="bottom"/>
          </w:tcPr>
          <w:p>
            <w:pPr>
              <w:spacing w:after="0"/>
              <w:rPr>
                <w:sz w:val="21"/>
                <w:szCs w:val="21"/>
                <w:color w:val="auto"/>
              </w:rPr>
            </w:pPr>
          </w:p>
        </w:tc>
      </w:tr>
      <w:tr>
        <w:trPr>
          <w:trHeight w:val="223"/>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3"/>
          </w:tcPr>
          <w:p>
            <w:pPr>
              <w:ind w:left="10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122</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and December 31, 2021, the cumulative amounts of fair value hedging adjustments included in the carrying amount of the hedged assets and liabilities were a net loss of $2 and a net gain of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60" w:type="dxa"/>
            <w:vAlign w:val="bottom"/>
          </w:tcPr>
          <w:p>
            <w:pPr>
              <w:jc w:val="center"/>
              <w:ind w:left="390"/>
              <w:spacing w:after="0"/>
              <w:rPr>
                <w:sz w:val="20"/>
                <w:szCs w:val="20"/>
                <w:color w:val="auto"/>
              </w:rPr>
            </w:pPr>
            <w:r>
              <w:rPr>
                <w:rFonts w:ascii="Arial" w:cs="Arial" w:eastAsia="Arial" w:hAnsi="Arial"/>
                <w:sz w:val="18"/>
                <w:szCs w:val="18"/>
                <w:color w:val="auto"/>
                <w:w w:val="88"/>
              </w:rPr>
              <w:t>Gross amounts recognized in</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0"/>
              </w:rPr>
              <w:t>Gross amounts not offset in the</w:t>
            </w:r>
          </w:p>
        </w:tc>
        <w:tc>
          <w:tcPr>
            <w:tcW w:w="1420" w:type="dxa"/>
            <w:vAlign w:val="bottom"/>
          </w:tcPr>
          <w:p>
            <w:pPr>
              <w:spacing w:after="0"/>
              <w:rPr>
                <w:sz w:val="17"/>
                <w:szCs w:val="17"/>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6"/>
              </w:rPr>
              <w:t>the Balance Sheet</w:t>
            </w:r>
          </w:p>
        </w:tc>
        <w:tc>
          <w:tcPr>
            <w:tcW w:w="2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Balance Sheet</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amount</w:t>
            </w:r>
          </w:p>
        </w:tc>
      </w:tr>
      <w:tr>
        <w:trPr>
          <w:trHeight w:val="183"/>
        </w:trPr>
        <w:tc>
          <w:tcPr>
            <w:tcW w:w="20" w:type="dxa"/>
            <w:vAlign w:val="bottom"/>
          </w:tcPr>
          <w:p>
            <w:pPr>
              <w:spacing w:after="0"/>
              <w:rPr>
                <w:sz w:val="15"/>
                <w:szCs w:val="15"/>
                <w:color w:val="auto"/>
              </w:rPr>
            </w:pPr>
          </w:p>
        </w:tc>
        <w:tc>
          <w:tcPr>
            <w:tcW w:w="2820" w:type="dxa"/>
            <w:vAlign w:val="bottom"/>
            <w:gridSpan w:val="3"/>
          </w:tcPr>
          <w:p>
            <w:pPr>
              <w:spacing w:after="0" w:line="182" w:lineRule="exact"/>
              <w:rPr>
                <w:sz w:val="20"/>
                <w:szCs w:val="20"/>
                <w:color w:val="auto"/>
              </w:rPr>
            </w:pPr>
            <w:r>
              <w:rPr>
                <w:rFonts w:ascii="Arial" w:cs="Arial" w:eastAsia="Arial" w:hAnsi="Arial"/>
                <w:sz w:val="18"/>
                <w:szCs w:val="18"/>
                <w:color w:val="auto"/>
              </w:rPr>
              <w:t>Balance at September 30, 2022</w:t>
            </w:r>
          </w:p>
        </w:tc>
        <w:tc>
          <w:tcPr>
            <w:tcW w:w="27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$196</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6"/>
              </w:rPr>
              <w:t>$18</w:t>
            </w:r>
          </w:p>
        </w:tc>
        <w:tc>
          <w:tcPr>
            <w:tcW w:w="14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$178</w:t>
            </w:r>
          </w:p>
        </w:tc>
      </w:tr>
      <w:tr>
        <w:trPr>
          <w:trHeight w:val="229"/>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370"/>
              <w:spacing w:after="0"/>
              <w:rPr>
                <w:sz w:val="20"/>
                <w:szCs w:val="20"/>
                <w:color w:val="auto"/>
              </w:rPr>
            </w:pPr>
            <w:r>
              <w:rPr>
                <w:rFonts w:ascii="Arial" w:cs="Arial" w:eastAsia="Arial" w:hAnsi="Arial"/>
                <w:sz w:val="18"/>
                <w:szCs w:val="18"/>
                <w:color w:val="auto"/>
                <w:w w:val="89"/>
              </w:rPr>
              <w:t>88</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18</w:t>
            </w: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9"/>
              </w:rPr>
              <w:t>70</w:t>
            </w:r>
          </w:p>
        </w:tc>
      </w:tr>
      <w:tr>
        <w:trPr>
          <w:trHeight w:val="270"/>
        </w:trPr>
        <w:tc>
          <w:tcPr>
            <w:tcW w:w="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282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2021</w:t>
            </w:r>
          </w:p>
        </w:tc>
        <w:tc>
          <w:tcPr>
            <w:tcW w:w="2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6"/>
              </w:rPr>
              <w:t>111</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19</w:t>
            </w:r>
          </w:p>
        </w:tc>
        <w:tc>
          <w:tcPr>
            <w:tcW w:w="14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92</w:t>
            </w:r>
          </w:p>
        </w:tc>
      </w:tr>
      <w:tr>
        <w:trPr>
          <w:trHeight w:val="230"/>
        </w:trPr>
        <w:tc>
          <w:tcPr>
            <w:tcW w:w="20" w:type="dxa"/>
            <w:vAlign w:val="bottom"/>
          </w:tcPr>
          <w:p>
            <w:pPr>
              <w:spacing w:after="0"/>
              <w:rPr>
                <w:sz w:val="20"/>
                <w:szCs w:val="20"/>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370"/>
              <w:spacing w:after="0"/>
              <w:rPr>
                <w:sz w:val="20"/>
                <w:szCs w:val="20"/>
                <w:color w:val="auto"/>
              </w:rPr>
            </w:pPr>
            <w:r>
              <w:rPr>
                <w:rFonts w:ascii="Arial" w:cs="Arial" w:eastAsia="Arial" w:hAnsi="Arial"/>
                <w:sz w:val="18"/>
                <w:szCs w:val="18"/>
                <w:color w:val="auto"/>
                <w:w w:val="89"/>
              </w:rPr>
              <w:t>33</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19</w:t>
            </w: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9"/>
              </w:rPr>
              <w:t>14</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September 30, 2022 and December 31, 2021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2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Arial" w:cs="Arial" w:eastAsia="Arial" w:hAnsi="Arial"/>
                <w:sz w:val="18"/>
                <w:szCs w:val="18"/>
                <w:color w:val="auto"/>
              </w:rPr>
              <w:t>December 31, 2021</w:t>
            </w:r>
          </w:p>
        </w:tc>
      </w:tr>
      <w:tr>
        <w:trPr>
          <w:trHeight w:val="209"/>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219</w:t>
            </w: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241</w:t>
            </w:r>
          </w:p>
        </w:tc>
        <w:tc>
          <w:tcPr>
            <w:tcW w:w="10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0" w:type="dxa"/>
            <w:vAlign w:val="bottom"/>
          </w:tcPr>
          <w:p>
            <w:pPr>
              <w:spacing w:after="0"/>
              <w:rPr>
                <w:sz w:val="19"/>
                <w:szCs w:val="19"/>
                <w:color w:val="auto"/>
              </w:rPr>
            </w:pPr>
          </w:p>
        </w:tc>
      </w:tr>
      <w:tr>
        <w:trPr>
          <w:trHeight w:val="850"/>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6"/>
          </w:tcPr>
          <w:p>
            <w:pPr>
              <w:spacing w:after="0"/>
              <w:rPr>
                <w:sz w:val="20"/>
                <w:szCs w:val="20"/>
                <w:color w:val="auto"/>
              </w:rPr>
            </w:pPr>
            <w:r>
              <w:rPr>
                <w:rFonts w:ascii="Arial" w:cs="Arial" w:eastAsia="Arial" w:hAnsi="Arial"/>
                <w:sz w:val="18"/>
                <w:szCs w:val="18"/>
                <w:b w:val="1"/>
                <w:bCs w:val="1"/>
                <w:color w:val="auto"/>
              </w:rPr>
              <w:t>L.  Debt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79"/>
        </w:trPr>
        <w:tc>
          <w:tcPr>
            <w:tcW w:w="5580" w:type="dxa"/>
            <w:vAlign w:val="bottom"/>
            <w:gridSpan w:val="6"/>
          </w:tcPr>
          <w:p>
            <w:pPr>
              <w:ind w:left="180"/>
              <w:spacing w:after="0"/>
              <w:rPr>
                <w:sz w:val="20"/>
                <w:szCs w:val="20"/>
                <w:color w:val="auto"/>
              </w:rPr>
            </w:pPr>
            <w:r>
              <w:rPr>
                <w:rFonts w:ascii="Arial" w:cs="Arial" w:eastAsia="Arial" w:hAnsi="Arial"/>
                <w:sz w:val="18"/>
                <w:szCs w:val="18"/>
                <w:color w:val="auto"/>
              </w:rPr>
              <w:t>The Company's outstanding debt was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00" w:type="dxa"/>
            <w:vAlign w:val="bottom"/>
            <w:gridSpan w:val="5"/>
          </w:tcPr>
          <w:p>
            <w:pPr>
              <w:ind w:left="360"/>
              <w:spacing w:after="0"/>
              <w:rPr>
                <w:sz w:val="20"/>
                <w:szCs w:val="20"/>
                <w:color w:val="auto"/>
              </w:rPr>
            </w:pPr>
            <w:r>
              <w:rPr>
                <w:rFonts w:ascii="Arial" w:cs="Arial" w:eastAsia="Arial" w:hAnsi="Arial"/>
                <w:sz w:val="18"/>
                <w:szCs w:val="18"/>
                <w:color w:val="auto"/>
              </w:rPr>
              <w:t>September 30, 2022</w:t>
            </w:r>
          </w:p>
        </w:tc>
        <w:tc>
          <w:tcPr>
            <w:tcW w:w="120" w:type="dxa"/>
            <w:vAlign w:val="bottom"/>
          </w:tcPr>
          <w:p>
            <w:pPr>
              <w:spacing w:after="0"/>
              <w:rPr>
                <w:sz w:val="22"/>
                <w:szCs w:val="22"/>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8"/>
                <w:szCs w:val="18"/>
                <w:color w:val="auto"/>
              </w:rPr>
              <w:t>December 31, 2021</w:t>
            </w:r>
          </w:p>
        </w:tc>
      </w:tr>
      <w:tr>
        <w:trPr>
          <w:trHeight w:val="222"/>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4"/>
              </w:rPr>
              <w:t>Carrying</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5"/>
              </w:rPr>
              <w:t>Principal</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6"/>
              </w:rPr>
              <w:t>Carrying</w:t>
            </w:r>
          </w:p>
        </w:tc>
      </w:tr>
      <w:tr>
        <w:trPr>
          <w:trHeight w:val="230"/>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amount</w:t>
            </w:r>
          </w:p>
        </w:tc>
      </w:tr>
      <w:tr>
        <w:trPr>
          <w:trHeight w:val="203"/>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right w:val="single" w:sz="8" w:color="CCEEFF"/>
            </w:tcBorders>
          </w:tcPr>
          <w:p>
            <w:pPr>
              <w:spacing w:after="0"/>
              <w:rPr>
                <w:sz w:val="17"/>
                <w:szCs w:val="17"/>
                <w:color w:val="auto"/>
              </w:rPr>
            </w:pPr>
          </w:p>
        </w:tc>
        <w:tc>
          <w:tcPr>
            <w:tcW w:w="4580" w:type="dxa"/>
            <w:vAlign w:val="bottom"/>
            <w:tcBorders>
              <w:top w:val="single" w:sz="8" w:color="CCEEFF"/>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83</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83</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r>
      <w:tr>
        <w:trPr>
          <w:trHeight w:val="216"/>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89"/>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right w:val="single" w:sz="8" w:color="CCEEFF"/>
            </w:tcBorders>
          </w:tcPr>
          <w:p>
            <w:pPr>
              <w:spacing w:after="0"/>
              <w:rPr>
                <w:sz w:val="16"/>
                <w:szCs w:val="16"/>
                <w:color w:val="auto"/>
              </w:rPr>
            </w:pPr>
          </w:p>
        </w:tc>
        <w:tc>
          <w:tcPr>
            <w:tcW w:w="4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right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U.S. dollar due 2027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640"/>
              <w:spacing w:after="0"/>
              <w:rPr>
                <w:sz w:val="20"/>
                <w:szCs w:val="20"/>
                <w:color w:val="auto"/>
              </w:rPr>
            </w:pPr>
            <w:r>
              <w:rPr>
                <w:rFonts w:ascii="Arial" w:cs="Arial" w:eastAsia="Arial" w:hAnsi="Arial"/>
                <w:sz w:val="18"/>
                <w:szCs w:val="18"/>
                <w:color w:val="auto"/>
              </w:rPr>
              <w:t>U.S. dollar due 2024</w:t>
            </w:r>
          </w:p>
        </w:tc>
        <w:tc>
          <w:tcPr>
            <w:tcW w:w="1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640"/>
              <w:spacing w:after="0" w:line="230" w:lineRule="exact"/>
              <w:rPr>
                <w:sz w:val="20"/>
                <w:szCs w:val="20"/>
                <w:color w:val="auto"/>
              </w:rPr>
            </w:pPr>
            <w:r>
              <w:rPr>
                <w:rFonts w:ascii="Arial" w:cs="Arial" w:eastAsia="Arial" w:hAnsi="Arial"/>
                <w:sz w:val="18"/>
                <w:szCs w:val="18"/>
                <w:color w:val="auto"/>
              </w:rPr>
              <w:t>Euro due 2027</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640"/>
              <w:spacing w:after="0" w:line="230" w:lineRule="exact"/>
              <w:rPr>
                <w:sz w:val="20"/>
                <w:szCs w:val="20"/>
                <w:color w:val="auto"/>
              </w:rPr>
            </w:pPr>
            <w:r>
              <w:rPr>
                <w:rFonts w:ascii="Arial" w:cs="Arial" w:eastAsia="Arial" w:hAnsi="Arial"/>
                <w:sz w:val="18"/>
                <w:szCs w:val="18"/>
                <w:color w:val="auto"/>
              </w:rPr>
              <w:t>Euro due 2024</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€335 at 2.25% due 2023</w:t>
            </w:r>
          </w:p>
        </w:tc>
        <w:tc>
          <w:tcPr>
            <w:tcW w:w="1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€550 at 0.75% due 2023</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€600 at 2.625% due 2024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U.S. dollar at 7.375%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€500 at 2.875%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U.S. dollar at 5.25% due 2030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7.50% due 2096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right w:val="single" w:sz="8" w:color="CCEEFF"/>
            </w:tcBorders>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Total long-term debt, less current maturities</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€540 and €303 at September 30, 2022 and December 31, 2021.</w:t>
      </w:r>
    </w:p>
    <w:p>
      <w:pPr>
        <w:spacing w:after="0" w:line="2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$6,691 at September 30, 2022 and $6,548 at December 31, 2021.</w:t>
      </w: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March 2022, the Company issued $500 principal amount of 5.250% senior unsecured notes due 2030. The notes were issued at par by Crown Americas LLC, a subsidiary of the Company, and are unconditionally guaranteed by the Company and substantially all of its U.S. subsidiaries. The Company paid $7 in issuance costs that will be amortized over the term of the notes.</w:t>
      </w:r>
    </w:p>
    <w:p>
      <w:pPr>
        <w:spacing w:after="0" w:line="21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August 2022, the Company amended the credit agreement governing its senior secured credit facilities. The Amendment extends the agreement’s maturity to August 2027 and increases the commitments under several of the Company’s existing facilities. The Company’s commitments under its credit agreement include $800 million in U.S. dollar denominated revolving commitments, $800 million in multicurrency revolving commitments, $50 million in Canadian dollar-denominated revolving commitments, $1.8 billion in Term Loan A commitments, and €540 million in Term Euro commitments. At September 30, 2022, the U.S. dollar term loan interest rate was SOFR plus 1.35% and the Euro term loan interest rate was EURIBOR plus 1.25%. At December 31, 2021, the U.S. dollar term loan interest rate was LIBOR plus 1.20% and the Euro term loan interest rate was EURIBOR plus 1.20%.</w:t>
      </w:r>
    </w:p>
    <w:p>
      <w:pPr>
        <w:spacing w:after="0" w:line="22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September 2022, the Company redeemed all of its €335 2.25% senior notes due 2023 and its €550 0.75% senior notes due 2023. In connection with the amended credit agreement and early redemption of senior notes, the Company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recorded a loss from early extinguishment of debt of $11 in the third quarter of 2022 for premium payments and the write-off of deferred financing fees.</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nine months ended September 30, 2022 and 2021 were as follows:</w:t>
      </w:r>
    </w:p>
    <w:p>
      <w:pPr>
        <w:spacing w:after="0" w:line="8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9"/>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Nine Months Ended</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9"/>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U.S. plans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prior service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Curtailment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top w:val="single" w:sz="8" w:color="auto"/>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9"/>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110"/>
              <w:spacing w:after="0"/>
              <w:rPr>
                <w:sz w:val="20"/>
                <w:szCs w:val="20"/>
                <w:color w:val="auto"/>
              </w:rPr>
            </w:pPr>
            <w:r>
              <w:rPr>
                <w:rFonts w:ascii="Arial" w:cs="Arial" w:eastAsia="Arial" w:hAnsi="Arial"/>
                <w:sz w:val="18"/>
                <w:szCs w:val="18"/>
                <w:color w:val="auto"/>
                <w:w w:val="91"/>
              </w:rPr>
              <w:t>Nine Months Ended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9"/>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11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2021</w:t>
            </w:r>
          </w:p>
        </w:tc>
        <w:tc>
          <w:tcPr>
            <w:tcW w:w="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3"/>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9"/>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110"/>
              <w:spacing w:after="0"/>
              <w:rPr>
                <w:sz w:val="20"/>
                <w:szCs w:val="20"/>
                <w:color w:val="auto"/>
              </w:rPr>
            </w:pPr>
            <w:r>
              <w:rPr>
                <w:rFonts w:ascii="Arial" w:cs="Arial" w:eastAsia="Arial" w:hAnsi="Arial"/>
                <w:sz w:val="18"/>
                <w:szCs w:val="18"/>
                <w:color w:val="auto"/>
                <w:w w:val="91"/>
              </w:rPr>
              <w:t>Nine Months Ended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9"/>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11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2021</w:t>
            </w:r>
          </w:p>
        </w:tc>
        <w:tc>
          <w:tcPr>
            <w:tcW w:w="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prior service credit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October 2021, the trustees of the Company's U.K. defined benefit pension plan (the "Plan") entered into a transaction to fully insure all of its U.K. pension liabilities. In 2021, the Company made a cash contribution to enable the Plan to purchase a bulk annuity insurance contract for the benefit of the Plan participants. The Company recorded a settlement charge of $1,511 in the fourth quarter of 2021, upon irrevocable transfer of the Plan's obligations. The Company expects £127 ($141 as of September 30, 2022) of the cash contribution to be repaid as the Plan sells its remaining illiquid assets, of which £93 ($104) has been received to date.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780" w:type="dxa"/>
            <w:vAlign w:val="bottom"/>
            <w:gridSpan w:val="4"/>
          </w:tcPr>
          <w:p>
            <w:pPr>
              <w:jc w:val="right"/>
              <w:ind w:right="170"/>
              <w:spacing w:after="0"/>
              <w:rPr>
                <w:sz w:val="20"/>
                <w:szCs w:val="20"/>
                <w:color w:val="auto"/>
              </w:rPr>
            </w:pPr>
            <w:r>
              <w:rPr>
                <w:rFonts w:ascii="Arial" w:cs="Arial" w:eastAsia="Arial" w:hAnsi="Arial"/>
                <w:sz w:val="18"/>
                <w:szCs w:val="18"/>
                <w:color w:val="auto"/>
                <w:w w:val="94"/>
              </w:rPr>
              <w:t>Nine Months Ended</w:t>
            </w: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Details about accumulated other</w:t>
            </w:r>
          </w:p>
        </w:tc>
        <w:tc>
          <w:tcPr>
            <w:tcW w:w="160" w:type="dxa"/>
            <w:vAlign w:val="bottom"/>
          </w:tcPr>
          <w:p>
            <w:pPr>
              <w:spacing w:after="0"/>
              <w:rPr>
                <w:sz w:val="20"/>
                <w:szCs w:val="20"/>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1780" w:type="dxa"/>
            <w:vAlign w:val="bottom"/>
            <w:gridSpan w:val="4"/>
          </w:tcPr>
          <w:p>
            <w:pPr>
              <w:jc w:val="right"/>
              <w:ind w:right="37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0"/>
                <w:szCs w:val="20"/>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w w:val="93"/>
              </w:rPr>
              <w:t>Affected line items in the statement of</w:t>
            </w:r>
          </w:p>
        </w:tc>
        <w:tc>
          <w:tcPr>
            <w:tcW w:w="0" w:type="dxa"/>
            <w:vAlign w:val="bottom"/>
          </w:tcPr>
          <w:p>
            <w:pPr>
              <w:spacing w:after="0"/>
              <w:rPr>
                <w:sz w:val="1"/>
                <w:szCs w:val="1"/>
                <w:color w:val="auto"/>
              </w:rPr>
            </w:pPr>
          </w:p>
        </w:tc>
      </w:tr>
      <w:tr>
        <w:trPr>
          <w:trHeight w:val="156"/>
        </w:trPr>
        <w:tc>
          <w:tcPr>
            <w:tcW w:w="25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9"/>
              </w:rPr>
              <w:t>comprehensive income</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ind w:left="1080"/>
              <w:spacing w:after="0" w:line="189" w:lineRule="exact"/>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components</w:t>
            </w: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Pr>
          <w:p>
            <w:pPr>
              <w:ind w:left="20"/>
              <w:spacing w:after="0" w:line="156" w:lineRule="exact"/>
              <w:rPr>
                <w:sz w:val="20"/>
                <w:szCs w:val="20"/>
                <w:color w:val="auto"/>
              </w:rPr>
            </w:pPr>
            <w:r>
              <w:rPr>
                <w:rFonts w:ascii="Arial" w:cs="Arial" w:eastAsia="Arial" w:hAnsi="Arial"/>
                <w:sz w:val="18"/>
                <w:szCs w:val="18"/>
                <w:color w:val="auto"/>
              </w:rPr>
              <w:t>Income from continuing operations</w:t>
            </w: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ind w:left="20"/>
              <w:spacing w:after="0" w:line="189" w:lineRule="exact"/>
              <w:rPr>
                <w:sz w:val="20"/>
                <w:szCs w:val="20"/>
                <w:color w:val="auto"/>
              </w:rPr>
            </w:pPr>
            <w:r>
              <w:rPr>
                <w:rFonts w:ascii="Arial" w:cs="Arial" w:eastAsia="Arial" w:hAnsi="Arial"/>
                <w:sz w:val="18"/>
                <w:szCs w:val="18"/>
                <w:color w:val="auto"/>
                <w:w w:val="92"/>
              </w:rPr>
              <w:t>before taxes and equity in net earnings</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of affiliates</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w w:val="92"/>
              </w:rPr>
              <w:t>Net income from continuing operations</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loss from discontinued operations</w:t>
            </w: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3"/>
                <w:szCs w:val="13"/>
                <w:color w:val="auto"/>
              </w:rPr>
            </w:pPr>
          </w:p>
        </w:tc>
        <w:tc>
          <w:tcPr>
            <w:tcW w:w="2900" w:type="dxa"/>
            <w:vAlign w:val="bottom"/>
          </w:tcPr>
          <w:p>
            <w:pPr>
              <w:ind w:left="20"/>
              <w:spacing w:after="0" w:line="156" w:lineRule="exact"/>
              <w:rPr>
                <w:sz w:val="20"/>
                <w:szCs w:val="20"/>
                <w:color w:val="auto"/>
              </w:rPr>
            </w:pPr>
            <w:r>
              <w:rPr>
                <w:rFonts w:ascii="Arial" w:cs="Arial" w:eastAsia="Arial" w:hAnsi="Arial"/>
                <w:sz w:val="18"/>
                <w:szCs w:val="18"/>
                <w:color w:val="auto"/>
                <w:w w:val="92"/>
              </w:rPr>
              <w:t>Net income from continuing operations</w:t>
            </w:r>
          </w:p>
        </w:tc>
        <w:tc>
          <w:tcPr>
            <w:tcW w:w="0" w:type="dxa"/>
            <w:vAlign w:val="bottom"/>
          </w:tcPr>
          <w:p>
            <w:pPr>
              <w:spacing w:after="0"/>
              <w:rPr>
                <w:sz w:val="1"/>
                <w:szCs w:val="1"/>
                <w:color w:val="auto"/>
              </w:rPr>
            </w:pPr>
          </w:p>
        </w:tc>
      </w:tr>
      <w:tr>
        <w:trPr>
          <w:trHeight w:val="221"/>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attributable to Crown Holdings</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Amortization of prior service credits of $15 for the nine months ended September 30, 2022, primarily relates to prior service credits which arose from postretirement plan amendments in prior years. These prior service credits are expected to be fully amortized to income in 2022.</w:t>
      </w:r>
    </w:p>
    <w:p>
      <w:pPr>
        <w:spacing w:after="0" w:line="200" w:lineRule="exact"/>
        <w:rPr>
          <w:sz w:val="20"/>
          <w:szCs w:val="20"/>
          <w:color w:val="auto"/>
        </w:rPr>
      </w:pPr>
    </w:p>
    <w:p>
      <w:pPr>
        <w:spacing w:after="0" w:line="21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$722 of its shares during the nine months ended September 30, 2022 and $950 of its shares during the twelve months ended December 31, 2021.</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nine months ended September 30, 2022, the Company declared and paid cash dividends of $0.22 per share and $0.66 per share. Additionally, on October 27, 2022, the Company's Board of Directors declared a dividend of $0.22 per share payable on November 25, 2022 to shareholders of record as of November 10, 2022.</w:t>
      </w:r>
    </w:p>
    <w:p>
      <w:pPr>
        <w:spacing w:after="0" w:line="200" w:lineRule="exact"/>
        <w:rPr>
          <w:sz w:val="20"/>
          <w:szCs w:val="20"/>
          <w:color w:val="auto"/>
        </w:rPr>
      </w:pPr>
    </w:p>
    <w:p>
      <w:pPr>
        <w:spacing w:after="0" w:line="25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0"/>
              <w:spacing w:after="0" w:line="189"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30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89"/>
              </w:rPr>
              <w:t>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(55)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24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54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93"/>
              </w:rPr>
              <w:t>(44)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3"/>
              </w:rPr>
              <w:t>(14)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93"/>
              </w:rPr>
              <w:t>(58)</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(30)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M</w:t>
      </w:r>
      <w:r>
        <w:rPr>
          <w:rFonts w:ascii="Arial" w:cs="Arial" w:eastAsia="Arial" w:hAnsi="Arial"/>
          <w:sz w:val="18"/>
          <w:szCs w:val="18"/>
          <w:color w:val="auto"/>
        </w:rPr>
        <w:t xml:space="preserve"> for further details of amounts related to cash flow hedges and defined benefit plans.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P.   Revenue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The Company recognized revenue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1"/>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14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for further disaggregation of the Company's revenue.</w:t>
      </w:r>
    </w:p>
    <w:p>
      <w:pPr>
        <w:spacing w:after="0" w:line="18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$25 and $23 as of September 30, 2022 and December 31, 2021 included in prepaid and other current assets. During the three and nine months ended September 30, 2022, the Company satisfied performance obligations related to contract assets at December 31, 2021 and also recorded new contract assets primarily related to work in process for the equipment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243"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As of September 30, 2022, the Company recorded a deferred tax asset of $18 for goodwill amortization and net operating loss carryforwards in Switzerland. The Company believes that it is more likely than not that these deferred tax assets will not be utilized prior to their expiration and has recorded a full valuation allowance.</w:t>
      </w:r>
    </w:p>
    <w:p>
      <w:pPr>
        <w:spacing w:after="0" w:line="20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For the three and nine months ended September 30, 2021, the Company recorded income tax charges of $11 and $42 in continuing operations for reorganizations and other transactions required to prepare the European Tinplate business for sale. Additionally, for the nine months ended September 30, 2021, the Company also recorded income tax benefits of $8 related to tax law changes in India and the U.K. and an income tax charge of $40 to establish a valuation allowance for deferred tax assets related to tax loss carryforwards in France. The Company believes that it is more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 xml:space="preserve">likely than not that these tax loss carryforwards will not be utilized after the sale of the European Tinplate business. See </w:t>
      </w:r>
      <w:r>
        <w:rPr>
          <w:rFonts w:ascii="Arial" w:cs="Arial" w:eastAsia="Arial" w:hAnsi="Arial"/>
          <w:sz w:val="18"/>
          <w:szCs w:val="18"/>
          <w:u w:val="single" w:color="auto"/>
          <w:color w:val="0000FF"/>
        </w:rPr>
        <w:t>Note C</w:t>
      </w:r>
      <w:r>
        <w:rPr>
          <w:rFonts w:ascii="Arial" w:cs="Arial" w:eastAsia="Arial" w:hAnsi="Arial"/>
          <w:sz w:val="18"/>
          <w:szCs w:val="18"/>
          <w:color w:val="auto"/>
        </w:rPr>
        <w:t xml:space="preserve"> for more information regarding the sale of the European Tinplate business.</w:t>
      </w:r>
    </w:p>
    <w:p>
      <w:pPr>
        <w:spacing w:after="0" w:line="198"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In August 2022, the Inflation Reduction Act of 2022 (the "IRA") was signed into law in the U.S.. The Company does not expect the IRA to have a material impact on the Company's consolidated financial statements, including its annual estimated effective tax rate.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30"/>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from continuing operations attributable to Crown Holdings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w w:val="96"/>
              </w:rPr>
              <w:t>Net loss from discontinued operations attributable to Crown Holdings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3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57"/>
        </w:trPr>
        <w:tc>
          <w:tcPr>
            <w:tcW w:w="5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Earnings per common share attributable to Crown Holdings: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Basic loss per common share from discontinued operations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Diluted loss per common share from discontinued operations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nine months ended September 30, 2022, 0.1 million and 0.4 million contingently issuable common shares were excluded from the computation of diluted earnings per share because the effect would be anti-dilutive.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nine months ended September 30, 2021, 0.1 million contingently issuable common shares were excluded from the computation of diluted earnings per share because the effect would be anti-dilutive.</w:t>
      </w:r>
    </w:p>
    <w:p>
      <w:pPr>
        <w:spacing w:after="0" w:line="200" w:lineRule="exact"/>
        <w:rPr>
          <w:sz w:val="20"/>
          <w:szCs w:val="20"/>
          <w:color w:val="auto"/>
        </w:rPr>
      </w:pPr>
    </w:p>
    <w:p>
      <w:pPr>
        <w:spacing w:after="0" w:line="23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and provisions for restructuring and other. Segment income should not be considered in isolation or as a substitute for net income prepared in accordance with GAAP and may not be comparable to calculations of similarly titled measures by other companies.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87"/>
              </w:rPr>
              <w:t>External Sales</w:t>
            </w:r>
          </w:p>
        </w:tc>
      </w:tr>
      <w:tr>
        <w:trPr>
          <w:trHeight w:val="222"/>
        </w:trPr>
        <w:tc>
          <w:tcPr>
            <w:tcW w:w="4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4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sources of revenue included in Other are the Company's food can, aerosol can, and closures businesses in North America, and beverage tooling and equipment operations in the U.S. and U.K.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7"/>
              </w:rPr>
              <w:t>Intersegment Sales</w:t>
            </w:r>
          </w:p>
        </w:tc>
        <w:tc>
          <w:tcPr>
            <w:tcW w:w="340" w:type="dxa"/>
            <w:vAlign w:val="bottom"/>
            <w:tcBorders>
              <w:bottom w:val="single" w:sz="8" w:color="auto"/>
            </w:tcBorders>
          </w:tcPr>
          <w:p>
            <w:pPr>
              <w:spacing w:after="0"/>
              <w:rPr>
                <w:sz w:val="20"/>
                <w:szCs w:val="20"/>
                <w:color w:val="auto"/>
              </w:rPr>
            </w:pPr>
          </w:p>
        </w:tc>
      </w:tr>
      <w:tr>
        <w:trPr>
          <w:trHeight w:val="222"/>
        </w:trPr>
        <w:tc>
          <w:tcPr>
            <w:tcW w:w="4640" w:type="dxa"/>
            <w:vAlign w:val="bottom"/>
          </w:tcPr>
          <w:p>
            <w:pPr>
              <w:spacing w:after="0"/>
              <w:rPr>
                <w:sz w:val="19"/>
                <w:szCs w:val="19"/>
                <w:color w:val="auto"/>
              </w:rPr>
            </w:pPr>
          </w:p>
        </w:tc>
        <w:tc>
          <w:tcPr>
            <w:tcW w:w="202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4"/>
          </w:tcPr>
          <w:p>
            <w:pPr>
              <w:jc w:val="center"/>
              <w:ind w:left="250"/>
              <w:spacing w:after="0"/>
              <w:rPr>
                <w:sz w:val="20"/>
                <w:szCs w:val="20"/>
                <w:color w:val="auto"/>
              </w:rPr>
            </w:pPr>
            <w:r>
              <w:rPr>
                <w:rFonts w:ascii="Arial" w:cs="Arial" w:eastAsia="Arial" w:hAnsi="Arial"/>
                <w:sz w:val="18"/>
                <w:szCs w:val="18"/>
                <w:color w:val="auto"/>
                <w:w w:val="92"/>
              </w:rPr>
              <w:t>Nine Months Ended</w:t>
            </w:r>
          </w:p>
        </w:tc>
        <w:tc>
          <w:tcPr>
            <w:tcW w:w="340" w:type="dxa"/>
            <w:vAlign w:val="bottom"/>
          </w:tcPr>
          <w:p>
            <w:pPr>
              <w:spacing w:after="0"/>
              <w:rPr>
                <w:sz w:val="19"/>
                <w:szCs w:val="19"/>
                <w:color w:val="auto"/>
              </w:rPr>
            </w:pPr>
          </w:p>
        </w:tc>
      </w:tr>
      <w:tr>
        <w:trPr>
          <w:trHeight w:val="230"/>
        </w:trPr>
        <w:tc>
          <w:tcPr>
            <w:tcW w:w="4640" w:type="dxa"/>
            <w:vAlign w:val="bottom"/>
          </w:tcPr>
          <w:p>
            <w:pPr>
              <w:spacing w:after="0"/>
              <w:rPr>
                <w:sz w:val="20"/>
                <w:szCs w:val="20"/>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8"/>
              </w:rPr>
              <w:t>September 30,</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108</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w:t>
            </w: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Intersegment sales primarily include sales of cans, ends and parts and equipment used in the manufacturing process.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9"/>
              </w:rPr>
              <w:t>Segment Income</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Segment Income</w:t>
            </w:r>
          </w:p>
        </w:tc>
      </w:tr>
      <w:tr>
        <w:trPr>
          <w:trHeight w:val="222"/>
        </w:trPr>
        <w:tc>
          <w:tcPr>
            <w:tcW w:w="462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62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381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200" w:lineRule="exact"/>
        <w:rPr>
          <w:sz w:val="20"/>
          <w:szCs w:val="20"/>
          <w:color w:val="auto"/>
        </w:rPr>
      </w:pPr>
    </w:p>
    <w:p>
      <w:pPr>
        <w:spacing w:after="0" w:line="36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5" w:name="page26"/>
    <w:bookmarkEnd w:id="25"/>
    <w:p>
      <w:pPr>
        <w:ind w:left="4140"/>
        <w:spacing w:after="0"/>
        <w:rPr>
          <w:sz w:val="20"/>
          <w:szCs w:val="20"/>
          <w:color w:val="auto"/>
        </w:rPr>
      </w:pPr>
      <w:r>
        <w:rPr>
          <w:rFonts w:ascii="Arial" w:cs="Arial" w:eastAsia="Arial" w:hAnsi="Arial"/>
          <w:sz w:val="16"/>
          <w:szCs w:val="16"/>
          <w:b w:val="1"/>
          <w:bCs w:val="1"/>
          <w:color w:val="auto"/>
        </w:rPr>
        <w:t>Crown Holdings, Inc.</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1820"/>
        <w:spacing w:after="0" w:line="274" w:lineRule="auto"/>
        <w:rPr>
          <w:sz w:val="20"/>
          <w:szCs w:val="20"/>
          <w:color w:val="auto"/>
        </w:rPr>
      </w:pPr>
      <w:r>
        <w:rPr>
          <w:rFonts w:ascii="Arial" w:cs="Arial" w:eastAsia="Arial" w:hAnsi="Arial"/>
          <w:sz w:val="18"/>
          <w:szCs w:val="18"/>
          <w:color w:val="auto"/>
        </w:rPr>
        <w:t>Segment income of reportable segments Segment income of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and unallocated items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and other,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intangibles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early extinguishments of debt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pension and postretirement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exchange</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Income from continuing operations before taxes and equity in net earnings of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560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5"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14605</wp:posOffset>
            </wp:positionV>
            <wp:extent cx="639508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5085" cy="15430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81"/>
        </w:trPr>
        <w:tc>
          <w:tcPr>
            <w:tcW w:w="4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-1448435</wp:posOffset>
            </wp:positionV>
            <wp:extent cx="639508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95085" cy="14541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-1156970</wp:posOffset>
            </wp:positionV>
            <wp:extent cx="63950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95085" cy="14541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-864870</wp:posOffset>
            </wp:positionV>
            <wp:extent cx="639508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95085" cy="14541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-574040</wp:posOffset>
            </wp:positionV>
            <wp:extent cx="63950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5085" cy="1460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-282575</wp:posOffset>
            </wp:positionV>
            <wp:extent cx="6395085"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9508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2"/>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29"/>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912</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81"/>
        </w:trPr>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720" w:space="180"/>
            <w:col w:w="2460" w:space="240"/>
            <w:col w:w="2980"/>
          </w:cols>
          <w:pgMar w:left="980" w:top="121"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2022, intercompany profits of $2 and $11 were eliminated within segment income of other.</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2021, intercompany profits of $4 and $8 were eliminated within segment income of other.</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nine months ended September 30, 2022 compared to 2021 and changes in financial condition and liquidity from December 31, 2021. This discussion should be read in conjunction with the consolidated financial statements and notes thereto included in the Company's Annual Report on Form 10-K for the year ended December 31, 2021,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strategy is to deploy capital into its global beverage can operations to expand production capacity to support growing customer demand in alcoholic and non-alcoholic drink categories.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capital allocation strategy also focuses on maintaining a strong balance sheet with a leverage ratio between 3.0x and 3.5x and returning capital to shareholders in the form of dividends and the repurchase of Company shares. In December 2021, the Board of Directors authorized the repurchase of $3.0 billion in Company common stock through the end of 2024.</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continues to actively elevate its commitment to sustainability, which is a core value of the Company. In 2020, the Company debuted Twentyby30, a robust program that outlines twenty measurable, science based, environmental, social and governance goals to be completed by 2030 or sooner. In September 2021, the Company joined The Climate Pledge, a commitment to be net-zero carbon across business operations by 2040.</w:t>
      </w:r>
    </w:p>
    <w:p>
      <w:pPr>
        <w:spacing w:after="0" w:line="21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To date the war between Russia and Ukraine has not had a direct material impact on the Company's business, financial condition, or results of operations.</w:t>
      </w:r>
    </w:p>
    <w:p>
      <w:pPr>
        <w:spacing w:after="0" w:line="19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continues to actively manage the challenges of supply chain disruptions, foreign exchange fluctuations and inflationary pressures, including increasing costs for raw materials, energy and transportation.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indexes. The Company also uses commodity forward contracts to manage its exposure to raw material costs. The ability to mitigate inflationary risks through these measures varies by region and the impact on the results of the Company’s segments is discussed, as applicable, in the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11"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Beverage segment and the Thai baht in the Company's Asia Pacific segment. The Company's Transit Packaging segment is a global business. The foreign currency translation impacts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43" w:lineRule="exact"/>
        <w:rPr>
          <w:sz w:val="20"/>
          <w:szCs w:val="20"/>
          <w:color w:val="auto"/>
        </w:rPr>
      </w:pPr>
    </w:p>
    <w:p>
      <w:pPr>
        <w:jc w:val="both"/>
        <w:ind w:left="660" w:right="20"/>
        <w:spacing w:after="0" w:line="258" w:lineRule="auto"/>
        <w:rPr>
          <w:sz w:val="20"/>
          <w:szCs w:val="20"/>
          <w:color w:val="auto"/>
        </w:rPr>
      </w:pPr>
      <w:r>
        <w:rPr>
          <w:rFonts w:ascii="Arial" w:cs="Arial" w:eastAsia="Arial" w:hAnsi="Arial"/>
          <w:sz w:val="18"/>
          <w:szCs w:val="18"/>
          <w:color w:val="auto"/>
        </w:rPr>
        <w:t>referred to in the discussion below for Transit Packaging are primarily related to the euro and various other currencies. The Company calculates the impact of foreign currency translation by dividing current year U.S. dollar results by the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current year average foreign exchange rates and then multiplying those amounts by the applicable prior year average exchange rates.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6"/>
        </w:trPr>
        <w:tc>
          <w:tcPr>
            <w:tcW w:w="236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2022 compared to 2021</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primarily due to the pass-through of higher material costs and 6% higher sales unit volumes in the Company's global beverage can businesses driven by volumes in Brazil, Mexico and Vietnam, partially offset by $127 from the impact of unfavorable foreign currency translation.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2022 compared to 2021</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the pass-through of higher material costs and 4% higher sales unit volumes in the Company's global beverage can businesses, partially offset by $280 from the impact of unfavorable foreign currency translation.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at a new two-line plant in Bowling Green, Kentucky in the second quarter of 2021 and on a third line at its Olympia, Washington plant in the third quarter of 2021. The Company also announced construction of a new two-line plant in Martinsville, Virginia which is expected to commence operations in November 2022 and a new two-line plant in Mesquite, Nevada which is expected to commence operations in 2023.</w:t>
      </w:r>
    </w:p>
    <w:p>
      <w:pPr>
        <w:spacing w:after="0" w:line="20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December 2021, the Bowling Green plant sustained tornado damage, resulting in curtailment of operations at the plant. The Company resumed operations in March 2022. However, it will continue to incur incremental costs, including freight and warehousing expenses, to meet customer demand as the plant returns to full operational capacity and during a temporary shut-down period expected to begin in late 2022 to complete final repairs to the plant. The Company has property and business interruption insurance policies for weather related events that include these incremental expenses. The Company recognizes insurance recoveries for incremental costs incurred as the recoveries become probable. The plant is expected to be fully operational by the end of 2022.</w:t>
      </w:r>
    </w:p>
    <w:p>
      <w:pPr>
        <w:spacing w:after="0" w:line="219"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To meet volume requirements in these markets, the Company began commercial production on second lines at its Rio Verde, Brazil facility in 2021 and its Monterrey, Mexico facility in April 2022. Additionally, the Company began commercial production on the first of two lines at a new facility in Uberaba, Brazil in May 2022 and the second line began commercial production in October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99"/>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660" w:type="dxa"/>
            <w:vAlign w:val="bottom"/>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66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r>
      <w:tr>
        <w:trPr>
          <w:trHeight w:val="230"/>
        </w:trPr>
        <w:tc>
          <w:tcPr>
            <w:tcW w:w="6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2022 compared to 2021</w:t>
      </w:r>
    </w:p>
    <w:p>
      <w:pPr>
        <w:spacing w:after="0" w:line="252"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8% higher sales unit volumes in both Mexico and Brazil, partially offset by 6% lower sales unit volumes in North America.</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lower sales unit volumes in North America and $2 of increased depreciation associated with recent capacity additions, partially offset by contractual pass-through mechanisms put in place to recover inflation and higher sales unit volumes in Mexico and Brazil.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2022 compared to 2021</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and 5% higher sales unit volumes in Mexico, partially offset by lower sales unit volumes in Brazil and North America.</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to lower sales unit volumes in Brazil and North America and $13 of increased depreciation associated with recent capacity additions, partially offset by contractual pass-through mechanisms put in place to recover inflation and higher sales unit volumes in Mexico.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The Company has begun construction of a new plant in Peterborough, U.K. and new can lines in the Agoncillo, Spain and Parma, Italy plants which are expected to commence operations in 2023.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color w:val="auto"/>
              </w:rPr>
              <w:t>Nine Months Ended</w:t>
            </w:r>
          </w:p>
        </w:tc>
      </w:tr>
      <w:tr>
        <w:trPr>
          <w:trHeight w:val="230"/>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60" w:type="dxa"/>
            <w:vAlign w:val="bottom"/>
            <w:gridSpan w:val="4"/>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23"/>
        </w:trPr>
        <w:tc>
          <w:tcPr>
            <w:tcW w:w="4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nine months ended September 30, 2022 compared to 2021</w:t>
      </w:r>
    </w:p>
    <w:p>
      <w:pPr>
        <w:spacing w:after="0" w:line="252"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Net sales increased primarily due to the pass-through of higher aluminum costs and 3% and 5% higher sales unit volumes partially offset by $65 and $136 from the impact of unfavorable foreign currency translation for the three and nine months ended September 30, 2022.</w:t>
      </w:r>
    </w:p>
    <w:p>
      <w:pPr>
        <w:spacing w:after="0" w:line="17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Segment income decreased primarily due to energy costs in excess of contractual pass-through provisions, a mismatch in contractual aluminum pass-through provisions whereby higher cost inventory was sold at lower prices and $2 and $8 from the impact of unfavorable foreign currency translation for the three and nine months ended September 30, 2022 partially offset by higher sales unit volumes. The aluminum pass-through provisions are impacted by higher than normal inventory levels due to supply chain concerns and lower than expected volumes, and price volatility in the aluminum market.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62"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The Company's Asia Pacific segment consists of beverage, food and specialty packaging can operations in Cambodia, China, Indonesia, Malaysia, Myanmar, Singapore, Thailand and Vietnam. In recent years, the beverage can market in Southeast Asia has been growing. In 2021, the Company began commercial production at a new beverage can plant in Vung Tau, Vietnam and on a second line in the Hanoi, Vietnam beverage can plant. Additionally, the Company expects to commercialize production on a third line in its Phnom Penh, Cambodia beverage can plant during 2022.</w:t>
      </w:r>
    </w:p>
    <w:p>
      <w:pPr>
        <w:spacing w:after="0" w:line="15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June 2022, the Company's Yangon, Myanmar beverage can plant was temporarily idled due to currency restrictions. For the nine months ended September 30, 2022, the plant had net sales of $17 and segment income of less than $1. Property, plant and equipment as of September 30, 2022 was $57, including $26 of land and buildings and $31 of machinery and equipment. The Company will continue to monitor the economic conditions and the impact to its business in Myanmar, including any alternative uses for its machinery and equipment.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280</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nine months ended September 30 ,2022 compared to 2021</w:t>
      </w:r>
    </w:p>
    <w:p>
      <w:pPr>
        <w:spacing w:after="0" w:line="252"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Net sales increased due to the pass-through of higher raw material costs and 14% and 26% higher sales unit volumes for the three and nine months ended September 30, 2022, primarily in Vietnam as 2021 was negatively impacted by coronavirus lockdowns. The unfavorable impact of foreign currency translation was $12 and $29 for the three and nine months ended September 30, 2022.</w:t>
      </w:r>
    </w:p>
    <w:p>
      <w:pPr>
        <w:spacing w:after="0" w:line="211" w:lineRule="exact"/>
        <w:rPr>
          <w:sz w:val="20"/>
          <w:szCs w:val="20"/>
          <w:color w:val="auto"/>
        </w:rPr>
      </w:pPr>
    </w:p>
    <w:p>
      <w:pPr>
        <w:ind w:left="660" w:right="300"/>
        <w:spacing w:after="0" w:line="311" w:lineRule="auto"/>
        <w:rPr>
          <w:sz w:val="20"/>
          <w:szCs w:val="20"/>
          <w:color w:val="auto"/>
        </w:rPr>
      </w:pPr>
      <w:r>
        <w:rPr>
          <w:rFonts w:ascii="Arial" w:cs="Arial" w:eastAsia="Arial" w:hAnsi="Arial"/>
          <w:sz w:val="16"/>
          <w:szCs w:val="16"/>
          <w:color w:val="auto"/>
        </w:rPr>
        <w:t>Segment income increased primarily due to higher sales unit volumes partially offset by a mismatch in contractual aluminum pass-through provisions whereby higher cost inventory was sold at lower prices. The aluminum pass-through provisions are impacted by higher than normal inventory levels due to supply chain concerns and lower than expected volumes, and price volatility in the aluminum market.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jc w:val="both"/>
        <w:ind w:left="660"/>
        <w:spacing w:after="0" w:line="257" w:lineRule="auto"/>
        <w:rPr>
          <w:sz w:val="20"/>
          <w:szCs w:val="20"/>
          <w:color w:val="auto"/>
        </w:rPr>
      </w:pPr>
      <w:r>
        <w:rPr>
          <w:rFonts w:ascii="Arial" w:cs="Arial" w:eastAsia="Arial" w:hAnsi="Arial"/>
          <w:sz w:val="17"/>
          <w:szCs w:val="17"/>
          <w:color w:val="auto"/>
        </w:rPr>
        <w:t>The Transit Packaging segment includes the Company's global industrial and protective solutions and equipment and tools businesses. Industrial and protective solutions includes steel strap, plastic strap and industrial film and other related products that are used in a wide range of industries, and transit protection products used for a wide range of industrial and consumer products. Equipment and tools includes manual, semi-automatic and automatic equipment and tools used in end-of-line operations to apply industrial solutions consumables.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609</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644</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2022 compared to 2021</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decreased primarily due to $44 from the impact of unfavorable foreign currency translation and lower sales unit volumes, partially offset by the pass through of higher raw material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Segment income decreased primarily due to lower sales unit volumes and $6 from the impact of unfavorable foreign currency translation, partially offset by inflationary price increases in the protective packaging business and costs savings from headcount reductions across the business.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2022 compared to 2021</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the pass through of higher raw material costs, partially offset by $104 from the impact of unfavorable foreign currency translation and lower sales unit volumes.</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to lower sales unit volumes, the unfavorable impact of higher cost inventory from the prior year in the steel strap business and $14 from the impact of unfavorable foreign currency translation, partially offset by inflationary price increases in the protective packaging business and costs savings from headcount reductions across the business.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Other includes the Company's food can, aerosol can and closures businesses in North America, and beverage tooling and equipment operations in the U.S. and U.K. In 2021, the Company commenced operations at a new food can plant in Dubuque, Iowa and on a new food can line in its Hanover, Pennsylvania plant. Additionally, the Company will add a third two-piece food can line to its Owatonna, Minnesota plant before the end of 2022.</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sales and segment income in Other were as follows: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99"/>
        </w:trPr>
        <w:tc>
          <w:tcPr>
            <w:tcW w:w="4620" w:type="dxa"/>
            <w:vAlign w:val="bottom"/>
          </w:tcPr>
          <w:p>
            <w:pPr>
              <w:spacing w:after="0"/>
              <w:rPr>
                <w:sz w:val="24"/>
                <w:szCs w:val="24"/>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332</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2022 compared to 2021</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primarily due to the pass-through of higher tinplate costs in the Company's North America food can, aerosol can and closures businesses in North America, partially offset by 20% lower aerosol sales unit volumes and $6 from the impact of unfavorable foreign currency translation.</w:t>
      </w:r>
    </w:p>
    <w:p>
      <w:pPr>
        <w:spacing w:after="0" w:line="211"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Segment income increased primarily due to increased profitability in the Company's North America food can, aerosol can and closures businesses due to higher self-made two-piece food can sales unit volumes, inflationary price increases and the benefit of lower cost inventory from prior year-end, partially offset by lower aerosol sales unit volumes.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2022 compared to 2021</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primarily due to the pass-through of higher tinplate costs in the Company's North America food can, aerosol can and closures businesses in North America, partially offset by 15% lower aerosol sales unit volumes and $12 from the impact of unfavorable foreign currency translation.</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Segment income increased primarily due to increased profitability in the Company's North America food can, aerosol can and closures businesses due to higher self-made two-piece food can sales unit volumes, inflationary price increases and the benefit of lower cost inventory from prior year-end partially offset by $4 from the impact of unfavorable foreign currency translation. The benefit arising from lower cost inventory from prior year-end was $35 for the nine months ended September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19"/>
        </w:trPr>
        <w:tc>
          <w:tcPr>
            <w:tcW w:w="66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8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23"/>
        </w:trPr>
        <w:tc>
          <w:tcPr>
            <w:tcW w:w="660" w:type="dxa"/>
            <w:vAlign w:val="bottom"/>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66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32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Corporate and unallocated expenses decreased for the three and nine months ended September 30, 2022 due to higher incentive compensation costs in 2021.</w:t>
      </w:r>
    </w:p>
    <w:p>
      <w:pPr>
        <w:spacing w:after="0" w:line="197"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For the nine months ended September 30, 2021, corporate and unallocated expenses included certain corporate costs, including research and development, that were not directly attributable to the Company's European Tinplate business which was sold in August 2021 and as such, could not be allocated to discontinued operations. Subsequent to the sale, the Company's corporate cost structure reflects its ongoing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Restructuring and other, net</w:t>
      </w:r>
    </w:p>
    <w:p>
      <w:pPr>
        <w:spacing w:after="0" w:line="256"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For the nine months ended September 30, 2022 the benefit from restructuring and other was primarily due to the $113 gain from the sale of the Transit Packaging segment's Kiwiplan business, partially offset by $29 of charges related to an overhead cost reduction program initiated by the Transit Packaging segment in the second quarter of 2022. The Company expects to reduce headcount by approximately 600 employees and this action to result in annual savings of approximately $60. However, there can be no assurance that any such pre-tax savings will be realized.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Loss on debt extinguishment</w:t>
      </w:r>
    </w:p>
    <w:p>
      <w:pPr>
        <w:spacing w:after="0" w:line="256" w:lineRule="exact"/>
        <w:rPr>
          <w:sz w:val="20"/>
          <w:szCs w:val="20"/>
          <w:color w:val="auto"/>
        </w:rPr>
      </w:pPr>
    </w:p>
    <w:p>
      <w:pPr>
        <w:ind w:left="660" w:right="140"/>
        <w:spacing w:after="0" w:line="249" w:lineRule="auto"/>
        <w:rPr>
          <w:sz w:val="20"/>
          <w:szCs w:val="20"/>
          <w:color w:val="auto"/>
        </w:rPr>
      </w:pPr>
      <w:r>
        <w:rPr>
          <w:rFonts w:ascii="Arial" w:cs="Arial" w:eastAsia="Arial" w:hAnsi="Arial"/>
          <w:sz w:val="18"/>
          <w:szCs w:val="18"/>
          <w:color w:val="auto"/>
        </w:rPr>
        <w:t xml:space="preserve">For the three and nine months ended September 30, 2022 the $11 loss on debt extinguishment included premium payments and the write-off of deferred financing fees related to the refinancing of the Company's revolving credit and term loan facilities and the redemption of the Company's €335 2.25% senior notes due 2023 and its €550 0.75% senior notes due 2023. See </w:t>
      </w:r>
      <w:r>
        <w:rPr>
          <w:rFonts w:ascii="Arial" w:cs="Arial" w:eastAsia="Arial" w:hAnsi="Arial"/>
          <w:sz w:val="18"/>
          <w:szCs w:val="18"/>
          <w:u w:val="single" w:color="auto"/>
          <w:color w:val="0000FF"/>
        </w:rPr>
        <w:t>Note L</w:t>
      </w:r>
      <w:r>
        <w:rPr>
          <w:rFonts w:ascii="Arial" w:cs="Arial" w:eastAsia="Arial" w:hAnsi="Arial"/>
          <w:sz w:val="18"/>
          <w:szCs w:val="18"/>
          <w:color w:val="auto"/>
        </w:rPr>
        <w:t xml:space="preserve"> for more information on the Company's refinancing actions.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4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months ended September 30, 2022 compared to 2021, interest expense increased from $66 to $76 due to higher interest rates. For the nine months ended September 30, 2022 compared to 2021, interest expense decreased from $203 to $194 due to lower outstanding debt balances partially offset by higher interest rates.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effective rate for the nine months ended September 30, 2022, decreased as compared to 2021, primarily due to prior year income tax charges of $42 for reorganizations and other transactions required to prepare the European Tinplate business for sale and an income tax charge of $40 to establish a valuation allowance for deferred tax assets related to tax loss carryforwards in France. See </w:t>
      </w:r>
      <w:r>
        <w:rPr>
          <w:rFonts w:ascii="Arial" w:cs="Arial" w:eastAsia="Arial" w:hAnsi="Arial"/>
          <w:sz w:val="18"/>
          <w:szCs w:val="18"/>
          <w:u w:val="single" w:color="auto"/>
          <w:color w:val="0000FF"/>
        </w:rPr>
        <w:t>Note C</w:t>
      </w:r>
      <w:r>
        <w:rPr>
          <w:rFonts w:ascii="Arial" w:cs="Arial" w:eastAsia="Arial" w:hAnsi="Arial"/>
          <w:sz w:val="18"/>
          <w:szCs w:val="18"/>
          <w:color w:val="auto"/>
        </w:rPr>
        <w:t xml:space="preserve"> for more information related to the sale of the European Tinplate business.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Equity in net earnings of affiliates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three and nine months ended September 30, 2022 compared to 2021, equity in net earnings of affiliates increased from $5 to $10 and $10 to $39 due to the 20% ownership interest received after the sale of Company's European Tinplate business in August 2021.</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nine months ended September 30, 2022 compared to 2021, net income from noncontrolling interests decreased from $107 to $95 primarily due to lower earnings in the Company's beverage can operations in Brazil. The nine months ended September 30, 2021 included a benefit of $30 related to a favorable court ruling in a lawsuit brought by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of the Company's Brazilian subsidiaries asserting they were overcharged by the local tax authorities for indirect taxes paid in prior years.</w:t>
      </w:r>
    </w:p>
    <w:p>
      <w:pPr>
        <w:spacing w:after="0" w:line="2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Cash provided by operating activities decreased from $245 for the nine months ended September 30, 2021 to $134 for the nine months ended September 30, 2022. The decrease in cash provided by operating activities was primarily due to increases in working capital, partially offset by higher earnings and $69 received for partial reimbursement of the contribution made in 2021 to fully settle the U.K. pension plan obligation, which is included in Pension contributions in the Consolidated Statements of Cash Flows. See </w:t>
      </w:r>
      <w:r>
        <w:rPr>
          <w:rFonts w:ascii="Arial" w:cs="Arial" w:eastAsia="Arial" w:hAnsi="Arial"/>
          <w:sz w:val="18"/>
          <w:szCs w:val="18"/>
          <w:u w:val="single" w:color="auto"/>
          <w:color w:val="0000FF"/>
        </w:rPr>
        <w:t>Note L</w:t>
      </w:r>
      <w:r>
        <w:rPr>
          <w:rFonts w:ascii="Arial" w:cs="Arial" w:eastAsia="Arial" w:hAnsi="Arial"/>
          <w:sz w:val="18"/>
          <w:szCs w:val="18"/>
          <w:color w:val="auto"/>
        </w:rPr>
        <w:t xml:space="preserve"> for more information regarding the settlement of the U.K. pension plan obligations.</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decreased from 37 days as of December 31, 2021 to 36 days as of September 30, 2022.</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Inventory turnover increased from 59 days at December 31, 2021 to 64 days at September 30, 2022. Inventory has increased from $1,735 at December 31, 2021 to $2,184 due to inventory builds in certain segments.</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outstanding for trade payables decreased from 112 days at December 31, 2021 to 93 days at September 30, 2022 as prior year included the payables impact of inventory built in anticipation of market growth.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Cash flow from investing activities decreased from an inflow of $1,791 for the nine months ended September 30, 2021 to an outflow of $412 for the nine months ended September 30, 2022 primarily due to the proceeds received from the sale of the European Tinplate business in 2021 and higher capital expenditures in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2022 to be approximately $850.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Financing activities used cash of $913 for the nine months ended September 30, 2021 and provided cash of $232 for the nine months ended September 30, 2022.</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The Company had higher net borrowings in 2022 primarily related to the refinancing of the Company's revolving credit and term loan facilities and the redemption of the Company's €335 2.25% senior notes due 2023 and its €550 0.75% senior notes due 2023. See </w:t>
      </w:r>
      <w:r>
        <w:rPr>
          <w:rFonts w:ascii="Arial" w:cs="Arial" w:eastAsia="Arial" w:hAnsi="Arial"/>
          <w:sz w:val="18"/>
          <w:szCs w:val="18"/>
          <w:u w:val="single" w:color="auto"/>
          <w:color w:val="0000FF"/>
        </w:rPr>
        <w:t>Note L</w:t>
      </w:r>
      <w:r>
        <w:rPr>
          <w:rFonts w:ascii="Arial" w:cs="Arial" w:eastAsia="Arial" w:hAnsi="Arial"/>
          <w:sz w:val="18"/>
          <w:szCs w:val="18"/>
          <w:color w:val="auto"/>
        </w:rPr>
        <w:t xml:space="preserve"> for more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As of September 30, 2022, $307 of the Company's $368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$249 was held by subsidiaries for which earnings are considered indefinitely reinvested.</w:t>
      </w:r>
    </w:p>
    <w:p>
      <w:pPr>
        <w:spacing w:after="0" w:line="198"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As of September 30, 2022, the Company had $1,159 of borrowing capacity available under its revolving credit facility, equal to the total facility of $1,650 less outstanding standby letters of credit of $70 and $421 of credit facility borrowings. The Company could have borrowed this amount at September 30, 2022 and still have been in compliance with its leverage ratio covenants. The Company's net total leverage ratio, as defined by the credit agreement, of 3.2 to 1.0 at September 30, 2022 was in compliance with the covenant requiring a ratio of no greater than 5.0 to 1.0. The maximum net total leverage ratio under the agreement reduces to 4.5 to 1.0 at December 31, 2023.</w:t>
      </w:r>
    </w:p>
    <w:p>
      <w:pPr>
        <w:spacing w:after="0" w:line="20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2022, the Company amended its securitization facility to increase the program limit from $500 to $700. This securitization facility expires in July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2022, the Company had approximately $270 of capital commitments primarily related to its global beverage can businesses.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fund these commitments primarily through cash flows from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2021,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w:t>
      </w:r>
    </w:p>
    <w:p>
      <w:pPr>
        <w:spacing w:after="0" w:line="1"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0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Crown Cork Obligor Group</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76"/>
        </w:trPr>
        <w:tc>
          <w:tcPr>
            <w:tcW w:w="200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20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6"/>
              </w:rPr>
              <w:t>September 30, 2022</w:t>
            </w:r>
          </w:p>
        </w:tc>
      </w:tr>
      <w:tr>
        <w:trPr>
          <w:trHeight w:val="22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8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Includes $30 of expense related to intercompany interest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September 30, 2022</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w w:val="96"/>
              </w:rPr>
              <w:t>December 31, 2021</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414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6,078</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5,286</w:t>
            </w:r>
          </w:p>
        </w:tc>
      </w:tr>
    </w:tbl>
    <w:p>
      <w:pPr>
        <w:ind w:left="660"/>
        <w:spacing w:after="0"/>
        <w:rPr>
          <w:sz w:val="20"/>
          <w:szCs w:val="20"/>
          <w:color w:val="auto"/>
        </w:rPr>
      </w:pPr>
      <w:r>
        <w:rPr>
          <w:rFonts w:ascii="Arial" w:cs="Arial" w:eastAsia="Arial" w:hAnsi="Arial"/>
          <w:sz w:val="14"/>
          <w:szCs w:val="14"/>
          <w:color w:val="auto"/>
        </w:rPr>
        <w:t>(1) Includes payables of $5,231 and $4,560 due to non-guarantor subsidiaries as of September 30, 2022 and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Crown Americas Obligor Group</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9"/>
        </w:trPr>
        <w:tc>
          <w:tcPr>
            <w:tcW w:w="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660" w:type="dxa"/>
            <w:vAlign w:val="bottom"/>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September 30, 2022</w:t>
            </w:r>
          </w:p>
        </w:tc>
      </w:tr>
      <w:tr>
        <w:trPr>
          <w:trHeight w:val="223"/>
        </w:trPr>
        <w:tc>
          <w:tcPr>
            <w:tcW w:w="660" w:type="dxa"/>
            <w:vAlign w:val="bottom"/>
          </w:tcPr>
          <w:p>
            <w:pPr>
              <w:spacing w:after="0"/>
              <w:rPr>
                <w:sz w:val="19"/>
                <w:szCs w:val="19"/>
                <w:color w:val="auto"/>
              </w:rPr>
            </w:pPr>
          </w:p>
        </w:tc>
        <w:tc>
          <w:tcPr>
            <w:tcW w:w="45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29"/>
        </w:trPr>
        <w:tc>
          <w:tcPr>
            <w:tcW w:w="660" w:type="dxa"/>
            <w:vAlign w:val="bottom"/>
          </w:tcPr>
          <w:p>
            <w:pPr>
              <w:spacing w:after="0"/>
              <w:rPr>
                <w:sz w:val="19"/>
                <w:szCs w:val="19"/>
                <w:color w:val="auto"/>
              </w:rPr>
            </w:pPr>
          </w:p>
        </w:tc>
        <w:tc>
          <w:tcPr>
            <w:tcW w:w="4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660" w:type="dxa"/>
            <w:vAlign w:val="bottom"/>
          </w:tcPr>
          <w:p>
            <w:pPr>
              <w:spacing w:after="0"/>
              <w:rPr>
                <w:sz w:val="19"/>
                <w:szCs w:val="19"/>
                <w:color w:val="auto"/>
              </w:rPr>
            </w:pPr>
          </w:p>
        </w:tc>
        <w:tc>
          <w:tcPr>
            <w:tcW w:w="4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660" w:type="dxa"/>
            <w:vAlign w:val="bottom"/>
          </w:tcPr>
          <w:p>
            <w:pPr>
              <w:spacing w:after="0"/>
              <w:rPr>
                <w:sz w:val="19"/>
                <w:szCs w:val="19"/>
                <w:color w:val="auto"/>
              </w:rPr>
            </w:pPr>
          </w:p>
        </w:tc>
        <w:tc>
          <w:tcPr>
            <w:tcW w:w="4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attributable to continuing operations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660" w:type="dxa"/>
            <w:vAlign w:val="bottom"/>
          </w:tcPr>
          <w:p>
            <w:pPr>
              <w:spacing w:after="0"/>
              <w:rPr>
                <w:sz w:val="19"/>
                <w:szCs w:val="19"/>
                <w:color w:val="auto"/>
              </w:rPr>
            </w:pPr>
          </w:p>
        </w:tc>
        <w:tc>
          <w:tcPr>
            <w:tcW w:w="4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bl>
    <w:p>
      <w:pPr>
        <w:spacing w:after="0" w:line="76" w:lineRule="exact"/>
        <w:rPr>
          <w:sz w:val="20"/>
          <w:szCs w:val="20"/>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$404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$40 of gross profit related to sales to non-guarantor subsidiaries</w:t>
      </w:r>
    </w:p>
    <w:p>
      <w:pPr>
        <w:spacing w:after="0" w:line="9"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$23 of income related to intercompany interest and technology royalties with non-guarantor subsidiaries</w:t>
      </w:r>
    </w:p>
    <w:p>
      <w:pPr>
        <w:spacing w:after="0" w:line="200" w:lineRule="exact"/>
        <w:rPr>
          <w:sz w:val="20"/>
          <w:szCs w:val="20"/>
          <w:color w:val="auto"/>
        </w:rPr>
      </w:pP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September 30, 2022</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2021</w:t>
            </w:r>
          </w:p>
        </w:tc>
      </w:tr>
      <w:tr>
        <w:trPr>
          <w:trHeight w:val="223"/>
        </w:trPr>
        <w:tc>
          <w:tcPr>
            <w:tcW w:w="44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3,825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3,495</w:t>
            </w: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304"/>
        </w:trPr>
        <w:tc>
          <w:tcPr>
            <w:tcW w:w="444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2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6,183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4,761</w:t>
            </w:r>
          </w:p>
        </w:tc>
      </w:tr>
    </w:tbl>
    <w:p>
      <w:pPr>
        <w:spacing w:after="0" w:line="1" w:lineRule="exact"/>
        <w:rPr>
          <w:sz w:val="20"/>
          <w:szCs w:val="20"/>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receivables of $54 and $48 due from non-guarantor subsidiaries as of September 30, 2022 and December 31, 2021</w:t>
      </w:r>
    </w:p>
    <w:p>
      <w:pPr>
        <w:spacing w:after="0" w:line="21"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receivables of $283 and $180 due from non-guarantor subsidiaries as of September 30, 2022 and December 31, 2021</w:t>
      </w:r>
    </w:p>
    <w:p>
      <w:pPr>
        <w:spacing w:after="0" w:line="6"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payables of $34 and $35 due to non-guarantor subsidiaries as of September 30, 2022 and December 31, 2021</w:t>
      </w:r>
    </w:p>
    <w:p>
      <w:pPr>
        <w:spacing w:after="0" w:line="9"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payables of $1281 and $1,397 due to non-guarantor subsidiaries as of September 30, 2022 and December 31, 2021</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2021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 xml:space="preserve">Statements included herein, including, but not limited to, those in “Management's Discussion and Analysis of Financial Condition and Results of Operations” and in the discussions of asbestos in </w:t>
      </w:r>
      <w:r>
        <w:rPr>
          <w:rFonts w:ascii="Arial" w:cs="Arial" w:eastAsia="Arial" w:hAnsi="Arial"/>
          <w:sz w:val="17"/>
          <w:szCs w:val="17"/>
          <w:u w:val="single" w:color="auto"/>
          <w:color w:val="0000FF"/>
        </w:rPr>
        <w:t>Note I</w:t>
      </w:r>
      <w:r>
        <w:rPr>
          <w:rFonts w:ascii="Arial" w:cs="Arial" w:eastAsia="Arial" w:hAnsi="Arial"/>
          <w:sz w:val="17"/>
          <w:szCs w:val="17"/>
          <w:color w:val="auto"/>
        </w:rPr>
        <w:t xml:space="preserve"> and commitments and contingencies in </w:t>
      </w:r>
      <w:r>
        <w:rPr>
          <w:rFonts w:ascii="Arial" w:cs="Arial" w:eastAsia="Arial" w:hAnsi="Arial"/>
          <w:sz w:val="17"/>
          <w:szCs w:val="17"/>
          <w:u w:val="single" w:color="auto"/>
          <w:color w:val="0000FF"/>
        </w:rPr>
        <w:t>Note J</w:t>
      </w:r>
      <w:r>
        <w:rPr>
          <w:rFonts w:ascii="Arial" w:cs="Arial" w:eastAsia="Arial" w:hAnsi="Arial"/>
          <w:sz w:val="17"/>
          <w:szCs w:val="17"/>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2021, which are not historical facts (including any statements concerning the direct or indirect impact of the COVID-19 pandemic and the Russia-Ukraine war, objectives of management for capacity additions, share repurchases, dividends, future operations or economic performance, or assumptions related thereto, including the potential for higher interest rates and energy prices), are “forward-looking statements” within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meaning of the federal securities laws. In addition, the Company and its representatives may, from time to time, make oral or written statements which are also “forward-looking statements.”</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2021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2022, see </w:t>
      </w:r>
      <w:r>
        <w:rPr>
          <w:rFonts w:ascii="Arial" w:cs="Arial" w:eastAsia="Arial" w:hAnsi="Arial"/>
          <w:sz w:val="17"/>
          <w:szCs w:val="17"/>
          <w:u w:val="single" w:color="auto"/>
          <w:color w:val="0000FF"/>
        </w:rPr>
        <w:t>Note K</w:t>
      </w:r>
      <w:r>
        <w:rPr>
          <w:rFonts w:ascii="Arial" w:cs="Arial" w:eastAsia="Arial" w:hAnsi="Arial"/>
          <w:sz w:val="17"/>
          <w:szCs w:val="17"/>
          <w:color w:val="auto"/>
        </w:rPr>
        <w:t xml:space="preserve"> to the consolidated financial statements included in this Quarterly Report on Form 10-Q.</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September 30, 2022, the Company had $2.9 billion principal floating interest rate debt. A change of 0.25% in these floating interest rates would change annual interest expense by approximately $7 million before tax.</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For information regarding the Company's potential asbestos-related liabilities and other litigation, see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entitled “Asbestos-Related Liabilities” and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2021.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the Company's purchases of equity securities during the three months ended September 30, 2022.</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excludes 66,104 shares surrendered to cover taxes on the vesting of restricted stock during the three months ended September 30, 2022.</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9"/>
              </w:rPr>
              <w:t>Average</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Pr>
          <w:p>
            <w:pPr>
              <w:jc w:val="right"/>
              <w:ind w:right="50"/>
              <w:spacing w:after="0"/>
              <w:rPr>
                <w:sz w:val="20"/>
                <w:szCs w:val="20"/>
                <w:color w:val="auto"/>
              </w:rPr>
            </w:pPr>
            <w:r>
              <w:rPr>
                <w:rFonts w:ascii="Arial" w:cs="Arial" w:eastAsia="Arial" w:hAnsi="Arial"/>
                <w:sz w:val="18"/>
                <w:szCs w:val="18"/>
                <w:color w:val="auto"/>
                <w:w w:val="90"/>
              </w:rPr>
              <w:t>Approximate dollar value of shares that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as part of</w:t>
            </w:r>
          </w:p>
        </w:tc>
        <w:tc>
          <w:tcPr>
            <w:tcW w:w="220" w:type="dxa"/>
            <w:vAlign w:val="bottom"/>
          </w:tcPr>
          <w:p>
            <w:pPr>
              <w:spacing w:after="0"/>
              <w:rPr>
                <w:sz w:val="15"/>
                <w:szCs w:val="15"/>
                <w:color w:val="auto"/>
              </w:rPr>
            </w:pPr>
          </w:p>
        </w:tc>
        <w:tc>
          <w:tcPr>
            <w:tcW w:w="312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0"/>
              </w:rPr>
              <w:t>may yet be purchased under the programs</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w w:val="96"/>
              </w:rPr>
              <w:t>Total 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line="189" w:lineRule="exact"/>
              <w:rPr>
                <w:sz w:val="20"/>
                <w:szCs w:val="20"/>
                <w:color w:val="auto"/>
              </w:rPr>
            </w:pPr>
            <w:r>
              <w:rPr>
                <w:rFonts w:ascii="Arial" w:cs="Arial" w:eastAsia="Arial" w:hAnsi="Arial"/>
                <w:sz w:val="18"/>
                <w:szCs w:val="18"/>
                <w:color w:val="auto"/>
                <w:w w:val="91"/>
              </w:rPr>
              <w:t>price per</w:t>
            </w: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Pr>
          <w:p>
            <w:pPr>
              <w:jc w:val="right"/>
              <w:ind w:right="550"/>
              <w:spacing w:after="0" w:line="189" w:lineRule="exact"/>
              <w:rPr>
                <w:sz w:val="20"/>
                <w:szCs w:val="20"/>
                <w:color w:val="auto"/>
              </w:rPr>
            </w:pPr>
            <w:r>
              <w:rPr>
                <w:rFonts w:ascii="Arial" w:cs="Arial" w:eastAsia="Arial" w:hAnsi="Arial"/>
                <w:sz w:val="18"/>
                <w:szCs w:val="18"/>
                <w:color w:val="auto"/>
              </w:rPr>
              <w:t>as of the end of the period</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8"/>
              </w:rPr>
              <w:t>shares purchased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share</w:t>
            </w:r>
          </w:p>
        </w:tc>
        <w:tc>
          <w:tcPr>
            <w:tcW w:w="2020" w:type="dxa"/>
            <w:vAlign w:val="bottom"/>
          </w:tcPr>
          <w:p>
            <w:pPr>
              <w:jc w:val="center"/>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right"/>
              <w:ind w:right="750"/>
              <w:spacing w:after="0"/>
              <w:rPr>
                <w:sz w:val="20"/>
                <w:szCs w:val="20"/>
                <w:color w:val="auto"/>
              </w:rPr>
            </w:pPr>
            <w:r>
              <w:rPr>
                <w:rFonts w:ascii="Arial" w:cs="Arial" w:eastAsia="Arial" w:hAnsi="Arial"/>
                <w:sz w:val="18"/>
                <w:szCs w:val="18"/>
                <w:color w:val="auto"/>
              </w:rPr>
              <w:t>(millions of 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Arial" w:cs="Arial" w:eastAsia="Arial" w:hAnsi="Arial"/>
                <w:sz w:val="18"/>
                <w:szCs w:val="18"/>
                <w:color w:val="auto"/>
              </w:rPr>
              <w:t>August</w:t>
            </w:r>
          </w:p>
        </w:tc>
        <w:tc>
          <w:tcPr>
            <w:tcW w:w="1320" w:type="dxa"/>
            <w:vAlign w:val="bottom"/>
          </w:tcPr>
          <w:p>
            <w:pPr>
              <w:jc w:val="right"/>
              <w:spacing w:after="0"/>
              <w:rPr>
                <w:sz w:val="20"/>
                <w:szCs w:val="20"/>
                <w:color w:val="auto"/>
              </w:rPr>
            </w:pPr>
            <w:r>
              <w:rPr>
                <w:rFonts w:ascii="Arial" w:cs="Arial" w:eastAsia="Arial" w:hAnsi="Arial"/>
                <w:sz w:val="18"/>
                <w:szCs w:val="18"/>
                <w:color w:val="auto"/>
              </w:rPr>
              <w:t>1,193,700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96.79</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1,193,700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1,193,700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1,193,700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660" w:hanging="4"/>
        <w:spacing w:after="0" w:line="263" w:lineRule="auto"/>
        <w:tabs>
          <w:tab w:leader="none" w:pos="9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December 2021, the Company's Board of Directors authorized the repurchase of an aggregate amount of $3.0 billion of Company common stock through the end of 2024. Share repurchases under the Company's program may be made in the open market or through privately negotiated transactions, and at times and in such amounts as management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nine months ended September 30, 2022.</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9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10.p</w:t>
      </w:r>
      <w:r>
        <w:rPr>
          <w:sz w:val="20"/>
          <w:szCs w:val="20"/>
          <w:color w:val="auto"/>
        </w:rPr>
        <w:tab/>
      </w:r>
      <w:r>
        <w:rPr>
          <w:rFonts w:ascii="Arial" w:cs="Arial" w:eastAsia="Arial" w:hAnsi="Arial"/>
          <w:sz w:val="16"/>
          <w:szCs w:val="16"/>
          <w:u w:val="single" w:color="auto"/>
          <w:color w:val="0000FF"/>
        </w:rPr>
        <w:t>Executive Employment Agreement, effective 25 October, 2022, between Crown Holdings, Inc. and Matthew R. Madeksza</w:t>
      </w:r>
    </w:p>
    <w:p>
      <w:pPr>
        <w:spacing w:after="0" w:line="225" w:lineRule="exact"/>
        <w:rPr>
          <w:sz w:val="20"/>
          <w:szCs w:val="20"/>
          <w:color w:val="auto"/>
        </w:rPr>
      </w:pPr>
    </w:p>
    <w:p>
      <w:pPr>
        <w:ind w:left="980" w:hanging="95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FF"/>
        </w:rPr>
        <w:t>List of Guarantor Subsidiaries</w:t>
      </w:r>
    </w:p>
    <w:p>
      <w:pPr>
        <w:spacing w:after="0" w:line="198" w:lineRule="exact"/>
        <w:rPr>
          <w:sz w:val="20"/>
          <w:szCs w:val="20"/>
          <w:color w:val="auto"/>
        </w:rPr>
      </w:pPr>
    </w:p>
    <w:p>
      <w:pPr>
        <w:ind w:left="980" w:right="1080" w:hanging="957"/>
        <w:spacing w:after="0" w:line="277" w:lineRule="auto"/>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57" w:lineRule="exact"/>
        <w:rPr>
          <w:sz w:val="20"/>
          <w:szCs w:val="20"/>
          <w:color w:val="auto"/>
        </w:rPr>
      </w:pPr>
    </w:p>
    <w:p>
      <w:pPr>
        <w:ind w:left="980" w:right="1060" w:hanging="957"/>
        <w:spacing w:after="0" w:line="277" w:lineRule="auto"/>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70" w:lineRule="exact"/>
        <w:rPr>
          <w:sz w:val="20"/>
          <w:szCs w:val="20"/>
          <w:color w:val="auto"/>
        </w:rPr>
      </w:pPr>
    </w:p>
    <w:p>
      <w:pPr>
        <w:jc w:val="both"/>
        <w:ind w:left="980" w:right="1060" w:hanging="95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70" w:lineRule="exact"/>
        <w:rPr>
          <w:sz w:val="20"/>
          <w:szCs w:val="20"/>
          <w:color w:val="auto"/>
        </w:rPr>
      </w:pPr>
    </w:p>
    <w:p>
      <w:pPr>
        <w:jc w:val="both"/>
        <w:ind w:left="980" w:right="1060" w:hanging="954"/>
        <w:spacing w:after="0" w:line="272"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September 30, 2022 formatted in inline XBRL (eXtensible Business Reporting Language): (i) Consolidated Statements of Operations for the three and nine months ended September 30, 2022 and 2021, (ii) Consolidated Statements of Comprehensive Income for the three and nine months ended September 30, 2022 and 2021, (iii) Consolidated Balance Sheets as of September 30, 2022 and December 31, 2021, (iv) Consolidated Statements of Cash Flows for the nine months ended September 30, 2022 and 2021, (v) Consolidated Statements of Changes in Equity for the three and nine months ended September 30, 2022 and 2021 and (vi) Notes to Consolidated Financial Statements.</w:t>
      </w:r>
    </w:p>
    <w:p>
      <w:pPr>
        <w:spacing w:after="0" w:line="15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650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8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Christy L. Kalaus</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Christy L. Kalaus</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1" w:right="3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22"/>
          <w:szCs w:val="22"/>
          <w:u w:val="single" w:color="auto"/>
          <w:color w:val="auto"/>
        </w:rPr>
        <w:t>EXECUTIVE EMPLOYMENT AGREEMENT</w:t>
      </w:r>
    </w:p>
    <w:p>
      <w:pPr>
        <w:spacing w:after="0" w:line="233" w:lineRule="exact"/>
        <w:rPr>
          <w:sz w:val="20"/>
          <w:szCs w:val="20"/>
          <w:color w:val="auto"/>
        </w:rPr>
      </w:pPr>
    </w:p>
    <w:p>
      <w:pPr>
        <w:ind w:right="400" w:firstLine="1296"/>
        <w:spacing w:after="0"/>
        <w:rPr>
          <w:sz w:val="20"/>
          <w:szCs w:val="20"/>
          <w:color w:val="auto"/>
        </w:rPr>
      </w:pPr>
      <w:r>
        <w:rPr>
          <w:rFonts w:ascii="Arial" w:cs="Arial" w:eastAsia="Arial" w:hAnsi="Arial"/>
          <w:sz w:val="22"/>
          <w:szCs w:val="22"/>
          <w:color w:val="auto"/>
        </w:rPr>
        <w:t>THIS IS AN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effective 25 October, 2022,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Crown Holdings, Inc. (“</w:t>
      </w:r>
      <w:r>
        <w:rPr>
          <w:rFonts w:ascii="Arial" w:cs="Arial" w:eastAsia="Arial" w:hAnsi="Arial"/>
          <w:sz w:val="22"/>
          <w:szCs w:val="22"/>
          <w:u w:val="single" w:color="auto"/>
          <w:color w:val="auto"/>
        </w:rPr>
        <w:t>Crown</w:t>
      </w:r>
      <w:r>
        <w:rPr>
          <w:rFonts w:ascii="Arial" w:cs="Arial" w:eastAsia="Arial" w:hAnsi="Arial"/>
          <w:sz w:val="22"/>
          <w:szCs w:val="22"/>
          <w:color w:val="auto"/>
        </w:rPr>
        <w:t>” and, with its subsidiaries, the “</w:t>
      </w:r>
      <w:r>
        <w:rPr>
          <w:rFonts w:ascii="Arial" w:cs="Arial" w:eastAsia="Arial" w:hAnsi="Arial"/>
          <w:sz w:val="22"/>
          <w:szCs w:val="22"/>
          <w:u w:val="single" w:color="auto"/>
          <w:color w:val="auto"/>
        </w:rPr>
        <w:t>Company</w:t>
      </w:r>
      <w:r>
        <w:rPr>
          <w:rFonts w:ascii="Arial" w:cs="Arial" w:eastAsia="Arial" w:hAnsi="Arial"/>
          <w:sz w:val="22"/>
          <w:szCs w:val="22"/>
          <w:color w:val="auto"/>
        </w:rPr>
        <w:t>”) and Matthew R. Madeksza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Background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Executive is currently employed by the Company.</w:t>
      </w:r>
    </w:p>
    <w:p>
      <w:pPr>
        <w:spacing w:after="0" w:line="220" w:lineRule="exact"/>
        <w:rPr>
          <w:sz w:val="20"/>
          <w:szCs w:val="20"/>
          <w:color w:val="auto"/>
        </w:rPr>
      </w:pPr>
    </w:p>
    <w:p>
      <w:pPr>
        <w:ind w:right="800" w:firstLine="1296"/>
        <w:spacing w:after="0" w:line="328" w:lineRule="auto"/>
        <w:rPr>
          <w:sz w:val="20"/>
          <w:szCs w:val="20"/>
          <w:color w:val="auto"/>
        </w:rPr>
      </w:pPr>
      <w:r>
        <w:rPr>
          <w:rFonts w:ascii="Arial" w:cs="Arial" w:eastAsia="Arial" w:hAnsi="Arial"/>
          <w:sz w:val="19"/>
          <w:szCs w:val="19"/>
          <w:color w:val="auto"/>
        </w:rPr>
        <w:t>WHEREAS, the Company desires to assure itself of the continued employment of the Executive with the Company and to encourage his continued attention and dedication to the best interests of the Company.</w:t>
      </w:r>
    </w:p>
    <w:p>
      <w:pPr>
        <w:spacing w:after="0" w:line="132"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WHEREAS, the Executive desires to remain and continue in the employment of the Company in accordance with the terms of this Agreement.</w:t>
      </w:r>
    </w:p>
    <w:p>
      <w:pPr>
        <w:spacing w:after="0" w:line="20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NOW, THEREFORE, in consideration of the promises and mutual covenants contained herein and intending to be legally bound hereby, the parties agree as follows: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Terms</w:t>
      </w:r>
    </w:p>
    <w:p>
      <w:pPr>
        <w:spacing w:after="0" w:line="233"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meanings set forth below:</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20" w:type="dxa"/>
            <w:vAlign w:val="bottom"/>
          </w:tcPr>
          <w:p>
            <w:pPr>
              <w:jc w:val="right"/>
              <w:spacing w:after="0"/>
              <w:rPr>
                <w:sz w:val="20"/>
                <w:szCs w:val="20"/>
                <w:color w:val="auto"/>
              </w:rPr>
            </w:pPr>
            <w:r>
              <w:rPr>
                <w:rFonts w:ascii="Arial" w:cs="Arial" w:eastAsia="Arial" w:hAnsi="Arial"/>
                <w:sz w:val="22"/>
                <w:szCs w:val="22"/>
                <w:color w:val="auto"/>
                <w:w w:val="81"/>
              </w:rPr>
              <w:t>1.1.</w:t>
            </w:r>
          </w:p>
        </w:tc>
        <w:tc>
          <w:tcPr>
            <w:tcW w:w="6940" w:type="dxa"/>
            <w:vAlign w:val="bottom"/>
            <w:gridSpan w:val="3"/>
          </w:tcPr>
          <w:p>
            <w:pPr>
              <w:ind w:left="120"/>
              <w:spacing w:after="0"/>
              <w:rPr>
                <w:sz w:val="20"/>
                <w:szCs w:val="20"/>
                <w:color w:val="auto"/>
              </w:rPr>
            </w:pPr>
            <w:r>
              <w:rPr>
                <w:rFonts w:ascii="Arial" w:cs="Arial" w:eastAsia="Arial" w:hAnsi="Arial"/>
                <w:sz w:val="22"/>
                <w:szCs w:val="22"/>
                <w:color w:val="auto"/>
              </w:rPr>
              <w:t>“Board” shall mean the Board of Directors of Crown.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w w:val="81"/>
              </w:rPr>
              <w:t>1.2.</w:t>
            </w: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80" w:type="dxa"/>
            <w:vAlign w:val="bottom"/>
            <w:vMerge w:val="restart"/>
          </w:tcPr>
          <w:p>
            <w:pPr>
              <w:ind w:left="240"/>
              <w:spacing w:after="0" w:line="243" w:lineRule="exact"/>
              <w:rPr>
                <w:sz w:val="20"/>
                <w:szCs w:val="20"/>
                <w:color w:val="auto"/>
              </w:rPr>
            </w:pPr>
            <w:r>
              <w:rPr>
                <w:rFonts w:ascii="Arial" w:cs="Arial" w:eastAsia="Arial" w:hAnsi="Arial"/>
                <w:sz w:val="22"/>
                <w:szCs w:val="22"/>
                <w:color w:val="auto"/>
                <w:w w:val="86"/>
              </w:rPr>
              <w:t>Company as a result of:</w:t>
            </w:r>
          </w:p>
        </w:tc>
        <w:tc>
          <w:tcPr>
            <w:tcW w:w="0" w:type="dxa"/>
            <w:vAlign w:val="bottom"/>
          </w:tcPr>
          <w:p>
            <w:pPr>
              <w:spacing w:after="0" w:line="20" w:lineRule="exact"/>
              <w:rPr>
                <w:sz w:val="1"/>
                <w:szCs w:val="1"/>
                <w:color w:val="auto"/>
              </w:rPr>
            </w:pPr>
          </w:p>
        </w:tc>
      </w:tr>
      <w:tr>
        <w:trPr>
          <w:trHeight w:val="223"/>
        </w:trPr>
        <w:tc>
          <w:tcPr>
            <w:tcW w:w="420" w:type="dxa"/>
            <w:vAlign w:val="bottom"/>
            <w:vMerge w:val="continue"/>
          </w:tcPr>
          <w:p>
            <w:pPr>
              <w:spacing w:after="0"/>
              <w:rPr>
                <w:sz w:val="19"/>
                <w:szCs w:val="19"/>
                <w:color w:val="auto"/>
              </w:rPr>
            </w:pPr>
          </w:p>
        </w:tc>
        <w:tc>
          <w:tcPr>
            <w:tcW w:w="6940" w:type="dxa"/>
            <w:vAlign w:val="bottom"/>
            <w:gridSpan w:val="3"/>
          </w:tcPr>
          <w:p>
            <w:pPr>
              <w:ind w:left="120"/>
              <w:spacing w:after="0" w:line="223" w:lineRule="exact"/>
              <w:rPr>
                <w:sz w:val="20"/>
                <w:szCs w:val="20"/>
                <w:color w:val="auto"/>
              </w:rPr>
            </w:pPr>
            <w:r>
              <w:rPr>
                <w:rFonts w:ascii="Arial" w:cs="Arial" w:eastAsia="Arial" w:hAnsi="Arial"/>
                <w:sz w:val="22"/>
                <w:szCs w:val="22"/>
                <w:color w:val="auto"/>
                <w:w w:val="93"/>
              </w:rPr>
              <w:t>“Cause” shall mean the termination of the Executive’s employment with the</w:t>
            </w: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right="140" w:firstLine="1304"/>
        <w:spacing w:after="0" w:line="313" w:lineRule="auto"/>
        <w:tabs>
          <w:tab w:leader="none" w:pos="1932"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Executive’s willful failure to perform such services as may be reasonably delegated or assigned to the Executive by the Board, Crown’s Chief Executive Officer or any other executive to whom the Executive reports;</w:t>
      </w:r>
    </w:p>
    <w:p>
      <w:pPr>
        <w:spacing w:after="0" w:line="145" w:lineRule="exact"/>
        <w:rPr>
          <w:rFonts w:ascii="Arial" w:cs="Arial" w:eastAsia="Arial" w:hAnsi="Arial"/>
          <w:sz w:val="19"/>
          <w:szCs w:val="19"/>
          <w:color w:val="auto"/>
        </w:rPr>
      </w:pPr>
    </w:p>
    <w:p>
      <w:pPr>
        <w:ind w:right="280" w:firstLine="1304"/>
        <w:spacing w:after="0" w:line="328" w:lineRule="auto"/>
        <w:tabs>
          <w:tab w:leader="none" w:pos="1944"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failure by the Executive to devote his full-time best effort to the performance of his duties under the Agreement (other than any such failure resulting from the Executive’s incapacity due to physical or mental illness);</w:t>
      </w:r>
    </w:p>
    <w:p>
      <w:pPr>
        <w:spacing w:after="0" w:line="131" w:lineRule="exact"/>
        <w:rPr>
          <w:rFonts w:ascii="Arial" w:cs="Arial" w:eastAsia="Arial" w:hAnsi="Arial"/>
          <w:sz w:val="19"/>
          <w:szCs w:val="19"/>
          <w:color w:val="auto"/>
        </w:rPr>
      </w:pPr>
    </w:p>
    <w:p>
      <w:pPr>
        <w:ind w:left="1940" w:hanging="636"/>
        <w:spacing w:after="0"/>
        <w:tabs>
          <w:tab w:leader="none" w:pos="19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breach by the Executive of any provision of Sections 6, 7, 8 or 9 hereof;</w:t>
      </w:r>
    </w:p>
    <w:p>
      <w:pPr>
        <w:spacing w:after="0" w:line="233" w:lineRule="exact"/>
        <w:rPr>
          <w:rFonts w:ascii="Arial" w:cs="Arial" w:eastAsia="Arial" w:hAnsi="Arial"/>
          <w:sz w:val="22"/>
          <w:szCs w:val="22"/>
          <w:color w:val="auto"/>
        </w:rPr>
      </w:pPr>
    </w:p>
    <w:p>
      <w:pPr>
        <w:ind w:right="700" w:firstLine="1304"/>
        <w:spacing w:after="0" w:line="250" w:lineRule="auto"/>
        <w:tabs>
          <w:tab w:leader="none" w:pos="194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willful engaging by the Executive in misconduct which is materially injurious to the Company, monetarily or otherwise; or</w:t>
      </w:r>
    </w:p>
    <w:p>
      <w:pPr>
        <w:spacing w:after="0" w:line="201" w:lineRule="exact"/>
        <w:rPr>
          <w:rFonts w:ascii="Arial" w:cs="Arial" w:eastAsia="Arial" w:hAnsi="Arial"/>
          <w:sz w:val="22"/>
          <w:szCs w:val="22"/>
          <w:color w:val="auto"/>
        </w:rPr>
      </w:pPr>
    </w:p>
    <w:p>
      <w:pPr>
        <w:ind w:left="1940" w:hanging="636"/>
        <w:spacing w:after="0"/>
        <w:tabs>
          <w:tab w:leader="none" w:pos="19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the Executive’s conviction of, or a plea of </w:t>
      </w:r>
      <w:r>
        <w:rPr>
          <w:rFonts w:ascii="Arial" w:cs="Arial" w:eastAsia="Arial" w:hAnsi="Arial"/>
          <w:sz w:val="21"/>
          <w:szCs w:val="21"/>
          <w:u w:val="single" w:color="auto"/>
          <w:color w:val="auto"/>
        </w:rPr>
        <w:t>nolo contendere</w:t>
      </w:r>
      <w:r>
        <w:rPr>
          <w:rFonts w:ascii="Arial" w:cs="Arial" w:eastAsia="Arial" w:hAnsi="Arial"/>
          <w:sz w:val="21"/>
          <w:szCs w:val="21"/>
          <w:color w:val="auto"/>
        </w:rPr>
        <w:t xml:space="preserve"> to, a felony or a crime involving moral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turpitude.</w:t>
      </w:r>
    </w:p>
    <w:p>
      <w:pPr>
        <w:spacing w:after="0" w:line="2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any of the following events:</w:t>
      </w:r>
    </w:p>
    <w:p>
      <w:pPr>
        <w:sectPr>
          <w:pgSz w:w="11900" w:h="16838" w:orient="portrait"/>
          <w:cols w:equalWidth="0" w:num="1">
            <w:col w:w="11180"/>
          </w:cols>
          <w:pgMar w:left="320" w:top="1414" w:right="399" w:bottom="1440" w:gutter="0" w:footer="0" w:header="0"/>
        </w:sectPr>
      </w:pPr>
    </w:p>
    <w:bookmarkStart w:id="39" w:name="page40"/>
    <w:bookmarkEnd w:id="39"/>
    <w:p>
      <w:pPr>
        <w:spacing w:after="0" w:line="218" w:lineRule="exact"/>
        <w:rPr>
          <w:sz w:val="20"/>
          <w:szCs w:val="20"/>
          <w:color w:val="auto"/>
        </w:rPr>
      </w:pPr>
    </w:p>
    <w:p>
      <w:pPr>
        <w:ind w:right="280" w:firstLine="1304"/>
        <w:spacing w:after="0" w:line="235" w:lineRule="auto"/>
        <w:tabs>
          <w:tab w:leader="none" w:pos="1932"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“person” (as such term is used in Sections 13(d) and 14(d)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other than a trustee or other fiduciary holding securities under an employee benefit plan of the Company or a corporation owned, directly or indirectly, by the stockholders of Crown in substantially the same proportions as their ownership of stock of Crown, is or becomes the “beneficial owner” (as defined in Rule 13d-3 under the Exchange Act), directly or indirectly, of securities of Crown representing 50% or more of the combined voting power of Crown’s then outstanding securities; or</w:t>
      </w:r>
    </w:p>
    <w:p>
      <w:pPr>
        <w:spacing w:after="0" w:line="201" w:lineRule="exact"/>
        <w:rPr>
          <w:rFonts w:ascii="Arial" w:cs="Arial" w:eastAsia="Arial" w:hAnsi="Arial"/>
          <w:sz w:val="22"/>
          <w:szCs w:val="22"/>
          <w:color w:val="auto"/>
        </w:rPr>
      </w:pPr>
    </w:p>
    <w:p>
      <w:pPr>
        <w:ind w:right="20" w:firstLine="1304"/>
        <w:spacing w:after="0" w:line="248" w:lineRule="auto"/>
        <w:tabs>
          <w:tab w:leader="none" w:pos="1944" w:val="left"/>
        </w:tabs>
        <w:numPr>
          <w:ilvl w:val="0"/>
          <w:numId w:val="25"/>
        </w:numPr>
        <w:rPr>
          <w:rFonts w:ascii="Arial" w:cs="Arial" w:eastAsia="Arial" w:hAnsi="Arial"/>
          <w:sz w:val="21"/>
          <w:szCs w:val="21"/>
          <w:color w:val="auto"/>
        </w:rPr>
      </w:pPr>
      <w:r>
        <w:rPr>
          <w:rFonts w:ascii="Arial" w:cs="Arial" w:eastAsia="Arial" w:hAnsi="Arial"/>
          <w:sz w:val="21"/>
          <w:szCs w:val="21"/>
          <w:color w:val="auto"/>
        </w:rPr>
        <w:t>during any period of two consecutive years, individuals who at the beginning of such period constitute the Board and any new director (other than a director designated by a person who has entered into an agreement with Crown to effect a transaction described in Section 1.3(a), Section 1.3(c) or Section 1.3(d) hereof) whose election by the Board or nomination for election by Crown’s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w:t>
      </w:r>
    </w:p>
    <w:p>
      <w:pPr>
        <w:spacing w:after="0" w:line="203" w:lineRule="exact"/>
        <w:rPr>
          <w:rFonts w:ascii="Arial" w:cs="Arial" w:eastAsia="Arial" w:hAnsi="Arial"/>
          <w:sz w:val="21"/>
          <w:szCs w:val="21"/>
          <w:color w:val="auto"/>
        </w:rPr>
      </w:pPr>
    </w:p>
    <w:p>
      <w:pPr>
        <w:ind w:right="40" w:firstLine="1304"/>
        <w:spacing w:after="0" w:line="287" w:lineRule="auto"/>
        <w:tabs>
          <w:tab w:leader="none" w:pos="1932" w:val="left"/>
        </w:tabs>
        <w:numPr>
          <w:ilvl w:val="0"/>
          <w:numId w:val="25"/>
        </w:numPr>
        <w:rPr>
          <w:rFonts w:ascii="Arial" w:cs="Arial" w:eastAsia="Arial" w:hAnsi="Arial"/>
          <w:sz w:val="19"/>
          <w:szCs w:val="19"/>
          <w:color w:val="auto"/>
        </w:rPr>
      </w:pPr>
      <w:r>
        <w:rPr>
          <w:rFonts w:ascii="Arial" w:cs="Arial" w:eastAsia="Arial" w:hAnsi="Arial"/>
          <w:sz w:val="19"/>
          <w:szCs w:val="19"/>
          <w:color w:val="auto"/>
        </w:rPr>
        <w:t>Crown merges or consolidates with any other corporation, other than in a merger or consolidation that would result in the voting securities of Crown outstanding immediately prior thereto continuing to represent (either by remaining outstanding or by being converted into voting securities of the surviving entity) at least 75% of the combined voting power of the voting securities of Crown or such surviving entity outstanding immediately after such merger or consolidation; or</w:t>
      </w:r>
    </w:p>
    <w:p>
      <w:pPr>
        <w:spacing w:after="0" w:line="169" w:lineRule="exact"/>
        <w:rPr>
          <w:rFonts w:ascii="Arial" w:cs="Arial" w:eastAsia="Arial" w:hAnsi="Arial"/>
          <w:sz w:val="19"/>
          <w:szCs w:val="19"/>
          <w:color w:val="auto"/>
        </w:rPr>
      </w:pPr>
    </w:p>
    <w:p>
      <w:pPr>
        <w:ind w:left="1960" w:hanging="656"/>
        <w:spacing w:after="0"/>
        <w:tabs>
          <w:tab w:leader="none" w:pos="19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complete liquidation of Crown or Crown sells or otherwise disposes of all or substantially all of</w:t>
      </w:r>
    </w:p>
    <w:p>
      <w:pPr>
        <w:spacing w:after="0" w:line="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Crown’s assets.</w:t>
      </w:r>
    </w:p>
    <w:p>
      <w:pPr>
        <w:spacing w:after="0" w:line="2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w:t>
      </w:r>
    </w:p>
    <w:p>
      <w:pPr>
        <w:spacing w:after="0" w:line="233" w:lineRule="exact"/>
        <w:rPr>
          <w:sz w:val="20"/>
          <w:szCs w:val="20"/>
          <w:color w:val="auto"/>
        </w:rPr>
      </w:pPr>
    </w:p>
    <w:p>
      <w:pPr>
        <w:ind w:right="120" w:firstLine="1304"/>
        <w:spacing w:after="0" w:line="297" w:lineRule="auto"/>
        <w:tabs>
          <w:tab w:leader="none" w:pos="193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assignment to the Executive, without the Executive’s express written approval, of duties or responsibilities, inconsistent, in a material respect, with the Executive’s title and position on the date of a Change in Control or a material reduction in the Executive’s duties, responsibilities or authority from those in effect on the date of a Change in Control;</w:t>
      </w:r>
    </w:p>
    <w:p>
      <w:pPr>
        <w:spacing w:after="0" w:line="160" w:lineRule="exact"/>
        <w:rPr>
          <w:rFonts w:ascii="Arial" w:cs="Arial" w:eastAsia="Arial" w:hAnsi="Arial"/>
          <w:sz w:val="19"/>
          <w:szCs w:val="19"/>
          <w:color w:val="auto"/>
        </w:rPr>
      </w:pPr>
    </w:p>
    <w:p>
      <w:pPr>
        <w:jc w:val="both"/>
        <w:ind w:right="120" w:firstLine="1304"/>
        <w:spacing w:after="0" w:line="273" w:lineRule="auto"/>
        <w:tabs>
          <w:tab w:leader="none" w:pos="1944" w:val="left"/>
        </w:tabs>
        <w:numPr>
          <w:ilvl w:val="0"/>
          <w:numId w:val="26"/>
        </w:numPr>
        <w:rPr>
          <w:rFonts w:ascii="Arial" w:cs="Arial" w:eastAsia="Arial" w:hAnsi="Arial"/>
          <w:sz w:val="19"/>
          <w:szCs w:val="19"/>
          <w:color w:val="auto"/>
        </w:rPr>
      </w:pPr>
      <w:r>
        <w:rPr>
          <w:rFonts w:ascii="Arial" w:cs="Arial" w:eastAsia="Arial" w:hAnsi="Arial"/>
          <w:sz w:val="19"/>
          <w:szCs w:val="19"/>
          <w:color w:val="auto"/>
        </w:rPr>
        <w:t>following a Change in Control, a reduction by the Company in the Executive’s Base Salary (as defined in Section 4.1 below) or in the other compensation and benefits, in the aggregate, payable to the Executive hereunder, or a material adverse change in the terms or conditions on which any such compensation or benefits are payable;</w:t>
      </w:r>
    </w:p>
    <w:p>
      <w:pPr>
        <w:spacing w:after="0" w:line="1" w:lineRule="exact"/>
        <w:rPr>
          <w:rFonts w:ascii="Arial" w:cs="Arial" w:eastAsia="Arial" w:hAnsi="Arial"/>
          <w:sz w:val="19"/>
          <w:szCs w:val="19"/>
          <w:color w:val="auto"/>
        </w:rPr>
      </w:pPr>
    </w:p>
    <w:p>
      <w:pPr>
        <w:ind w:firstLine="1304"/>
        <w:spacing w:after="0" w:line="242" w:lineRule="auto"/>
        <w:tabs>
          <w:tab w:leader="none" w:pos="1932" w:val="left"/>
        </w:tabs>
        <w:numPr>
          <w:ilvl w:val="0"/>
          <w:numId w:val="26"/>
        </w:numPr>
        <w:rPr>
          <w:rFonts w:ascii="Arial" w:cs="Arial" w:eastAsia="Arial" w:hAnsi="Arial"/>
          <w:sz w:val="21"/>
          <w:szCs w:val="21"/>
          <w:color w:val="auto"/>
        </w:rPr>
      </w:pPr>
      <w:r>
        <w:rPr>
          <w:rFonts w:ascii="Arial" w:cs="Arial" w:eastAsia="Arial" w:hAnsi="Arial"/>
          <w:sz w:val="21"/>
          <w:szCs w:val="21"/>
          <w:color w:val="auto"/>
        </w:rPr>
        <w:t>following a Change in Control, the Company’s failure, without the express consent of the Executive, to pay the Executive any amounts otherwise vested and due hereunder or under any plan or policy of the Company;</w:t>
      </w:r>
    </w:p>
    <w:p>
      <w:pPr>
        <w:spacing w:after="0" w:line="210" w:lineRule="exact"/>
        <w:rPr>
          <w:rFonts w:ascii="Arial" w:cs="Arial" w:eastAsia="Arial" w:hAnsi="Arial"/>
          <w:sz w:val="21"/>
          <w:szCs w:val="21"/>
          <w:color w:val="auto"/>
        </w:rPr>
      </w:pPr>
    </w:p>
    <w:p>
      <w:pPr>
        <w:ind w:right="200" w:firstLine="1304"/>
        <w:spacing w:after="0" w:line="250" w:lineRule="auto"/>
        <w:tabs>
          <w:tab w:leader="none" w:pos="1944" w:val="left"/>
        </w:tabs>
        <w:numPr>
          <w:ilvl w:val="0"/>
          <w:numId w:val="26"/>
        </w:numPr>
        <w:rPr>
          <w:rFonts w:ascii="Arial" w:cs="Arial" w:eastAsia="Arial" w:hAnsi="Arial"/>
          <w:sz w:val="22"/>
          <w:szCs w:val="22"/>
          <w:color w:val="auto"/>
        </w:rPr>
      </w:pPr>
      <w:r>
        <w:rPr>
          <w:rFonts w:ascii="Arial" w:cs="Arial" w:eastAsia="Arial" w:hAnsi="Arial"/>
          <w:sz w:val="22"/>
          <w:szCs w:val="22"/>
          <w:color w:val="auto"/>
        </w:rPr>
        <w:t>following a Change in Control, a relocation of the Executive’s primary place of employment, without the Executive’s express written approval, to a location more than</w:t>
      </w:r>
    </w:p>
    <w:p>
      <w:pPr>
        <w:sectPr>
          <w:pgSz w:w="11900" w:h="16838" w:orient="portrait"/>
          <w:cols w:equalWidth="0" w:num="1">
            <w:col w:w="11220"/>
          </w:cols>
          <w:pgMar w:left="320" w:top="1440" w:right="35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50 miles from the location at which the Executive performed his duties on the date of such Change in Control; or</w:t>
      </w:r>
    </w:p>
    <w:p>
      <w:pPr>
        <w:spacing w:after="0" w:line="233" w:lineRule="exact"/>
        <w:rPr>
          <w:sz w:val="20"/>
          <w:szCs w:val="20"/>
          <w:color w:val="auto"/>
        </w:rPr>
      </w:pPr>
    </w:p>
    <w:p>
      <w:pPr>
        <w:ind w:right="600" w:firstLine="1304"/>
        <w:spacing w:after="0" w:line="328" w:lineRule="auto"/>
        <w:tabs>
          <w:tab w:leader="none" w:pos="1932"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failure or refusal of Crown’s Successor (as defined in Section 14 below) to expressly assume this Agreement in writing, and all of the duties and obligations of the Company hereunder in accordance with Section 14.</w:t>
      </w:r>
    </w:p>
    <w:p>
      <w:pPr>
        <w:spacing w:after="0" w:line="13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Short-Term Disability</w:t>
      </w:r>
      <w:r>
        <w:rPr>
          <w:rFonts w:ascii="Arial" w:cs="Arial" w:eastAsia="Arial" w:hAnsi="Arial"/>
          <w:sz w:val="19"/>
          <w:szCs w:val="19"/>
          <w:color w:val="auto"/>
        </w:rPr>
        <w:t>” shall mean the temporary incapacity of the Executive that, as determined by the Board in a uniformly-applied manner, renders the Executive temporarily incapable of engaging in his usual executive function and as a result, the Executive is under the direct care and treatment of a physician who certifies to such incapacity.</w:t>
      </w:r>
    </w:p>
    <w:p>
      <w:pPr>
        <w:spacing w:after="0" w:line="14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Total Disability</w:t>
      </w:r>
      <w:r>
        <w:rPr>
          <w:rFonts w:ascii="Arial" w:cs="Arial" w:eastAsia="Arial" w:hAnsi="Arial"/>
          <w:sz w:val="19"/>
          <w:szCs w:val="19"/>
          <w:color w:val="auto"/>
        </w:rPr>
        <w:t>” shall mean that a qualified physician designated by the Company has determined that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15" w:lineRule="exact"/>
        <w:rPr>
          <w:sz w:val="20"/>
          <w:szCs w:val="20"/>
          <w:color w:val="auto"/>
        </w:rPr>
      </w:pPr>
    </w:p>
    <w:p>
      <w:pPr>
        <w:jc w:val="both"/>
        <w:ind w:right="120" w:firstLine="1304"/>
        <w:spacing w:after="0"/>
        <w:tabs>
          <w:tab w:leader="none" w:pos="1932" w:val="left"/>
        </w:tabs>
        <w:numPr>
          <w:ilvl w:val="1"/>
          <w:numId w:val="28"/>
        </w:numPr>
        <w:rPr>
          <w:rFonts w:ascii="Arial" w:cs="Arial" w:eastAsia="Arial" w:hAnsi="Arial"/>
          <w:sz w:val="22"/>
          <w:szCs w:val="22"/>
          <w:color w:val="auto"/>
        </w:rPr>
      </w:pPr>
      <w:r>
        <w:rPr>
          <w:rFonts w:ascii="Arial" w:cs="Arial" w:eastAsia="Arial" w:hAnsi="Arial"/>
          <w:sz w:val="22"/>
          <w:szCs w:val="22"/>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213" w:lineRule="exact"/>
        <w:rPr>
          <w:rFonts w:ascii="Arial" w:cs="Arial" w:eastAsia="Arial" w:hAnsi="Arial"/>
          <w:sz w:val="22"/>
          <w:szCs w:val="22"/>
          <w:color w:val="auto"/>
        </w:rPr>
      </w:pPr>
    </w:p>
    <w:p>
      <w:pPr>
        <w:jc w:val="both"/>
        <w:ind w:firstLine="1304"/>
        <w:spacing w:after="0" w:line="297" w:lineRule="auto"/>
        <w:tabs>
          <w:tab w:leader="none" w:pos="1944" w:val="left"/>
        </w:tabs>
        <w:numPr>
          <w:ilvl w:val="1"/>
          <w:numId w:val="28"/>
        </w:numPr>
        <w:rPr>
          <w:rFonts w:ascii="Arial" w:cs="Arial" w:eastAsia="Arial" w:hAnsi="Arial"/>
          <w:sz w:val="19"/>
          <w:szCs w:val="19"/>
          <w:color w:val="auto"/>
        </w:rPr>
      </w:pPr>
      <w:r>
        <w:rPr>
          <w:rFonts w:ascii="Arial" w:cs="Arial" w:eastAsia="Arial" w:hAnsi="Arial"/>
          <w:sz w:val="19"/>
          <w:szCs w:val="19"/>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60" w:lineRule="exact"/>
        <w:rPr>
          <w:rFonts w:ascii="Arial" w:cs="Arial" w:eastAsia="Arial" w:hAnsi="Arial"/>
          <w:sz w:val="19"/>
          <w:szCs w:val="19"/>
          <w:color w:val="auto"/>
        </w:rPr>
      </w:pPr>
    </w:p>
    <w:p>
      <w:pPr>
        <w:ind w:right="20" w:firstLine="8"/>
        <w:spacing w:after="0" w:line="271" w:lineRule="auto"/>
        <w:tabs>
          <w:tab w:leader="none" w:pos="639"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The Company agrees to continue to employ the Executive and the Executive hereby agrees to continue to be employed by the Company, upon the terms, conditions and limitations set forth in this Agreement. The Executive shall serve as President of the Company’s Transit Packaging Division (or in such other position as agreed to by the parties), with the customary duties, authorities and responsibility of such position of a publicly-traded corporation and such other duties, authorities and responsibility (a) as have been agreed upon by the Company and the Executive or (b) as may from time to time be delegated to the Executive by the Board, Crown’s Chief Executive Officer or any other executive to whom the Executive reports as are consistent with such position. In addition, for no additional compensation, the Executive shall serve in such other positions as reasonably requested by the Board, Crown’s Chief Executive Officer or any other executive to whom the Executive reports. The Executive agrees to perform the duties and responsibilities called for hereunder to the best of his ability and to devote his full time, energies and skills to such duties, with the understanding that he may participate in charitable and similar activities and may have business interests in passive investments which may, from time to time, require portions of his time, but such activities shall be done in a manner consistent with his obligations hereunder.</w:t>
      </w:r>
    </w:p>
    <w:p>
      <w:pPr>
        <w:spacing w:after="0" w:line="185" w:lineRule="exact"/>
        <w:rPr>
          <w:rFonts w:ascii="Arial" w:cs="Arial" w:eastAsia="Arial" w:hAnsi="Arial"/>
          <w:sz w:val="19"/>
          <w:szCs w:val="19"/>
          <w:color w:val="auto"/>
        </w:rPr>
      </w:pPr>
    </w:p>
    <w:p>
      <w:pPr>
        <w:ind w:right="60" w:firstLine="8"/>
        <w:spacing w:after="0" w:line="233" w:lineRule="auto"/>
        <w:tabs>
          <w:tab w:leader="none" w:pos="64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Executive’s employment under this Agreement shall commence on the Effective Date and unless sooner terminated as provided in Article 5 shall continue for a period of one year (the “</w:t>
      </w:r>
      <w:r>
        <w:rPr>
          <w:rFonts w:ascii="Arial" w:cs="Arial" w:eastAsia="Arial" w:hAnsi="Arial"/>
          <w:sz w:val="22"/>
          <w:szCs w:val="22"/>
          <w:u w:val="single" w:color="auto"/>
          <w:color w:val="auto"/>
        </w:rPr>
        <w:t>Initial Term</w:t>
      </w:r>
      <w:r>
        <w:rPr>
          <w:rFonts w:ascii="Arial" w:cs="Arial" w:eastAsia="Arial" w:hAnsi="Arial"/>
          <w:sz w:val="22"/>
          <w:szCs w:val="22"/>
          <w:color w:val="auto"/>
        </w:rPr>
        <w:t>”). Except as otherwise provided herein, unless either party gives written notice to the other party at least 30 days before any anniversary of the Effective Date that the term hereunder shall not be extended beyond its then term (a “</w:t>
      </w:r>
      <w:r>
        <w:rPr>
          <w:rFonts w:ascii="Arial" w:cs="Arial" w:eastAsia="Arial" w:hAnsi="Arial"/>
          <w:sz w:val="22"/>
          <w:szCs w:val="22"/>
          <w:u w:val="single" w:color="auto"/>
          <w:color w:val="auto"/>
        </w:rPr>
        <w:t>Nonrenewal Notice</w:t>
      </w:r>
      <w:r>
        <w:rPr>
          <w:rFonts w:ascii="Arial" w:cs="Arial" w:eastAsia="Arial" w:hAnsi="Arial"/>
          <w:sz w:val="22"/>
          <w:szCs w:val="22"/>
          <w:color w:val="auto"/>
        </w:rPr>
        <w:t>”), the term of the Agreement shall automatically be extended for an additional one year period from each anniversary, subject to the same terms, conditions and limitations as applicable to the Initial</w:t>
      </w:r>
    </w:p>
    <w:p>
      <w:pPr>
        <w:sectPr>
          <w:pgSz w:w="11900" w:h="16838" w:orient="portrait"/>
          <w:cols w:equalWidth="0" w:num="1">
            <w:col w:w="11240"/>
          </w:cols>
          <w:pgMar w:left="320" w:top="1414" w:right="339" w:bottom="1440" w:gutter="0" w:footer="0" w:header="0"/>
        </w:sectPr>
      </w:pPr>
    </w:p>
    <w:bookmarkStart w:id="41" w:name="page42"/>
    <w:bookmarkEnd w:id="41"/>
    <w:p>
      <w:pPr>
        <w:ind w:right="20"/>
        <w:spacing w:after="0"/>
        <w:rPr>
          <w:sz w:val="20"/>
          <w:szCs w:val="20"/>
          <w:color w:val="auto"/>
        </w:rPr>
      </w:pPr>
      <w:r>
        <w:rPr>
          <w:rFonts w:ascii="Arial" w:cs="Arial" w:eastAsia="Arial" w:hAnsi="Arial"/>
          <w:sz w:val="22"/>
          <w:szCs w:val="22"/>
          <w:color w:val="auto"/>
        </w:rPr>
        <w:t>Term unless amended or terminated as provided herein (each such additional one year period a “</w:t>
      </w:r>
      <w:r>
        <w:rPr>
          <w:rFonts w:ascii="Arial" w:cs="Arial" w:eastAsia="Arial" w:hAnsi="Arial"/>
          <w:sz w:val="22"/>
          <w:szCs w:val="22"/>
          <w:u w:val="single" w:color="auto"/>
          <w:color w:val="auto"/>
        </w:rPr>
        <w:t>Renewal Term</w:t>
      </w:r>
      <w:r>
        <w:rPr>
          <w:rFonts w:ascii="Arial" w:cs="Arial" w:eastAsia="Arial" w:hAnsi="Arial"/>
          <w:sz w:val="22"/>
          <w:szCs w:val="22"/>
          <w:color w:val="auto"/>
        </w:rPr>
        <w:t>”). For purposes of this Agreement, the Initial Term and all subsequent Renewal Terms shall be collectively referred to as the “</w:t>
      </w:r>
      <w:r>
        <w:rPr>
          <w:rFonts w:ascii="Arial" w:cs="Arial" w:eastAsia="Arial" w:hAnsi="Arial"/>
          <w:sz w:val="22"/>
          <w:szCs w:val="22"/>
          <w:u w:val="single" w:color="auto"/>
          <w:color w:val="auto"/>
        </w:rPr>
        <w:t>Term</w:t>
      </w:r>
      <w:r>
        <w:rPr>
          <w:rFonts w:ascii="Arial" w:cs="Arial" w:eastAsia="Arial" w:hAnsi="Arial"/>
          <w:sz w:val="22"/>
          <w:szCs w:val="22"/>
          <w:color w:val="auto"/>
        </w:rPr>
        <w:t>” of the Agreement.</w:t>
      </w:r>
    </w:p>
    <w:p>
      <w:pPr>
        <w:spacing w:after="0" w:line="21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33" w:lineRule="exact"/>
        <w:rPr>
          <w:sz w:val="20"/>
          <w:szCs w:val="20"/>
          <w:color w:val="auto"/>
        </w:rPr>
      </w:pPr>
    </w:p>
    <w:p>
      <w:pPr>
        <w:ind w:right="100" w:firstLine="648"/>
        <w:spacing w:after="0" w:line="26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The Company shall pay to the Executive for the performance of his duties under this Agreement an initial base salary of $525,000 per year (the “</w:t>
      </w:r>
      <w:r>
        <w:rPr>
          <w:rFonts w:ascii="Arial" w:cs="Arial" w:eastAsia="Arial" w:hAnsi="Arial"/>
          <w:sz w:val="19"/>
          <w:szCs w:val="19"/>
          <w:u w:val="single" w:color="auto"/>
          <w:color w:val="auto"/>
        </w:rPr>
        <w:t>Base Salary</w:t>
      </w:r>
      <w:r>
        <w:rPr>
          <w:rFonts w:ascii="Arial" w:cs="Arial" w:eastAsia="Arial" w:hAnsi="Arial"/>
          <w:sz w:val="19"/>
          <w:szCs w:val="19"/>
          <w:color w:val="auto"/>
        </w:rPr>
        <w:t>”), payable in accordance with the Company’s normal payroll practices. Thereafter, the rate of the Executive’s Base Salary will be reviewed and adjusted as appropriate in accordance with the Company’s regular compensation review practices. Effective as of the date of any such increase, the Base Salary so increased shall be considered the new Base Salary for all purposes of this Agreement.</w:t>
      </w:r>
    </w:p>
    <w:p>
      <w:pPr>
        <w:spacing w:after="0" w:line="4"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Incentive Bonus</w:t>
      </w:r>
      <w:r>
        <w:rPr>
          <w:rFonts w:ascii="Arial" w:cs="Arial" w:eastAsia="Arial" w:hAnsi="Arial"/>
          <w:sz w:val="21"/>
          <w:szCs w:val="21"/>
          <w:color w:val="auto"/>
        </w:rPr>
        <w:t>. During the Term, in addition to Base Salary, for each calendar year ending during the Term, the Executive shall participate in, and shall have the opportunity to receive a cash bonus in an amount to be determined in accordance with, the Company’s existing incentive bonus plan or any successor bonus plan, program or arrangement established by the Company for the benefit of its executive officers (the “</w:t>
      </w:r>
      <w:r>
        <w:rPr>
          <w:rFonts w:ascii="Arial" w:cs="Arial" w:eastAsia="Arial" w:hAnsi="Arial"/>
          <w:sz w:val="21"/>
          <w:szCs w:val="21"/>
          <w:u w:val="single" w:color="auto"/>
          <w:color w:val="auto"/>
        </w:rPr>
        <w:t>Incentive Bonus Payment</w:t>
      </w:r>
      <w:r>
        <w:rPr>
          <w:rFonts w:ascii="Arial" w:cs="Arial" w:eastAsia="Arial" w:hAnsi="Arial"/>
          <w:sz w:val="21"/>
          <w:szCs w:val="21"/>
          <w:color w:val="auto"/>
        </w:rPr>
        <w:t>”).</w:t>
      </w:r>
    </w:p>
    <w:p>
      <w:pPr>
        <w:spacing w:after="0" w:line="20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Term, the Executive shall be eligible to participate in the applicable employee benefit plans, programs and policies of the Company (or other applicable affiliate as agreed to by the parties) that are now or hereafter made available to its salaried personnel generally, as such plans, programs and policies may be in effect from time to time, in each case to the extent that the Executive is eligible under the terms of such plans, programs and policies and the Executive’s participation therein is not duplicative of other benefits provided by the Company. Without limiting the generality of the foregoing, the Executive shall also be eligible to participate in Crown’s Restoration Plan (the “Restoration Plan”) and Crown’s equity-based incentive plans as maintained by Crown from time to time for the benefit of senior executives. For purposes of the Restoration Plan, the Executive (i) will be treated as a participant under Rider 1 of the Crown Cork &amp; Seal Company, Inc. Pension Plan and (ii) will become 100% vested in his “Supplemental Retirement Benefit” under the Restoration Plan upon completing five years of continuous employment with the Company (measured from the Effective Date of this Agreement) or on such earlier date provided for under the Restoration Plan.</w:t>
      </w:r>
    </w:p>
    <w:p>
      <w:pPr>
        <w:spacing w:after="0" w:line="18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Vacation</w:t>
      </w:r>
      <w:r>
        <w:rPr>
          <w:rFonts w:ascii="Arial" w:cs="Arial" w:eastAsia="Arial" w:hAnsi="Arial"/>
          <w:sz w:val="19"/>
          <w:szCs w:val="19"/>
          <w:color w:val="auto"/>
        </w:rPr>
        <w:t>. The Executive shall be entitled to vacation in accordance with the Company’s vacation policy.</w:t>
      </w:r>
    </w:p>
    <w:p>
      <w:pPr>
        <w:spacing w:after="0" w:line="233"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During the Term, the Company will reimburse the Executive in accordance with the Company’s expense reimbursement policy as in effect from time to time for expenses reasonably and properly incurred by him in performing his duties, provided that such expenses are incurred and accounted for in accordance with the policies and procedures presently or hereinafter established by the Company.</w:t>
      </w:r>
    </w:p>
    <w:p>
      <w:pPr>
        <w:spacing w:after="0" w:line="215"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Short-Term Disability</w:t>
      </w:r>
      <w:r>
        <w:rPr>
          <w:rFonts w:ascii="Arial" w:cs="Arial" w:eastAsia="Arial" w:hAnsi="Arial"/>
          <w:sz w:val="22"/>
          <w:szCs w:val="22"/>
          <w:color w:val="auto"/>
        </w:rPr>
        <w:t>. In the event that the Executive incurs a Short-Term Disability, the Executive shall be entitled to six months of Base Salary and incentive payments, payable in accordance with the Company’s normal payroll practices, provided that all payments</w:t>
      </w:r>
    </w:p>
    <w:p>
      <w:pPr>
        <w:sectPr>
          <w:pgSz w:w="11900" w:h="16838" w:orient="portrait"/>
          <w:cols w:equalWidth="0" w:num="1">
            <w:col w:w="11240"/>
          </w:cols>
          <w:pgMar w:left="320" w:top="1414" w:right="339" w:bottom="1440" w:gutter="0" w:footer="0" w:header="0"/>
        </w:sectPr>
      </w:pPr>
    </w:p>
    <w:bookmarkStart w:id="42" w:name="page43"/>
    <w:bookmarkEnd w:id="42"/>
    <w:p>
      <w:pPr>
        <w:spacing w:after="0" w:line="238" w:lineRule="auto"/>
        <w:rPr>
          <w:sz w:val="20"/>
          <w:szCs w:val="20"/>
          <w:color w:val="auto"/>
        </w:rPr>
      </w:pPr>
      <w:r>
        <w:rPr>
          <w:rFonts w:ascii="Arial" w:cs="Arial" w:eastAsia="Arial" w:hAnsi="Arial"/>
          <w:sz w:val="22"/>
          <w:szCs w:val="22"/>
          <w:color w:val="auto"/>
        </w:rPr>
        <w:t>under this provision shall be reduced dollar-for-dollar by any other short-term disability benefits the Executive is entitled to under any other Company-sponsored short-term disability plan or arrangement and shall cease as of the earliest of the Executive’s cessation of Short-Term Disability, the occurrence of Total Disability, death or the first day of the month following the month in which the Executive attains age 65 (the “</w:t>
      </w:r>
      <w:r>
        <w:rPr>
          <w:rFonts w:ascii="Arial" w:cs="Arial" w:eastAsia="Arial" w:hAnsi="Arial"/>
          <w:sz w:val="22"/>
          <w:szCs w:val="22"/>
          <w:u w:val="single" w:color="auto"/>
          <w:color w:val="auto"/>
        </w:rPr>
        <w:t>Normal Retirement Date</w:t>
      </w:r>
      <w:r>
        <w:rPr>
          <w:rFonts w:ascii="Arial" w:cs="Arial" w:eastAsia="Arial" w:hAnsi="Arial"/>
          <w:sz w:val="22"/>
          <w:szCs w:val="22"/>
          <w:color w:val="auto"/>
        </w:rPr>
        <w:t>”).</w:t>
      </w:r>
    </w:p>
    <w:p>
      <w:pPr>
        <w:spacing w:after="0" w:line="21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Medical Examination Benefit</w:t>
      </w:r>
      <w:r>
        <w:rPr>
          <w:rFonts w:ascii="Arial" w:cs="Arial" w:eastAsia="Arial" w:hAnsi="Arial"/>
          <w:sz w:val="22"/>
          <w:szCs w:val="22"/>
          <w:color w:val="auto"/>
        </w:rPr>
        <w:t>. During the Term, the Executive shall be entitled to reimbursement for actual costs incurred, up to $2,500 per calendar year, for an annual physical and related medical examinations.</w:t>
      </w:r>
    </w:p>
    <w:p>
      <w:pPr>
        <w:spacing w:after="0" w:line="188"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under this Agreement shall terminate immediately upon the Executive’s death, and the Company shall have no further obligations under this Agreement, except to pay to the Executive’s estate (or his beneficiary, as may be appropriate) (a) any Base Salary earned through his date of death, to the extent theretofore unpaid, (b) a pro-rated Incentive Bonus Payment for the year in which the Executive’s death occurs,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and other benefits earned and vested (if applicable) by the Executive as of the date of his death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Disability</w:t>
      </w:r>
      <w:r>
        <w:rPr>
          <w:rFonts w:ascii="Arial" w:cs="Arial" w:eastAsia="Arial" w:hAnsi="Arial"/>
          <w:sz w:val="19"/>
          <w:szCs w:val="19"/>
          <w:color w:val="auto"/>
        </w:rPr>
        <w:t>. If the Executive is unable to perform his duties under this Agreement because of a Total Disability, the Company may terminate the Executive’s employment by giving written notice to the Executive. Such termination shall be effective as of the date of such notice and the Company shall have no further obligations under this Agreement, except to pay to the Executive (a) any Base Salary earned through the date of such termination, to the extent theretofore unpaid, (b) Total Disability benefits as described below, (c)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(d) such retirement and other benefits earned and vested (if applicable) by the Executive as of the date of his termination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the event that the Executive incurs a Total Disability, the Executive shall be entitled to an annual disability benefit equal to 75% of his Base Salary, payable in accordance with the Company’s normal payroll practices, provided that all payments under this provision shall be reduced dollar-for-dollar by Social Security disability benefits and any other long-term disability benefits the</w:t>
      </w:r>
    </w:p>
    <w:p>
      <w:pPr>
        <w:sectPr>
          <w:pgSz w:w="11900" w:h="16838" w:orient="portrait"/>
          <w:cols w:equalWidth="0" w:num="1">
            <w:col w:w="11220"/>
          </w:cols>
          <w:pgMar w:left="320" w:top="1414" w:right="359" w:bottom="1440" w:gutter="0" w:footer="0" w:header="0"/>
        </w:sectPr>
      </w:pPr>
    </w:p>
    <w:bookmarkStart w:id="43" w:name="page44"/>
    <w:bookmarkEnd w:id="43"/>
    <w:p>
      <w:pPr>
        <w:jc w:val="both"/>
        <w:ind w:right="200"/>
        <w:spacing w:after="0" w:line="328" w:lineRule="auto"/>
        <w:rPr>
          <w:sz w:val="20"/>
          <w:szCs w:val="20"/>
          <w:color w:val="auto"/>
        </w:rPr>
      </w:pPr>
      <w:r>
        <w:rPr>
          <w:rFonts w:ascii="Arial" w:cs="Arial" w:eastAsia="Arial" w:hAnsi="Arial"/>
          <w:sz w:val="19"/>
          <w:szCs w:val="19"/>
          <w:color w:val="auto"/>
        </w:rPr>
        <w:t>Executive is entitled to under any other Company-sponsored or Company funded long-term disability plan or arrangements and shall cease as of the earliest of the Executive’s cessation of Total Disability, death or attainment of his Normal Retirement Date.</w:t>
      </w:r>
    </w:p>
    <w:p>
      <w:pPr>
        <w:spacing w:after="0" w:line="13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Retirement</w:t>
      </w:r>
      <w:r>
        <w:rPr>
          <w:rFonts w:ascii="Arial" w:cs="Arial" w:eastAsia="Arial" w:hAnsi="Arial"/>
          <w:sz w:val="19"/>
          <w:szCs w:val="19"/>
          <w:color w:val="auto"/>
        </w:rPr>
        <w:t>. The Executive’s voluntary termination of employment at or after attaining his Normal Retirement Date shall be treated as a retirement termination under this Agreement. Unless Section 5.7 is applicable, upon such termination, the Company shall have no further obligations under this Agreement, except to pay to the Executive (a) any Base Salary earned through the date of the Executive’s retirement,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incentive and other benefits earned and vested (if applicable) by the Executive as of the date of his retirement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spacing w:after="0" w:line="200" w:lineRule="exact"/>
        <w:rPr>
          <w:sz w:val="20"/>
          <w:szCs w:val="20"/>
          <w:color w:val="auto"/>
        </w:rPr>
      </w:pPr>
    </w:p>
    <w:p>
      <w:pPr>
        <w:spacing w:after="0" w:line="23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Voluntary Termination</w:t>
      </w:r>
      <w:r>
        <w:rPr>
          <w:rFonts w:ascii="Arial" w:cs="Arial" w:eastAsia="Arial" w:hAnsi="Arial"/>
          <w:sz w:val="19"/>
          <w:szCs w:val="19"/>
          <w:color w:val="auto"/>
        </w:rPr>
        <w:t>. At any time during the Term, upon 30 days’ written notice to the Company, the Executive may voluntarily terminate his employment with the Company. Unless Section 5.7 is applicable, upon such termination the Company shall have no further obligations under this Agreement except to pay to the Executive (a) any Base Salary earned to the date of the Executive’s termination of employment, to the extent theretofore unpaid, and (b)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addition, at the discretion of the Board, the Company may pay to the Executive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provided that Executive’s receipt of such pro-rated Incentive Bonus Payment shall be contingent on the Executive’s prior execution and non-revocation of a release of claims in favor of the Company and its affiliates in the form attached as Exhibit A (the “Release”).</w:t>
      </w:r>
    </w:p>
    <w:p>
      <w:pPr>
        <w:spacing w:after="0" w:line="200" w:lineRule="exact"/>
        <w:rPr>
          <w:sz w:val="20"/>
          <w:szCs w:val="20"/>
          <w:color w:val="auto"/>
        </w:rPr>
      </w:pPr>
    </w:p>
    <w:p>
      <w:pPr>
        <w:spacing w:after="0" w:line="233"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Termination For Cause</w:t>
      </w:r>
      <w:r>
        <w:rPr>
          <w:rFonts w:ascii="Arial" w:cs="Arial" w:eastAsia="Arial" w:hAnsi="Arial"/>
          <w:sz w:val="21"/>
          <w:szCs w:val="21"/>
          <w:color w:val="auto"/>
        </w:rPr>
        <w:t>. The Board may terminate the Executive’s employment and the Company’s obligations under this Agreement at any time for Cause by giving written notice to the Executive. The Company’s required notice of termination shall specify the event or circumstances that constitute Cause. Executive’s termination shall be effective as of the date of such notice. Upon termination of the Executive’s employment for Cause, the obligations of the Company under this Agreement shall terminate, except for the obligation to pay to the Executive</w:t>
      </w:r>
    </w:p>
    <w:p>
      <w:pPr>
        <w:sectPr>
          <w:pgSz w:w="11900" w:h="16838" w:orient="portrait"/>
          <w:cols w:equalWidth="0" w:num="1">
            <w:col w:w="11240"/>
          </w:cols>
          <w:pgMar w:left="320" w:top="1414" w:right="339" w:bottom="1440" w:gutter="0" w:footer="0" w:header="0"/>
        </w:sectPr>
      </w:pPr>
    </w:p>
    <w:bookmarkStart w:id="44" w:name="page45"/>
    <w:bookmarkEnd w:id="44"/>
    <w:p>
      <w:pPr>
        <w:ind w:right="260" w:firstLine="8"/>
        <w:spacing w:after="0" w:line="238" w:lineRule="auto"/>
        <w:tabs>
          <w:tab w:leader="none" w:pos="2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Base Salary earned through the date of such termination, to the extent theretofore unpaid, and (b) such retirement and other benefits earned and vested (if applicable) by the Executive as of such termination under any employee benefit plan of the Company in which the Executive participates, all of the foregoing to be paid in the normal course for such payments and in accordance with the terms of such plans.</w:t>
      </w:r>
    </w:p>
    <w:p>
      <w:pPr>
        <w:spacing w:after="0" w:line="212"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Involuntary Termination by the Company without Cause Prior to a Change in Control</w:t>
      </w:r>
      <w:r>
        <w:rPr>
          <w:rFonts w:ascii="Arial" w:cs="Arial" w:eastAsia="Arial" w:hAnsi="Arial"/>
          <w:sz w:val="19"/>
          <w:szCs w:val="19"/>
          <w:color w:val="auto"/>
        </w:rPr>
        <w:t xml:space="preserve">. The Company may terminate the Executive’s employment without Cause at any time during the Term, upon thirty (30) days’ written notice;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during such notice period, the Company, in its absolute discretion, may relieve the Executive of all his duties, responsibilities and authority with respect to the Company and restrict the Executive’s access to Company property. For purposes of this Section 5.6, the Company’s delivery of a Nonrenewal Notice to the Executive shall be treated as termination without Cause on the last day of the then current Term. If the Company so terminates the Executive’s employment without Cause at any time other than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a lump-sum payment equal to the Executive’s Base Salary, payable within 60 days following the Executive’s termination of employment,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Executive is a “Specified Employee,” as that term is defined in Section 409A of the Code, any payments under this clause, if so required, shall be made on the date that is six months and one day after the date of the Executive’s termination hereunder and (d)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no event shall the payment in clause (c) be included for purposes of the Restoration Plan. Notwithstanding anything herein to the contrary, the payments described in clauses (b) and (c) shall be contingent on the Executive’s prior execution and non-revocation of the Release within 60 days following his termination date and shall be paid as specified above or such later date as may be required to comply with Section 409A of the Code.</w:t>
      </w:r>
    </w:p>
    <w:p>
      <w:pPr>
        <w:spacing w:after="0" w:line="180"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Involuntary Termination by the Company or by the Executive for Good Reason Following a Change in Control</w:t>
      </w:r>
      <w:r>
        <w:rPr>
          <w:rFonts w:ascii="Arial" w:cs="Arial" w:eastAsia="Arial" w:hAnsi="Arial"/>
          <w:sz w:val="19"/>
          <w:szCs w:val="19"/>
          <w:color w:val="auto"/>
        </w:rPr>
        <w:t>. If the Company terminates the Executive’s employment without Cause during the 12-month period following a Change in Control, or the Executive voluntarily terminates his employment for Good Reason during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lump-sum payment equal to three times the sum of the Executive’s Base Salary and average Incentive Bonus Payment paid or payable to the Executive for the three completed years prior to</w:t>
      </w:r>
    </w:p>
    <w:p>
      <w:pPr>
        <w:sectPr>
          <w:pgSz w:w="11900" w:h="16838" w:orient="portrait"/>
          <w:cols w:equalWidth="0" w:num="1">
            <w:col w:w="11240"/>
          </w:cols>
          <w:pgMar w:left="320" w:top="1414" w:right="339" w:bottom="1440" w:gutter="0" w:footer="0" w:header="0"/>
        </w:sectPr>
      </w:pPr>
    </w:p>
    <w:bookmarkStart w:id="45" w:name="page46"/>
    <w:bookmarkEnd w:id="45"/>
    <w:p>
      <w:pPr>
        <w:ind w:right="80"/>
        <w:spacing w:after="0" w:line="271" w:lineRule="auto"/>
        <w:rPr>
          <w:sz w:val="20"/>
          <w:szCs w:val="20"/>
          <w:color w:val="auto"/>
        </w:rPr>
      </w:pPr>
      <w:r>
        <w:rPr>
          <w:rFonts w:ascii="Arial" w:cs="Arial" w:eastAsia="Arial" w:hAnsi="Arial"/>
          <w:sz w:val="19"/>
          <w:szCs w:val="19"/>
          <w:color w:val="auto"/>
        </w:rPr>
        <w:t>the year of such termination, payable within 60 days following the Executive’s termination of employment, provided, however, that if the Executive is a Specified Employee, such payment if so required, shall be made on the date that is six months and one day after the date of the Executive’s termination hereunder, (c)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and (d) all outstanding stock options and restricted stock held by the Executive shall become immediately vested and such stock options shall become exercisable and shall remain exercisable for a period of 30 days or such longer period as provided under the terms of such option. In no event shall the payment in clause (b) be included for purposes of the Restoration Plan. Notwithstanding anything herein to the contrary, the payment described in clause (b) and vesting described in clause (d) shall be contingent on the Executive’s prior execution and non-revocation of the Release within 60 days following his termination date and shall be paid as specified above or such later date as may be required to comply with Section 409A of the Code.</w:t>
      </w:r>
    </w:p>
    <w:p>
      <w:pPr>
        <w:spacing w:after="0" w:line="185" w:lineRule="exact"/>
        <w:rPr>
          <w:sz w:val="20"/>
          <w:szCs w:val="20"/>
          <w:color w:val="auto"/>
        </w:rPr>
      </w:pPr>
    </w:p>
    <w:p>
      <w:pPr>
        <w:ind w:right="620" w:firstLine="648"/>
        <w:spacing w:after="0" w:line="297"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Mitigation</w:t>
      </w:r>
      <w:r>
        <w:rPr>
          <w:rFonts w:ascii="Arial" w:cs="Arial" w:eastAsia="Arial" w:hAnsi="Arial"/>
          <w:sz w:val="19"/>
          <w:szCs w:val="19"/>
          <w:color w:val="auto"/>
        </w:rPr>
        <w:t>. The Executive shall not be required to mitigate the amount of any payment provided for in this Agreement by seeking other employment or otherwise, nor shall any profits, income or earnings or other benefits from any source whatsoever create any mitigation, offset, reduction or any other obligation on the part of Executive hereunder.</w:t>
      </w:r>
    </w:p>
    <w:p>
      <w:pPr>
        <w:spacing w:after="0" w:line="161" w:lineRule="exact"/>
        <w:rPr>
          <w:sz w:val="20"/>
          <w:szCs w:val="20"/>
          <w:color w:val="auto"/>
        </w:rPr>
      </w:pPr>
    </w:p>
    <w:p>
      <w:pPr>
        <w:ind w:firstLine="648"/>
        <w:spacing w:after="0" w:line="267"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Excise Taxes</w:t>
      </w:r>
      <w:r>
        <w:rPr>
          <w:rFonts w:ascii="Arial" w:cs="Arial" w:eastAsia="Arial" w:hAnsi="Arial"/>
          <w:sz w:val="19"/>
          <w:szCs w:val="19"/>
          <w:color w:val="auto"/>
        </w:rPr>
        <w:t>. If any payment or benefit, or the acceleration of any payment or benefit, the Executive would receive from the Company under this Agreement or otherwise in connection with a Change in Control (collectively, the “</w:t>
      </w:r>
      <w:r>
        <w:rPr>
          <w:rFonts w:ascii="Arial" w:cs="Arial" w:eastAsia="Arial" w:hAnsi="Arial"/>
          <w:sz w:val="19"/>
          <w:szCs w:val="19"/>
          <w:u w:val="single" w:color="auto"/>
          <w:color w:val="auto"/>
        </w:rPr>
        <w:t>Payments</w:t>
      </w:r>
      <w:r>
        <w:rPr>
          <w:rFonts w:ascii="Arial" w:cs="Arial" w:eastAsia="Arial" w:hAnsi="Arial"/>
          <w:sz w:val="19"/>
          <w:szCs w:val="19"/>
          <w:color w:val="auto"/>
        </w:rPr>
        <w:t>”)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either (a) such Payments will be reduced or delayed by the minimum amount necessary such that no portion of the Payments is subject to the Excise Tax, or (b) the full amount of the Payments shall be made, whichever, after taking into account all applicable taxes, including the Excise Tax, results in the Executive’s receipt, on an after-tax basis, of the greater amount. If a reduction or delay in the Payments is necessary, such reduction or delay will occur in the following order: (1) cancellation of accelerated vesting of stock and option awards (reduced from the highest value to the lowest value under Section 280G of the Code) with the understanding that such awards may be replaced with the right to an equivalent cash payment at such future time because of the delisting of the underlying stock;</w:t>
      </w:r>
    </w:p>
    <w:p>
      <w:pPr>
        <w:spacing w:after="0" w:line="4" w:lineRule="exact"/>
        <w:rPr>
          <w:sz w:val="20"/>
          <w:szCs w:val="20"/>
          <w:color w:val="auto"/>
        </w:rPr>
      </w:pPr>
    </w:p>
    <w:p>
      <w:pPr>
        <w:ind w:right="20" w:firstLine="8"/>
        <w:spacing w:after="0" w:line="271" w:lineRule="auto"/>
        <w:tabs>
          <w:tab w:leader="none" w:pos="306"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reduction or delay of cash payments (reduced from the latest payment to the earliest payment); and (3) reduction of other benefits payable to the Executive (reduced from the highest value to the lowest value under Section 280G of the Code). The Company will select a reputable third party professional firm to make all determinations required to be made under this provision. The Company will bear all reasonable expenses with respect to the determinations by such firm required to be made hereunder. For the avoidance of doubt, neither the Company nor any of its affiliates shall have any obligation to indemnify, gross-up or otherwise pay or reimburse the Executive for any Excise Tax assessed on any payment or benefit made or provided, or required to be made or provided, to the Executive by the Company under this Agreement or otherwise.</w:t>
      </w:r>
    </w:p>
    <w:p>
      <w:pPr>
        <w:spacing w:after="0" w:line="186" w:lineRule="exact"/>
        <w:rPr>
          <w:sz w:val="20"/>
          <w:szCs w:val="20"/>
          <w:color w:val="auto"/>
        </w:rPr>
      </w:pPr>
    </w:p>
    <w:p>
      <w:pPr>
        <w:ind w:right="440" w:firstLine="648"/>
        <w:spacing w:after="0" w:line="328"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Resignation</w:t>
      </w:r>
      <w:r>
        <w:rPr>
          <w:rFonts w:ascii="Arial" w:cs="Arial" w:eastAsia="Arial" w:hAnsi="Arial"/>
          <w:sz w:val="19"/>
          <w:szCs w:val="19"/>
          <w:color w:val="auto"/>
        </w:rPr>
        <w:t>. Upon the termination of the Executive's employment for whatever reason, the Executive shall be deemed to have automatically resigned without claims for compensation from any position he holds with the Company.</w:t>
      </w:r>
    </w:p>
    <w:p>
      <w:pPr>
        <w:sectPr>
          <w:pgSz w:w="11900" w:h="16838" w:orient="portrait"/>
          <w:cols w:equalWidth="0" w:num="1">
            <w:col w:w="11240"/>
          </w:cols>
          <w:pgMar w:left="320" w:top="1414" w:right="339" w:bottom="1440" w:gutter="0" w:footer="0" w:header="0"/>
        </w:sectPr>
      </w:pPr>
    </w:p>
    <w:bookmarkStart w:id="46" w:name="page47"/>
    <w:bookmarkEnd w:id="46"/>
    <w:p>
      <w:pPr>
        <w:ind w:firstLine="8"/>
        <w:spacing w:after="0" w:line="266" w:lineRule="auto"/>
        <w:tabs>
          <w:tab w:leader="none" w:pos="37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Except as required in the performance of his duties to the Company under this Agreement, the Executive shall not, during or after the Term of this Agreement, use for himself or others, or disclose to others, any confidential information including without limitation, trade secrets, data, know-how, design, developmental or experimental work, Company relationships, computer programs, proprietary information bases and systems, data bases, customer lists, business plans, financial information of or about the Company or any of its affiliates, customers or clients, unless authorized in writing to do so by the Board or Crown’s Chief Executive Officer, but excluding any information generally available to the public or information (except information related to the Company) which Executive possessed prior to his employment with the Company. The Executive understands that this undertaking applies to the information of either a technical or commercial or other nature and that any information not made available to the general public is to be considered confidential. The Executive acknowledges that such confidential information as is acquired and used by the Company or its affiliates is a special, valuable and unique asset. All records, files, materials and confidential information obtained by Executive in the course of his employment with the Company are confidential and proprietary and shall remain the exclusive property of the Company or its affiliates, as the case may be. Notwithstanding the foregoing, (i) nothing in this Section or Agreement shall prohibit the Executive from reporting possible violations of federal law or regulation to any governmental agency or entity or self-regulatory organization or making disclosures that are protected under the whistleblower provisions of applicable law or regulation (and the Executive shall not be required to obtain the written consent of the Company prior to making any such reports or disclosures); and (ii) in accordance with the Defend Trade Secrets Act of 2016, (A)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w:t>
      </w:r>
    </w:p>
    <w:p>
      <w:pPr>
        <w:spacing w:after="0" w:line="7" w:lineRule="exact"/>
        <w:rPr>
          <w:rFonts w:ascii="Arial" w:cs="Arial" w:eastAsia="Arial" w:hAnsi="Arial"/>
          <w:sz w:val="19"/>
          <w:szCs w:val="19"/>
          <w:color w:val="auto"/>
        </w:rPr>
      </w:pPr>
    </w:p>
    <w:p>
      <w:pPr>
        <w:ind w:right="220"/>
        <w:spacing w:after="0" w:line="287" w:lineRule="auto"/>
        <w:rPr>
          <w:rFonts w:ascii="Arial" w:cs="Arial" w:eastAsia="Arial" w:hAnsi="Arial"/>
          <w:sz w:val="19"/>
          <w:szCs w:val="19"/>
          <w:color w:val="auto"/>
        </w:rPr>
      </w:pPr>
      <w:r>
        <w:rPr>
          <w:rFonts w:ascii="Arial" w:cs="Arial" w:eastAsia="Arial" w:hAnsi="Arial"/>
          <w:sz w:val="19"/>
          <w:szCs w:val="19"/>
          <w:color w:val="auto"/>
        </w:rPr>
        <w:t>(B)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w:t>
      </w:r>
    </w:p>
    <w:p>
      <w:pPr>
        <w:spacing w:after="0" w:line="170" w:lineRule="exact"/>
        <w:rPr>
          <w:rFonts w:ascii="Arial" w:cs="Arial" w:eastAsia="Arial" w:hAnsi="Arial"/>
          <w:sz w:val="19"/>
          <w:szCs w:val="19"/>
          <w:color w:val="auto"/>
        </w:rPr>
      </w:pPr>
    </w:p>
    <w:p>
      <w:pPr>
        <w:ind w:right="460" w:firstLine="8"/>
        <w:spacing w:after="0" w:line="278" w:lineRule="auto"/>
        <w:tabs>
          <w:tab w:leader="none" w:pos="37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Return of Documents and Property</w:t>
      </w:r>
      <w:r>
        <w:rPr>
          <w:rFonts w:ascii="Arial" w:cs="Arial" w:eastAsia="Arial" w:hAnsi="Arial"/>
          <w:sz w:val="19"/>
          <w:szCs w:val="19"/>
          <w:color w:val="auto"/>
        </w:rPr>
        <w:t>. Upon the termination of Executive’s employment from the Company, or at any time upon the request of the Company, Executive (or his heirs or personal representative) shall deliver to the Company (a) all documents and materials containing confidential information relating to the business or affairs of the Company or any of its affiliates, customers or clients and (b) all other documents, materials and other property belonging to the Company or its affiliates, customers or clients that are in the possession or under the control of Executive.</w:t>
      </w:r>
    </w:p>
    <w:p>
      <w:pPr>
        <w:spacing w:after="0" w:line="179" w:lineRule="exact"/>
        <w:rPr>
          <w:rFonts w:ascii="Arial" w:cs="Arial" w:eastAsia="Arial" w:hAnsi="Arial"/>
          <w:sz w:val="19"/>
          <w:szCs w:val="19"/>
          <w:color w:val="auto"/>
        </w:rPr>
      </w:pPr>
    </w:p>
    <w:p>
      <w:pPr>
        <w:ind w:right="100" w:firstLine="8"/>
        <w:spacing w:after="0" w:line="235" w:lineRule="auto"/>
        <w:tabs>
          <w:tab w:leader="none" w:pos="37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By and in consideration of the salary and benefits to be provided by the Company hereunder, including the severance arrangements set forth herein, and further in consideration of the Executive’s exposure to the proprietary information of the Company, the Executive agrees, unless the Executive requests in writing to the Board, and is thereafter authorized in writing to do so by the Board, that (a) during his employment under this Agreement, and (b)(i) for the one year period following the termination of employment prior to a Change in Control or (ii) the two year period following the termination of employment following</w:t>
      </w:r>
    </w:p>
    <w:p>
      <w:pPr>
        <w:sectPr>
          <w:pgSz w:w="11900" w:h="16838" w:orient="portrait"/>
          <w:cols w:equalWidth="0" w:num="1">
            <w:col w:w="11220"/>
          </w:cols>
          <w:pgMar w:left="320" w:top="1414" w:right="359" w:bottom="1440" w:gutter="0" w:footer="0" w:header="0"/>
        </w:sectPr>
      </w:pPr>
    </w:p>
    <w:bookmarkStart w:id="47" w:name="page48"/>
    <w:bookmarkEnd w:id="47"/>
    <w:p>
      <w:pPr>
        <w:ind w:right="40"/>
        <w:spacing w:after="0" w:line="273" w:lineRule="auto"/>
        <w:rPr>
          <w:sz w:val="20"/>
          <w:szCs w:val="20"/>
          <w:color w:val="auto"/>
        </w:rPr>
      </w:pPr>
      <w:r>
        <w:rPr>
          <w:rFonts w:ascii="Arial" w:cs="Arial" w:eastAsia="Arial" w:hAnsi="Arial"/>
          <w:sz w:val="19"/>
          <w:szCs w:val="19"/>
          <w:color w:val="auto"/>
        </w:rPr>
        <w:t>a Change in Control, the Executive shall not directly or indirectly, own, manage, operate, join, control or participate in the ownership, management, operation or control of, or be employed or otherwise connected in any manner with, including without limitation as a consultant, any business which at any relevant time during said period directly or indirectly competes with the Company or any of its affiliates in any country in which the Company does business. Notwithstanding the foregoing, the Executive shall not be prohibited during the non-competition period described above from being a passive investor where he owns not more than five percent of the issued and outstanding capital stock of any publicly-held company. The Executive further agrees that during said period, the Executive shall not, directly or indirectly, solicit or induce, or attempt to solicit or induce, any employee of the Company to terminate employment with the Company or hire any employee of the Company.</w:t>
      </w:r>
    </w:p>
    <w:p>
      <w:pPr>
        <w:spacing w:after="0" w:line="185" w:lineRule="exact"/>
        <w:rPr>
          <w:sz w:val="20"/>
          <w:szCs w:val="20"/>
          <w:color w:val="auto"/>
        </w:rPr>
      </w:pPr>
    </w:p>
    <w:p>
      <w:pPr>
        <w:ind w:right="120" w:firstLine="8"/>
        <w:spacing w:after="0" w:line="274" w:lineRule="auto"/>
        <w:tabs>
          <w:tab w:leader="none" w:pos="37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The Executive shall not, whether in writing or orally, in any forum, malign, denigrate or disparage the Company, its affiliates or any of their respective predecessors or successors, or any of the current or former directors, officers, employees, shareholders, partners, members, agents or representatives of any of the foregoing, with respect to any of their respective past or present activities, or otherwise publish (whether in writing or orally) in any forum statements that tend to portray any of the aforementioned parties in an unfavorable light. Disclosure of information that the Executive is required to disclose pursuant to any applicable law, court order, subpoena, compulsory process of law or governmental decree shall not constitute a violation or breach of this Section; provided that the Executive delivers written notice of such required disclosure to the Company or its designee promptly before making such disclosure if such notice is not prohibited by applicable law, court order, subpoena, compulsory process of law or governmental decree.</w:t>
      </w:r>
    </w:p>
    <w:p>
      <w:pPr>
        <w:spacing w:after="0" w:line="171" w:lineRule="exact"/>
        <w:rPr>
          <w:rFonts w:ascii="Arial" w:cs="Arial" w:eastAsia="Arial" w:hAnsi="Arial"/>
          <w:sz w:val="19"/>
          <w:szCs w:val="19"/>
          <w:color w:val="auto"/>
        </w:rPr>
      </w:pPr>
    </w:p>
    <w:p>
      <w:pPr>
        <w:ind w:firstLine="8"/>
        <w:spacing w:after="0" w:line="233" w:lineRule="auto"/>
        <w:tabs>
          <w:tab w:leader="none" w:pos="48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Executive acknowledges that (i) the Executive’s work for the Company has given and will continue to give him access to the confidential affairs and proprietary information of the Company; (ii) the covenants and agreements of the Executive contained in Sections 6, 7, 8 and 9 are essential to the business and goodwill of the Company; and (iii) Crown would not have entered into this Agreement but for the covenants and agreements set forth in Sections 6, 7, 8 and 9. The Executive further acknowledges that in the event of his breach or threat of breach of Sections 6, 7, 8 or 9 of this Agreement, the Company, in addition to any other legal remedies which may be available to it, shall be entitled to appropriate injunctive relief and/or specific performance in order to enforce or prevent any violations of such provisions, and the Executive and the Company hereby confer jurisdiction to enforce such provisions upon the courts of any jurisdiction within the geographical scope of such provisions.</w:t>
      </w:r>
    </w:p>
    <w:p>
      <w:pPr>
        <w:spacing w:after="0" w:line="219" w:lineRule="exact"/>
        <w:rPr>
          <w:rFonts w:ascii="Arial" w:cs="Arial" w:eastAsia="Arial" w:hAnsi="Arial"/>
          <w:sz w:val="22"/>
          <w:szCs w:val="22"/>
          <w:color w:val="auto"/>
        </w:rPr>
      </w:pPr>
    </w:p>
    <w:p>
      <w:pPr>
        <w:jc w:val="both"/>
        <w:ind w:right="80" w:firstLine="8"/>
        <w:spacing w:after="0" w:line="290" w:lineRule="auto"/>
        <w:tabs>
          <w:tab w:leader="none" w:pos="47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provided for herein that one party intends to give to the other party shall be in writing and shall be considered given when mailed or couriered, return receipt requested, or personally delivered, either to the party or at the addresses set forth below (or to such other address as a party shall designate by notice hereunder):</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ind w:left="1960"/>
        <w:spacing w:after="0" w:line="238" w:lineRule="auto"/>
        <w:rPr>
          <w:sz w:val="20"/>
          <w:szCs w:val="20"/>
          <w:color w:val="auto"/>
        </w:rPr>
      </w:pPr>
      <w:r>
        <w:rPr>
          <w:rFonts w:ascii="Arial" w:cs="Arial" w:eastAsia="Arial" w:hAnsi="Arial"/>
          <w:sz w:val="22"/>
          <w:szCs w:val="22"/>
          <w:color w:val="auto"/>
        </w:rPr>
        <w:t>Crown Holdings, Inc.</w:t>
      </w:r>
    </w:p>
    <w:p>
      <w:pPr>
        <w:ind w:left="1960"/>
        <w:spacing w:after="0" w:line="230" w:lineRule="auto"/>
        <w:rPr>
          <w:sz w:val="20"/>
          <w:szCs w:val="20"/>
          <w:color w:val="auto"/>
        </w:rPr>
      </w:pPr>
      <w:r>
        <w:rPr>
          <w:rFonts w:ascii="Arial" w:cs="Arial" w:eastAsia="Arial" w:hAnsi="Arial"/>
          <w:sz w:val="22"/>
          <w:szCs w:val="22"/>
          <w:color w:val="auto"/>
        </w:rPr>
        <w:t>770 Township Line Road</w:t>
      </w:r>
    </w:p>
    <w:p>
      <w:pPr>
        <w:ind w:left="1960"/>
        <w:spacing w:after="0" w:line="231" w:lineRule="auto"/>
        <w:rPr>
          <w:sz w:val="20"/>
          <w:szCs w:val="20"/>
          <w:color w:val="auto"/>
        </w:rPr>
      </w:pPr>
      <w:r>
        <w:rPr>
          <w:rFonts w:ascii="Arial" w:cs="Arial" w:eastAsia="Arial" w:hAnsi="Arial"/>
          <w:sz w:val="22"/>
          <w:szCs w:val="22"/>
          <w:color w:val="auto"/>
        </w:rPr>
        <w:t>Yardley, PA 19067</w:t>
      </w:r>
    </w:p>
    <w:p>
      <w:pPr>
        <w:ind w:left="1960"/>
        <w:spacing w:after="0"/>
        <w:rPr>
          <w:sz w:val="20"/>
          <w:szCs w:val="20"/>
          <w:color w:val="auto"/>
        </w:rPr>
      </w:pPr>
      <w:r>
        <w:rPr>
          <w:rFonts w:ascii="Arial" w:cs="Arial" w:eastAsia="Arial" w:hAnsi="Arial"/>
          <w:sz w:val="22"/>
          <w:szCs w:val="22"/>
          <w:color w:val="auto"/>
        </w:rPr>
        <w:t>Attention: Chief Executive Officer</w:t>
      </w:r>
    </w:p>
    <w:p>
      <w:pPr>
        <w:sectPr>
          <w:pgSz w:w="11900" w:h="16838" w:orient="portrait"/>
          <w:cols w:equalWidth="0" w:num="1">
            <w:col w:w="11200"/>
          </w:cols>
          <w:pgMar w:left="320" w:top="1414" w:right="379" w:bottom="1440" w:gutter="0" w:footer="0" w:header="0"/>
        </w:sectPr>
      </w:pPr>
    </w:p>
    <w:bookmarkStart w:id="48" w:name="page49"/>
    <w:bookmarkEnd w:id="48"/>
    <w:p>
      <w:pPr>
        <w:ind w:left="1292"/>
        <w:spacing w:after="0"/>
        <w:rPr>
          <w:sz w:val="20"/>
          <w:szCs w:val="20"/>
          <w:color w:val="auto"/>
        </w:rPr>
      </w:pPr>
      <w:r>
        <w:rPr>
          <w:rFonts w:ascii="Arial" w:cs="Arial" w:eastAsia="Arial" w:hAnsi="Arial"/>
          <w:sz w:val="22"/>
          <w:szCs w:val="22"/>
          <w:color w:val="auto"/>
        </w:rPr>
        <w:t>If to the Executive, notice shall be sent to the Executive’s address on file with the Company.</w:t>
      </w:r>
    </w:p>
    <w:p>
      <w:pPr>
        <w:spacing w:after="0" w:line="233" w:lineRule="exact"/>
        <w:rPr>
          <w:sz w:val="20"/>
          <w:szCs w:val="20"/>
          <w:color w:val="auto"/>
        </w:rPr>
      </w:pPr>
    </w:p>
    <w:p>
      <w:pPr>
        <w:ind w:left="-8" w:right="80" w:firstLine="8"/>
        <w:spacing w:after="0" w:line="250" w:lineRule="auto"/>
        <w:tabs>
          <w:tab w:leader="none" w:pos="47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be amended, modified or superseded only by a written instrument executed by both of the parties hereto.</w:t>
      </w:r>
    </w:p>
    <w:p>
      <w:pPr>
        <w:spacing w:after="0" w:line="201" w:lineRule="exact"/>
        <w:rPr>
          <w:rFonts w:ascii="Arial" w:cs="Arial" w:eastAsia="Arial" w:hAnsi="Arial"/>
          <w:sz w:val="22"/>
          <w:szCs w:val="22"/>
          <w:color w:val="auto"/>
        </w:rPr>
      </w:pPr>
    </w:p>
    <w:p>
      <w:pPr>
        <w:ind w:left="-8" w:right="40" w:firstLine="8"/>
        <w:spacing w:after="0" w:line="250" w:lineRule="auto"/>
        <w:tabs>
          <w:tab w:leader="none" w:pos="47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inure to the benefit of and shall be binding upon the Company and the Executive and their respective heirs, executors, personal representatives, successors and permitted assigns.</w:t>
      </w:r>
    </w:p>
    <w:p>
      <w:pPr>
        <w:spacing w:after="0" w:line="201" w:lineRule="exact"/>
        <w:rPr>
          <w:rFonts w:ascii="Arial" w:cs="Arial" w:eastAsia="Arial" w:hAnsi="Arial"/>
          <w:sz w:val="22"/>
          <w:szCs w:val="22"/>
          <w:color w:val="auto"/>
        </w:rPr>
      </w:pPr>
    </w:p>
    <w:p>
      <w:pPr>
        <w:ind w:left="-8" w:firstLine="8"/>
        <w:spacing w:after="0" w:line="233" w:lineRule="auto"/>
        <w:tabs>
          <w:tab w:leader="none" w:pos="47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This Agreement shall not be assignable, in whole or in part, by either party, without the prior written consent of the other party, provided that (i) this Agreement shall be binding upon and shall be assigned by Crown to any person, firm or corporation with which Crown may be merged or consolidated or which may acquire all or substantially all of the assets of Crown, or its successor (“</w:t>
      </w:r>
      <w:r>
        <w:rPr>
          <w:rFonts w:ascii="Arial" w:cs="Arial" w:eastAsia="Arial" w:hAnsi="Arial"/>
          <w:sz w:val="22"/>
          <w:szCs w:val="22"/>
          <w:u w:val="single" w:color="auto"/>
          <w:color w:val="auto"/>
        </w:rPr>
        <w:t>Crown’s Successor</w:t>
      </w:r>
      <w:r>
        <w:rPr>
          <w:rFonts w:ascii="Arial" w:cs="Arial" w:eastAsia="Arial" w:hAnsi="Arial"/>
          <w:sz w:val="22"/>
          <w:szCs w:val="22"/>
          <w:color w:val="auto"/>
        </w:rPr>
        <w:t>”), (ii) Crown shall require Crown’s Successor to expressly assume in writing all of Crown’s obligations under this Agreement and (iii) Crown’s Successor shall be deemed substituted for Crown for all purposes of this Agreement.</w:t>
      </w:r>
    </w:p>
    <w:p>
      <w:pPr>
        <w:spacing w:after="0" w:line="213" w:lineRule="exact"/>
        <w:rPr>
          <w:rFonts w:ascii="Arial" w:cs="Arial" w:eastAsia="Arial" w:hAnsi="Arial"/>
          <w:sz w:val="22"/>
          <w:szCs w:val="22"/>
          <w:color w:val="auto"/>
        </w:rPr>
      </w:pPr>
    </w:p>
    <w:p>
      <w:pPr>
        <w:ind w:left="-8" w:right="60" w:firstLine="8"/>
        <w:spacing w:after="0" w:line="249" w:lineRule="auto"/>
        <w:tabs>
          <w:tab w:leader="none" w:pos="478"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Except as provided in Section 10 of this Agreement, any controversy or claim arising out of or relating to this Agreement or the breach thereof shall be settled by arbitration in Philadelphia, Pennsylvania in accordance with the rules of the American Arbitration Association, and judgment upon any award so rendered may be entered in any court having jurisdiction thereof. The determination of the arbitrator(s) shall be conclusive and binding on the Company and the Executive, and judgment may be entered on the arbitrator(s)’ award in any court having jurisdiction.</w:t>
      </w:r>
    </w:p>
    <w:p>
      <w:pPr>
        <w:spacing w:after="0" w:line="205" w:lineRule="exact"/>
        <w:rPr>
          <w:rFonts w:ascii="Arial" w:cs="Arial" w:eastAsia="Arial" w:hAnsi="Arial"/>
          <w:sz w:val="21"/>
          <w:szCs w:val="21"/>
          <w:color w:val="auto"/>
        </w:rPr>
      </w:pPr>
    </w:p>
    <w:p>
      <w:pPr>
        <w:ind w:left="-8" w:right="220" w:firstLine="8"/>
        <w:spacing w:after="0" w:line="239" w:lineRule="auto"/>
        <w:tabs>
          <w:tab w:leader="none" w:pos="47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Except to the extent such laws are superseded by Federal laws, this Agreement shall be governed by the laws of the Commonwealth of Pennsylvania without reference to principles of conflict of laws.</w:t>
      </w:r>
    </w:p>
    <w:p>
      <w:pPr>
        <w:spacing w:after="0" w:line="211" w:lineRule="exact"/>
        <w:rPr>
          <w:rFonts w:ascii="Arial" w:cs="Arial" w:eastAsia="Arial" w:hAnsi="Arial"/>
          <w:sz w:val="22"/>
          <w:szCs w:val="22"/>
          <w:color w:val="auto"/>
        </w:rPr>
      </w:pPr>
    </w:p>
    <w:p>
      <w:pPr>
        <w:ind w:left="-8" w:right="620" w:firstLine="8"/>
        <w:spacing w:after="0" w:line="297" w:lineRule="auto"/>
        <w:tabs>
          <w:tab w:leader="none" w:pos="47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contains the entire Agreement between the parties relative to its subject matter, superseding all prior agreements or understandings of the parties relating thereto. In the event of any conflict between this Agreement and the terms of any benefit plan or any other agreement, the terms of this Agreement will control.</w:t>
      </w:r>
    </w:p>
    <w:p>
      <w:pPr>
        <w:spacing w:after="0" w:line="160" w:lineRule="exact"/>
        <w:rPr>
          <w:rFonts w:ascii="Arial" w:cs="Arial" w:eastAsia="Arial" w:hAnsi="Arial"/>
          <w:sz w:val="19"/>
          <w:szCs w:val="19"/>
          <w:color w:val="auto"/>
        </w:rPr>
      </w:pPr>
    </w:p>
    <w:p>
      <w:pPr>
        <w:ind w:left="-8" w:right="140" w:firstLine="8"/>
        <w:spacing w:after="0" w:line="287" w:lineRule="auto"/>
        <w:tabs>
          <w:tab w:leader="none" w:pos="47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term or provision of this Agreement may be waived in writing at any time by the party entitled to the benefit thereof. The failure of either party at any time to require performance of any provision of this Agreement shall not affect such party’s right at a later time to enforce such provision. No consent or waiver by either party to any default or to any breach of a condition or term in this Agreement shall be deemed or construed to be a consent or waiver to any other breach or default.</w:t>
      </w:r>
    </w:p>
    <w:p>
      <w:pPr>
        <w:spacing w:after="0" w:line="169" w:lineRule="exact"/>
        <w:rPr>
          <w:rFonts w:ascii="Arial" w:cs="Arial" w:eastAsia="Arial" w:hAnsi="Arial"/>
          <w:sz w:val="19"/>
          <w:szCs w:val="19"/>
          <w:color w:val="auto"/>
        </w:rPr>
      </w:pPr>
    </w:p>
    <w:p>
      <w:pPr>
        <w:jc w:val="both"/>
        <w:ind w:left="-8" w:right="220" w:firstLine="8"/>
        <w:spacing w:after="0" w:line="236" w:lineRule="auto"/>
        <w:tabs>
          <w:tab w:leader="none" w:pos="47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All payments made by the Company to the Executive under this Agreement shall be subject to the withholding of such amounts, if any, relating to tax, and other payroll deductions as the Company may reasonably determine it should withhold pursuant to any applicable law or regulation.</w:t>
      </w:r>
    </w:p>
    <w:p>
      <w:pPr>
        <w:sectPr>
          <w:pgSz w:w="11900" w:h="16838" w:orient="portrait"/>
          <w:cols w:equalWidth="0" w:num="1">
            <w:col w:w="11152"/>
          </w:cols>
          <w:pgMar w:left="328" w:top="1414" w:right="419" w:bottom="1440" w:gutter="0" w:footer="0" w:header="0"/>
        </w:sectPr>
      </w:pPr>
    </w:p>
    <w:bookmarkStart w:id="49" w:name="page50"/>
    <w:bookmarkEnd w:id="49"/>
    <w:p>
      <w:pPr>
        <w:ind w:left="-8" w:right="160" w:firstLine="8"/>
        <w:spacing w:after="0" w:line="238" w:lineRule="auto"/>
        <w:tabs>
          <w:tab w:leader="none" w:pos="47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Anything contained in this Agreement to the contrary notwithstanding, the provisions of Sections 6, 7, 8, 9, 13, 14, 15, 16 and 17, (and the other provisions of this Agreement to the extent necessary to effectuate the survival of Sections 6, 7, 8, 9, 13, 14, 15, 16 and 17), shall survive termination of this Agreement and any termination of the Executive’s employment hereunder.</w:t>
      </w:r>
    </w:p>
    <w:p>
      <w:pPr>
        <w:spacing w:after="0" w:line="211" w:lineRule="exact"/>
        <w:rPr>
          <w:rFonts w:ascii="Arial" w:cs="Arial" w:eastAsia="Arial" w:hAnsi="Arial"/>
          <w:sz w:val="22"/>
          <w:szCs w:val="22"/>
          <w:color w:val="auto"/>
        </w:rPr>
      </w:pPr>
    </w:p>
    <w:p>
      <w:pPr>
        <w:ind w:left="-8" w:right="120" w:firstLine="8"/>
        <w:spacing w:after="0" w:line="233" w:lineRule="auto"/>
        <w:tabs>
          <w:tab w:leader="none" w:pos="47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Invalidity of Portion of Agreement</w:t>
      </w:r>
      <w:r>
        <w:rPr>
          <w:rFonts w:ascii="Arial" w:cs="Arial" w:eastAsia="Arial" w:hAnsi="Arial"/>
          <w:sz w:val="22"/>
          <w:szCs w:val="22"/>
          <w:color w:val="auto"/>
        </w:rPr>
        <w:t>. If any provision of this Agreement or the application thereof to either party shall be invalid or unenforceable to any extent, the remainder of this Agreement shall not be affected thereby and shall be enforceable to the fullest extent of the law. If any clause or provision hereof is determined by any court of competent jurisdiction to be unenforceable because of its scope or duration, the parties expressly agree that such court shall have the power to reduce the duration and/or restrict the scope of such clause or provision to the extent necessary to permit enforcement of such clause or provision in reduced or restricted form.</w:t>
      </w:r>
    </w:p>
    <w:p>
      <w:pPr>
        <w:spacing w:after="0" w:line="213" w:lineRule="exact"/>
        <w:rPr>
          <w:rFonts w:ascii="Arial" w:cs="Arial" w:eastAsia="Arial" w:hAnsi="Arial"/>
          <w:sz w:val="22"/>
          <w:szCs w:val="22"/>
          <w:color w:val="auto"/>
        </w:rPr>
      </w:pPr>
    </w:p>
    <w:p>
      <w:pPr>
        <w:ind w:left="-8" w:firstLine="8"/>
        <w:spacing w:after="0" w:line="243" w:lineRule="auto"/>
        <w:tabs>
          <w:tab w:leader="none" w:pos="478"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Compliance with Code Section 409A</w:t>
      </w:r>
      <w:r>
        <w:rPr>
          <w:rFonts w:ascii="Arial" w:cs="Arial" w:eastAsia="Arial" w:hAnsi="Arial"/>
          <w:sz w:val="21"/>
          <w:szCs w:val="21"/>
          <w:color w:val="auto"/>
        </w:rPr>
        <w:t>. 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For purposes of the application of Code Section 409A, each payment in a series of payments will be deemed a separate payment.</w:t>
      </w: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192"/>
          </w:cols>
          <w:pgMar w:left="328" w:top="1414" w:right="37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IN WITNESS WHEREOF, the parties hereto have duly executed this Agreement as of the date first written above.</w:t>
      </w: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Crown Holdings,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/s/Timothy J. Donahue</w:t>
      </w:r>
    </w:p>
    <w:p>
      <w:pPr>
        <w:ind w:left="4080"/>
        <w:spacing w:after="0" w:line="238" w:lineRule="auto"/>
        <w:rPr>
          <w:sz w:val="20"/>
          <w:szCs w:val="20"/>
          <w:color w:val="auto"/>
        </w:rPr>
      </w:pPr>
      <w:r>
        <w:rPr>
          <w:rFonts w:ascii="Arial" w:cs="Arial" w:eastAsia="Arial" w:hAnsi="Arial"/>
          <w:sz w:val="22"/>
          <w:szCs w:val="22"/>
          <w:color w:val="auto"/>
        </w:rPr>
        <w:t>President and Chief Executive</w:t>
      </w:r>
    </w:p>
    <w:p>
      <w:pPr>
        <w:ind w:left="4720"/>
        <w:spacing w:after="0"/>
        <w:rPr>
          <w:sz w:val="20"/>
          <w:szCs w:val="20"/>
          <w:color w:val="auto"/>
        </w:rPr>
      </w:pPr>
      <w:r>
        <w:rPr>
          <w:rFonts w:ascii="Arial" w:cs="Arial" w:eastAsia="Arial" w:hAnsi="Arial"/>
          <w:sz w:val="22"/>
          <w:szCs w:val="22"/>
          <w:color w:val="auto"/>
        </w:rPr>
        <w:t>Officer</w:t>
      </w:r>
    </w:p>
    <w:p>
      <w:pPr>
        <w:spacing w:after="0" w:line="21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Executive</w:t>
      </w:r>
    </w:p>
    <w:p>
      <w:pPr>
        <w:ind w:left="620"/>
        <w:spacing w:after="0"/>
        <w:rPr>
          <w:sz w:val="20"/>
          <w:szCs w:val="20"/>
          <w:color w:val="auto"/>
        </w:rPr>
      </w:pPr>
      <w:r>
        <w:rPr>
          <w:rFonts w:ascii="Arial" w:cs="Arial" w:eastAsia="Arial" w:hAnsi="Arial"/>
          <w:sz w:val="22"/>
          <w:szCs w:val="22"/>
          <w:color w:val="auto"/>
        </w:rPr>
        <w:t>/s/Matthew R. Madeksza</w:t>
      </w:r>
    </w:p>
    <w:p>
      <w:pPr>
        <w:sectPr>
          <w:pgSz w:w="11900" w:h="16838" w:orient="portrait"/>
          <w:cols w:equalWidth="0" w:num="1">
            <w:col w:w="10080"/>
          </w:cols>
          <w:pgMar w:left="1440" w:top="1440" w:right="3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GENERAL RELEASE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NOTICE</w:t>
      </w:r>
    </w:p>
    <w:p>
      <w:pPr>
        <w:spacing w:after="0" w:line="23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This is a very important document and you should thoroughly review and understand the terms and effect of this document before signing it. By signing this General Release you will be releasing the Company from all liability to you. Therefore, you should consult with an attorney before signing the General Release. You have 60 days to consider this document. If you have not returned a signed copy of the General Release by that time, we will assume that you have elected not to sign the General Release. If you choose to sign the General Release, you will have an additional 7 days following the date of your signature to revoke the General Release by providing written notice to the Company to be received during such 7-day revocation period and the General Release shall not become effective or enforceable until the revocation period has expired without revocation.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RELEASE</w:t>
      </w:r>
    </w:p>
    <w:p>
      <w:pPr>
        <w:spacing w:after="0" w:line="233"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In consideration of pay and benefits provided to me by Crown Holdings, Inc. as set forth in my Employment Agreement, dated 25 October, 2022, and other good and valuable consideration to which I would not otherwise be entitled, I, Matthew R. Madeksza, on behalf of myself, my heirs, assigns, executors, agents and representatives, hereby release and discharge Crown Holdings, Inc. and its affiliates, parents, subsidiaries, successors, and predecessors, and all of their respective shareholders, employees, agents, officers and directors (hereinafter collectively referred to as the “Company”) from any and all claims, demands, charges, complaints and/or causes of action, known or unknown, which I may have or could claim to have against the Company arising at any time up to and including the date of my signing of this General Release. This General Release includes, but is not limited to, all claims arising from or during my employment or as a result of the termination of my employment and all claims arising under federal, state or local laws prohibiting employment discrimination based upon age, race, sex, religion, disability, handicap, national origin or any other protected characteristic, including, but not limited to any and all claims arising under the Age Discrimination in Employment Act, as amended, Title VII of the Civil Rights Act, as amended, the Americans with Disabilities Act, and all similar state or local laws, and/or any claims arising out of any legal restrictions, expressed or implied, on the Company’s right to control or terminate the employment of its employees. Notwithstanding the foregoing, this General Release does not apply to claims for (i) amounts payable to me under Section 5 of my Employment Agreement or (ii) payments due to me under any outstanding stock option, restricted stock or other equity award agreement between me and the Company.</w:t>
      </w:r>
    </w:p>
    <w:p>
      <w:pPr>
        <w:spacing w:after="0" w:line="200" w:lineRule="exact"/>
        <w:rPr>
          <w:sz w:val="20"/>
          <w:szCs w:val="20"/>
          <w:color w:val="auto"/>
        </w:rPr>
      </w:pPr>
    </w:p>
    <w:p>
      <w:pPr>
        <w:spacing w:after="0" w:line="217"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I further agree that I will not file (or join, or accept any relief in) a lawsuit against the Company pleading or asserting any claims released in this General Release. If I breach this promise, and the action is found to be barred in whole or in part by this General Release, I agree to pay the attorneys’ fees and costs, or the proportions thereof, incurred by the Company in defending against those claims that are found to be barred by this General Release. Nothing in this paragraph precludes me from challenging the validity of this General Release under the requirements of the Age Discrimination in Employment Act, and I shall not be responsible for</w:t>
      </w:r>
    </w:p>
    <w:p>
      <w:pPr>
        <w:sectPr>
          <w:pgSz w:w="11900" w:h="16838" w:orient="portrait"/>
          <w:cols w:equalWidth="0" w:num="1">
            <w:col w:w="11240"/>
          </w:cols>
          <w:pgMar w:left="320" w:top="1408" w:right="339" w:bottom="1440" w:gutter="0" w:footer="0" w:header="0"/>
        </w:sectPr>
      </w:pPr>
    </w:p>
    <w:bookmarkStart w:id="52" w:name="page53"/>
    <w:bookmarkEnd w:id="52"/>
    <w:p>
      <w:pPr>
        <w:spacing w:after="0" w:line="244" w:lineRule="auto"/>
        <w:rPr>
          <w:sz w:val="20"/>
          <w:szCs w:val="20"/>
          <w:color w:val="auto"/>
        </w:rPr>
      </w:pPr>
      <w:r>
        <w:rPr>
          <w:rFonts w:ascii="Arial" w:cs="Arial" w:eastAsia="Arial" w:hAnsi="Arial"/>
          <w:sz w:val="21"/>
          <w:szCs w:val="21"/>
          <w:color w:val="auto"/>
        </w:rPr>
        <w:t>reimbursing the attorneys’ fees and costs of the Company in connection with such a challenge to the validity of the release. However, I acknowledge that this General Release applies to all claims I have under the Age Discrimination in Employment Act, and that, unless this General Release is held to be invalid, all of my claims under that Act shall be extinguished. I further acknowledge and agree that nothing in this General Release precludes or prevents me from filing a charge with the U.S. Equal Employment Opportunity Commission or other government agency. I agree that I will not seek or accept any relief obtained on my behalf by any government agency, private party, class, or otherwise with respect to any claims released in this General Release, provided that this General Release does not limit my right to receive an award for information provided to any government agency.</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I further acknowledge and agree that nothing in this General Release, or the confidentiality and non-disparagement provisions of the employment agreement prohibit me or the Company or any person or entity from (i) reporting possible violation of federal law or regulation to any governmental agency or entity or self-regulatory organization or making disclosures that are protected under the whistleblower provisions of federal law or regulation, or (ii) supplying truthful information to any governmental authority or in response to any lawful subpoena or other legal process.</w:t>
      </w:r>
    </w:p>
    <w:p>
      <w:pPr>
        <w:spacing w:after="0" w:line="205" w:lineRule="exact"/>
        <w:rPr>
          <w:sz w:val="20"/>
          <w:szCs w:val="20"/>
          <w:color w:val="auto"/>
        </w:rPr>
      </w:pPr>
    </w:p>
    <w:p>
      <w:pPr>
        <w:ind w:right="220"/>
        <w:spacing w:after="0" w:line="278" w:lineRule="auto"/>
        <w:rPr>
          <w:sz w:val="20"/>
          <w:szCs w:val="20"/>
          <w:color w:val="auto"/>
        </w:rPr>
      </w:pPr>
      <w:r>
        <w:rPr>
          <w:rFonts w:ascii="Arial" w:cs="Arial" w:eastAsia="Arial" w:hAnsi="Arial"/>
          <w:sz w:val="19"/>
          <w:szCs w:val="19"/>
          <w:color w:val="auto"/>
        </w:rPr>
        <w:t xml:space="preserve">Further, nothing in this </w:t>
      </w: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shall preclude or prevent me from filing a charge with, providing information to, communicating with or cooperating with any governmental agency, including but not limited to the U.S. Equal Employment Opportunity Commission. I agree that I will not seek or accept any relief obtained on my behalf by any governmental agency, private party, class, or otherwise with respect to any claims released in this General Release provided that this General Release does not limit my right to receive an award for information provided to any governmental agency.</w:t>
      </w:r>
    </w:p>
    <w:p>
      <w:pPr>
        <w:spacing w:after="0" w:line="200" w:lineRule="exact"/>
        <w:rPr>
          <w:sz w:val="20"/>
          <w:szCs w:val="20"/>
          <w:color w:val="auto"/>
        </w:rPr>
      </w:pPr>
    </w:p>
    <w:p>
      <w:pPr>
        <w:spacing w:after="0" w:line="222"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 complete understanding between me and the Company relating to the subject matter covered by this General Release, and all other prior or contemporaneous written or oral agreements or representations, if any, relating to the subject matter covered by this General Release are null and void. Neither the Company nor its agents, representatives or attorneys have made any representations to me concerning the terms or effects of this General Release other than those contained herein. It is also expressly understood and agreed that the terms of this General Release may not be altered except in a writing signed by both me and the Company.</w:t>
      </w:r>
    </w:p>
    <w:p>
      <w:pPr>
        <w:spacing w:after="0" w:line="200" w:lineRule="exact"/>
        <w:rPr>
          <w:sz w:val="20"/>
          <w:szCs w:val="20"/>
          <w:color w:val="auto"/>
        </w:rPr>
      </w:pPr>
    </w:p>
    <w:p>
      <w:pPr>
        <w:spacing w:after="0" w:line="227" w:lineRule="exact"/>
        <w:rPr>
          <w:sz w:val="20"/>
          <w:szCs w:val="20"/>
          <w:color w:val="auto"/>
        </w:rPr>
      </w:pPr>
    </w:p>
    <w:p>
      <w:pPr>
        <w:spacing w:after="0" w:line="247" w:lineRule="auto"/>
        <w:rPr>
          <w:sz w:val="20"/>
          <w:szCs w:val="20"/>
          <w:color w:val="auto"/>
        </w:rPr>
      </w:pPr>
      <w:r>
        <w:rPr>
          <w:rFonts w:ascii="Arial" w:cs="Arial" w:eastAsia="Arial" w:hAnsi="Arial"/>
          <w:sz w:val="21"/>
          <w:szCs w:val="21"/>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Company; that I sign this General Release knowingly and voluntarily; that I have been advised to consult with an attorney before signing it; and that this General Release shall not be subject to claims of fraud, duress and/or mistake.</w:t>
      </w:r>
    </w:p>
    <w:p>
      <w:pPr>
        <w:sectPr>
          <w:pgSz w:w="11900" w:h="16838" w:orient="portrait"/>
          <w:cols w:equalWidth="0" w:num="1">
            <w:col w:w="11180"/>
          </w:cols>
          <w:pgMar w:left="320" w:top="1414" w:right="399"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t>INTENDING TO BE LEGALLY BOUND, I hereby set my hand below:</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SIGNED BY: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 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Date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WITNESSED BY:</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 ___________________</w:t>
      </w:r>
    </w:p>
    <w:p>
      <w:pPr>
        <w:spacing w:after="0"/>
        <w:rPr>
          <w:sz w:val="20"/>
          <w:szCs w:val="20"/>
          <w:color w:val="auto"/>
        </w:rPr>
      </w:pPr>
      <w:r>
        <w:rPr>
          <w:rFonts w:ascii="Arial" w:cs="Arial" w:eastAsia="Arial" w:hAnsi="Arial"/>
          <w:sz w:val="22"/>
          <w:szCs w:val="22"/>
          <w:color w:val="auto"/>
        </w:rPr>
        <w:t>Witness signature Date</w:t>
      </w:r>
    </w:p>
    <w:p>
      <w:pPr>
        <w:sectPr>
          <w:pgSz w:w="11900" w:h="16838" w:orient="portrait"/>
          <w:cols w:equalWidth="0" w:num="1">
            <w:col w:w="10139"/>
          </w:cols>
          <w:pgMar w:left="320" w:top="1414" w:right="1440" w:bottom="1440" w:gutter="0" w:footer="0" w:header="0"/>
        </w:sectPr>
      </w:pPr>
    </w:p>
    <w:bookmarkStart w:id="54" w:name="page55"/>
    <w:bookmarkEnd w:id="54"/>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300"/>
        <w:spacing w:after="0" w:line="274" w:lineRule="auto"/>
        <w:rPr>
          <w:sz w:val="20"/>
          <w:szCs w:val="20"/>
          <w:color w:val="auto"/>
        </w:rPr>
      </w:pPr>
      <w:r>
        <w:rPr>
          <w:rFonts w:ascii="Arial" w:cs="Arial" w:eastAsia="Arial" w:hAnsi="Arial"/>
          <w:sz w:val="20"/>
          <w:szCs w:val="20"/>
          <w:color w:val="auto"/>
        </w:rPr>
        <w:t>The following subsidiaries of Crown Holdings, Inc. (the "Company") were, as of September 30, 2022,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93"/>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auto"/>
        </w:rPr>
        <w:t>The following subsidiaries of the Company were, as of September 30, 2022,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93"/>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55" w:name="page56"/>
    <w:bookmarkEnd w:id="55"/>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Date: November 1, 2022</w:t>
      </w:r>
      <w:r>
        <w:rPr>
          <w:sz w:val="20"/>
          <w:szCs w:val="20"/>
          <w:color w:val="auto"/>
        </w:rPr>
        <w:tab/>
      </w:r>
      <w:r>
        <w:rPr>
          <w:rFonts w:ascii="Arial" w:cs="Arial" w:eastAsia="Arial" w:hAnsi="Arial"/>
          <w:sz w:val="18"/>
          <w:szCs w:val="18"/>
          <w:u w:val="single" w:color="auto"/>
          <w:color w:val="auto"/>
        </w:rPr>
        <w:t>/s/ Timothy J. Donahue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Timothy J. Donahue</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0920"/>
          </w:cols>
          <w:pgMar w:left="320" w:top="1129" w:right="6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Arial" w:cs="Arial" w:eastAsia="Arial" w:hAnsi="Arial"/>
                <w:sz w:val="18"/>
                <w:szCs w:val="18"/>
                <w:color w:val="auto"/>
              </w:rPr>
              <w:t>Date: November 1, 2022</w:t>
            </w:r>
          </w:p>
        </w:tc>
        <w:tc>
          <w:tcPr>
            <w:tcW w:w="940" w:type="dxa"/>
            <w:vAlign w:val="bottom"/>
          </w:tcPr>
          <w:p>
            <w:pPr>
              <w:spacing w:after="0"/>
              <w:rPr>
                <w:sz w:val="18"/>
                <w:szCs w:val="18"/>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Kevin C. Clothier</w:t>
            </w:r>
          </w:p>
        </w:tc>
      </w:tr>
      <w:tr>
        <w:trPr>
          <w:trHeight w:val="236"/>
        </w:trPr>
        <w:tc>
          <w:tcPr>
            <w:tcW w:w="2020" w:type="dxa"/>
            <w:vAlign w:val="bottom"/>
          </w:tcPr>
          <w:p>
            <w:pPr>
              <w:spacing w:after="0"/>
              <w:rPr>
                <w:sz w:val="20"/>
                <w:szCs w:val="20"/>
                <w:color w:val="auto"/>
              </w:rPr>
            </w:pP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Kevin C. Clothier</w:t>
            </w:r>
          </w:p>
        </w:tc>
      </w:tr>
      <w:tr>
        <w:trPr>
          <w:trHeight w:val="217"/>
        </w:trPr>
        <w:tc>
          <w:tcPr>
            <w:tcW w:w="2020" w:type="dxa"/>
            <w:vAlign w:val="bottom"/>
          </w:tcPr>
          <w:p>
            <w:pPr>
              <w:spacing w:after="0"/>
              <w:rPr>
                <w:sz w:val="18"/>
                <w:szCs w:val="18"/>
                <w:color w:val="auto"/>
              </w:rPr>
            </w:pP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840"/>
          </w:cols>
          <w:pgMar w:left="320" w:top="1129" w:right="7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65"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57"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September 30, 2022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62" w:lineRule="auto"/>
        <w:tabs>
          <w:tab w:leader="none" w:pos="6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17" w:lineRule="exact"/>
        <w:rPr>
          <w:rFonts w:ascii="Arial" w:cs="Arial" w:eastAsia="Arial" w:hAnsi="Arial"/>
          <w:sz w:val="22"/>
          <w:szCs w:val="22"/>
          <w:color w:val="auto"/>
        </w:rPr>
      </w:pPr>
    </w:p>
    <w:p>
      <w:pPr>
        <w:ind w:firstLine="8"/>
        <w:spacing w:after="0" w:line="249" w:lineRule="auto"/>
        <w:tabs>
          <w:tab w:leader="none" w:pos="514"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860" w:type="dxa"/>
            <w:vAlign w:val="bottom"/>
          </w:tcPr>
          <w:p>
            <w:pPr>
              <w:ind w:left="120"/>
              <w:spacing w:after="0"/>
              <w:rPr>
                <w:sz w:val="20"/>
                <w:szCs w:val="20"/>
                <w:color w:val="auto"/>
              </w:rPr>
            </w:pPr>
            <w:r>
              <w:rPr>
                <w:rFonts w:ascii="Arial" w:cs="Arial" w:eastAsia="Arial" w:hAnsi="Arial"/>
                <w:sz w:val="22"/>
                <w:szCs w:val="22"/>
                <w:color w:val="auto"/>
              </w:rPr>
              <w:t>November 1, 2022</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3460" w:type="dxa"/>
            <w:vAlign w:val="bottom"/>
          </w:tcPr>
          <w:p>
            <w:pPr>
              <w:spacing w:after="0"/>
              <w:rPr>
                <w:sz w:val="21"/>
                <w:szCs w:val="21"/>
                <w:color w:val="auto"/>
              </w:rPr>
            </w:pPr>
          </w:p>
        </w:tc>
      </w:tr>
      <w:tr>
        <w:trPr>
          <w:trHeight w:val="284"/>
        </w:trPr>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80" w:type="dxa"/>
            <w:vAlign w:val="bottom"/>
            <w:gridSpan w:val="3"/>
          </w:tcPr>
          <w:p>
            <w:pPr>
              <w:ind w:left="104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5680" w:type="dxa"/>
            <w:vAlign w:val="bottom"/>
            <w:gridSpan w:val="3"/>
          </w:tcPr>
          <w:p>
            <w:pPr>
              <w:ind w:left="1040"/>
              <w:spacing w:after="0"/>
              <w:rPr>
                <w:sz w:val="20"/>
                <w:szCs w:val="20"/>
                <w:color w:val="auto"/>
              </w:rPr>
            </w:pPr>
            <w:r>
              <w:rPr>
                <w:rFonts w:ascii="Arial" w:cs="Arial" w:eastAsia="Arial" w:hAnsi="Arial"/>
                <w:sz w:val="22"/>
                <w:szCs w:val="22"/>
                <w:color w:val="auto"/>
                <w:w w:val="97"/>
              </w:rPr>
              <w:t>Chairman, President and Chief Executive Officer</w:t>
            </w:r>
          </w:p>
        </w:tc>
      </w:tr>
      <w:tr>
        <w:trPr>
          <w:trHeight w:val="462"/>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860" w:type="dxa"/>
            <w:vAlign w:val="bottom"/>
          </w:tcPr>
          <w:p>
            <w:pPr>
              <w:ind w:left="120"/>
              <w:spacing w:after="0"/>
              <w:rPr>
                <w:sz w:val="20"/>
                <w:szCs w:val="20"/>
                <w:color w:val="auto"/>
              </w:rPr>
            </w:pPr>
            <w:r>
              <w:rPr>
                <w:rFonts w:ascii="Arial" w:cs="Arial" w:eastAsia="Arial" w:hAnsi="Arial"/>
                <w:sz w:val="22"/>
                <w:szCs w:val="22"/>
                <w:color w:val="auto"/>
              </w:rPr>
              <w:t>November 1, 2022</w:t>
            </w: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Kevin C. Clothier</w:t>
            </w:r>
          </w:p>
        </w:tc>
        <w:tc>
          <w:tcPr>
            <w:tcW w:w="3760" w:type="dxa"/>
            <w:vAlign w:val="bottom"/>
            <w:gridSpan w:val="2"/>
          </w:tcPr>
          <w:p>
            <w:pPr>
              <w:spacing w:after="0"/>
              <w:rPr>
                <w:sz w:val="24"/>
                <w:szCs w:val="24"/>
                <w:color w:val="auto"/>
              </w:rPr>
            </w:pPr>
          </w:p>
        </w:tc>
      </w:tr>
    </w:tbl>
    <w:p>
      <w:pPr>
        <w:spacing w:after="0" w:line="3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Kevin C. Clothier</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upperLetter"/>
      <w:start w:val="1"/>
    </w:lvl>
  </w:abstractNum>
  <w:abstractNum w:abstractNumId="4">
    <w:nsid w:val="2443A858"/>
    <w:multiLevelType w:val="hybridMultilevel"/>
    <w:lvl w:ilvl="0">
      <w:lvlJc w:val="left"/>
      <w:lvlText w:val="%1."/>
      <w:numFmt w:val="upperLetter"/>
      <w:start w:val="4"/>
    </w:lvl>
  </w:abstractNum>
  <w:abstractNum w:abstractNumId="5">
    <w:nsid w:val="2D1D5AE9"/>
    <w:multiLevelType w:val="hybridMultilevel"/>
    <w:lvl w:ilvl="0">
      <w:lvlJc w:val="left"/>
      <w:lvlText w:val="%1."/>
      <w:numFmt w:val="upperLetter"/>
      <w:start w:val="7"/>
    </w:lvl>
  </w:abstractNum>
  <w:abstractNum w:abstractNumId="6">
    <w:nsid w:val="6763845E"/>
    <w:multiLevelType w:val="hybridMultilevel"/>
    <w:lvl w:ilvl="0">
      <w:lvlJc w:val="left"/>
      <w:lvlText w:val="%1."/>
      <w:numFmt w:val="upperLetter"/>
      <w:start w:val="8"/>
    </w:lvl>
  </w:abstractNum>
  <w:abstractNum w:abstractNumId="7">
    <w:nsid w:val="75A2A8D4"/>
    <w:multiLevelType w:val="hybridMultilevel"/>
    <w:lvl w:ilvl="0">
      <w:lvlJc w:val="left"/>
      <w:lvlText w:val="%1."/>
      <w:numFmt w:val="upperLetter"/>
      <w:start w:val="9"/>
    </w:lvl>
  </w:abstractNum>
  <w:abstractNum w:abstractNumId="8">
    <w:nsid w:val="8EDBDAB"/>
    <w:multiLevelType w:val="hybridMultilevel"/>
    <w:lvl w:ilvl="0">
      <w:lvlJc w:val="left"/>
      <w:lvlText w:val="%1."/>
      <w:numFmt w:val="upperLetter"/>
      <w:start w:val="10"/>
    </w:lvl>
  </w:abstractNum>
  <w:abstractNum w:abstractNumId="9">
    <w:nsid w:val="79838CB2"/>
    <w:multiLevelType w:val="hybridMultilevel"/>
    <w:lvl w:ilvl="0">
      <w:lvlJc w:val="left"/>
      <w:lvlText w:val="%1."/>
      <w:numFmt w:val="upperLetter"/>
      <w:start w:val="11"/>
    </w:lvl>
  </w:abstractNum>
  <w:abstractNum w:abstractNumId="10">
    <w:nsid w:val="4353D0CD"/>
    <w:multiLevelType w:val="hybridMultilevel"/>
    <w:lvl w:ilvl="0">
      <w:lvlJc w:val="left"/>
      <w:lvlText w:val="%1."/>
      <w:numFmt w:val="upperLetter"/>
      <w:start w:val="13"/>
    </w:lvl>
  </w:abstractNum>
  <w:abstractNum w:abstractNumId="11">
    <w:nsid w:val="B03E0C6"/>
    <w:multiLevelType w:val="hybridMultilevel"/>
    <w:lvl w:ilvl="0">
      <w:lvlJc w:val="left"/>
      <w:lvlText w:val="%1."/>
      <w:numFmt w:val="upperLetter"/>
      <w:start w:val="14"/>
    </w:lvl>
  </w:abstractNum>
  <w:abstractNum w:abstractNumId="12">
    <w:nsid w:val="189A769B"/>
    <w:multiLevelType w:val="hybridMultilevel"/>
    <w:lvl w:ilvl="0">
      <w:lvlJc w:val="left"/>
      <w:lvlText w:val="%1."/>
      <w:numFmt w:val="upperLetter"/>
      <w:start w:val="15"/>
    </w:lvl>
  </w:abstractNum>
  <w:abstractNum w:abstractNumId="13">
    <w:nsid w:val="54E49EB4"/>
    <w:multiLevelType w:val="hybridMultilevel"/>
    <w:lvl w:ilvl="0">
      <w:lvlJc w:val="left"/>
      <w:lvlText w:val="%1."/>
      <w:numFmt w:val="upperLetter"/>
      <w:start w:val="17"/>
    </w:lvl>
  </w:abstractNum>
  <w:abstractNum w:abstractNumId="14">
    <w:nsid w:val="71F32454"/>
    <w:multiLevelType w:val="hybridMultilevel"/>
    <w:lvl w:ilvl="0">
      <w:lvlJc w:val="left"/>
      <w:lvlText w:val="%1."/>
      <w:numFmt w:val="upperLetter"/>
      <w:start w:val="18"/>
    </w:lvl>
  </w:abstractNum>
  <w:abstractNum w:abstractNumId="15">
    <w:nsid w:val="2CA88611"/>
    <w:multiLevelType w:val="hybridMultilevel"/>
    <w:lvl w:ilvl="0">
      <w:lvlJc w:val="left"/>
      <w:lvlText w:val="%1."/>
      <w:numFmt w:val="upperLetter"/>
      <w:start w:val="19"/>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22"/>
    </w:lvl>
  </w:abstractNum>
  <w:abstractNum w:abstractNumId="20">
    <w:nsid w:val="1E7FF521"/>
    <w:multiLevelType w:val="hybridMultilevel"/>
    <w:lvl w:ilvl="0">
      <w:lvlJc w:val="left"/>
      <w:lvlText w:val="%1"/>
      <w:numFmt w:val="decimal"/>
      <w:start w:val="32"/>
    </w:lvl>
  </w:abstractNum>
  <w:abstractNum w:abstractNumId="21">
    <w:nsid w:val="7C3DBD3D"/>
    <w:multiLevelType w:val="hybridMultilevel"/>
    <w:lvl w:ilvl="0">
      <w:lvlJc w:val="left"/>
      <w:lvlText w:val="%1"/>
      <w:numFmt w:val="decimal"/>
      <w:start w:val="10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5"/>
    </w:lvl>
  </w:abstractNum>
  <w:abstractNum w:abstractNumId="27">
    <w:nsid w:val="614FD4A1"/>
    <w:multiLevelType w:val="hybridMultilevel"/>
    <w:lvl w:ilvl="0">
      <w:lvlJc w:val="left"/>
      <w:lvlText w:val="%1"/>
      <w:numFmt w:val="decimal"/>
      <w:start w:val="1"/>
    </w:lvl>
    <w:lvl w:ilvl="1">
      <w:lvlJc w:val="left"/>
      <w:lvlText w:val="%2."/>
      <w:numFmt w:val="lowerLetter"/>
      <w:start w:val="1"/>
    </w:lvl>
  </w:abstractNum>
  <w:abstractNum w:abstractNumId="28">
    <w:nsid w:val="419AC241"/>
    <w:multiLevelType w:val="hybridMultilevel"/>
    <w:lvl w:ilvl="0">
      <w:lvlJc w:val="left"/>
      <w:lvlText w:val="%1."/>
      <w:numFmt w:val="decimal"/>
      <w:start w:val="2"/>
    </w:lvl>
    <w:lvl w:ilvl="1">
      <w:lvlJc w:val="left"/>
      <w:lvlText w:val="%2"/>
      <w:numFmt w:val="lowerLetter"/>
      <w:start w:val="1"/>
    </w:lvl>
  </w:abstractNum>
  <w:abstractNum w:abstractNumId="29">
    <w:nsid w:val="5577F8E1"/>
    <w:multiLevelType w:val="hybridMultilevel"/>
    <w:lvl w:ilvl="0">
      <w:lvlJc w:val="left"/>
      <w:lvlText w:val="%1."/>
      <w:numFmt w:val="decimal"/>
      <w:start w:val="4"/>
    </w:lvl>
  </w:abstractNum>
  <w:abstractNum w:abstractNumId="30">
    <w:nsid w:val="440BADFC"/>
    <w:multiLevelType w:val="hybridMultilevel"/>
    <w:lvl w:ilvl="0">
      <w:lvlJc w:val="left"/>
      <w:lvlText w:val="%1."/>
      <w:numFmt w:val="decimal"/>
      <w:start w:val="5"/>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decimal"/>
      <w:start w:val="6"/>
    </w:lvl>
  </w:abstractNum>
  <w:abstractNum w:abstractNumId="34">
    <w:nsid w:val="7724C67E"/>
    <w:multiLevelType w:val="hybridMultilevel"/>
    <w:lvl w:ilvl="0">
      <w:lvlJc w:val="left"/>
      <w:lvlText w:val="%1."/>
      <w:numFmt w:val="decimal"/>
      <w:start w:val="9"/>
    </w:lvl>
  </w:abstractNum>
  <w:abstractNum w:abstractNumId="35">
    <w:nsid w:val="5C482A97"/>
    <w:multiLevelType w:val="hybridMultilevel"/>
    <w:lvl w:ilvl="0">
      <w:lvlJc w:val="left"/>
      <w:lvlText w:val="%1."/>
      <w:numFmt w:val="decimal"/>
      <w:start w:val="12"/>
    </w:lvl>
  </w:abstractNum>
  <w:abstractNum w:abstractNumId="36">
    <w:nsid w:val="2463B9EA"/>
    <w:multiLevelType w:val="hybridMultilevel"/>
    <w:lvl w:ilvl="0">
      <w:lvlJc w:val="left"/>
      <w:lvlText w:val="%1."/>
      <w:numFmt w:val="decimal"/>
      <w:start w:val="20"/>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2022-11-01T16:05:02Z</dcterms:created>
  <dcterms:modified xsi:type="dcterms:W3CDTF">2022-11-01T16:05:02Z</dcterms:modified>
</cp:coreProperties>
</file>