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Gifford Gerard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02/22/2024</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EVP &amp; COO</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02/22/2024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6,354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138,343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02/22/2024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5,001</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76.82</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133,342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5,735</w:t>
            </w:r>
          </w:p>
        </w:tc>
        <w:tc>
          <w:tcPr>
            <w:tcW w:w="300" w:type="dxa"/>
            <w:vAlign w:val="bottom"/>
          </w:tcPr>
          <w:p>
            <w:pPr>
              <w:spacing w:after="0"/>
              <w:rPr>
                <w:sz w:val="21"/>
                <w:szCs w:val="21"/>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February 22, 2024 whose grant was originally reported on a Form 4 filed with the Securities and Exchange Commission on January 12, 2021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6,354. The Return on Invested Capital achieved by the Company compared to the ROIC target yielded 200% payout. As a result, 6,354 additional ROIC Performance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02/23/2024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991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2024-02-23T11:16:20Z</dcterms:created>
  <dcterms:modified xsi:type="dcterms:W3CDTF">2024-02-23T11:16:20Z</dcterms:modified>
</cp:coreProperties>
</file>